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910" w:rsidRPr="00E64DFE" w:rsidRDefault="00B34457" w:rsidP="003879EF">
      <w:pPr>
        <w:pStyle w:val="a7"/>
        <w:kinsoku w:val="0"/>
        <w:spacing w:before="0"/>
        <w:ind w:leftChars="700" w:left="2381" w:firstLineChars="50" w:firstLine="410"/>
        <w:rPr>
          <w:bCs/>
          <w:snapToGrid/>
          <w:color w:val="000000" w:themeColor="text1"/>
          <w:kern w:val="0"/>
          <w:sz w:val="40"/>
        </w:rPr>
      </w:pPr>
      <w:r w:rsidRPr="00E64DFE">
        <w:rPr>
          <w:rFonts w:hint="eastAsia"/>
          <w:bCs/>
          <w:snapToGrid/>
          <w:color w:val="000000" w:themeColor="text1"/>
          <w:spacing w:val="200"/>
          <w:kern w:val="0"/>
          <w:sz w:val="40"/>
        </w:rPr>
        <w:t>糾正案文</w:t>
      </w:r>
    </w:p>
    <w:p w:rsidR="008A4910" w:rsidRPr="00E64DFE" w:rsidRDefault="00B34457" w:rsidP="00F50630">
      <w:pPr>
        <w:pStyle w:val="1"/>
        <w:kinsoku/>
        <w:ind w:left="2722" w:hanging="2722"/>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E64DFE">
        <w:rPr>
          <w:rFonts w:hint="eastAsia"/>
          <w:color w:val="000000" w:themeColor="text1"/>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65FCF" w:rsidRPr="00E64DFE">
        <w:rPr>
          <w:rFonts w:hint="eastAsia"/>
          <w:color w:val="000000" w:themeColor="text1"/>
        </w:rPr>
        <w:t>臺北市政府</w:t>
      </w:r>
      <w:r w:rsidRPr="00E64DFE">
        <w:rPr>
          <w:rFonts w:hint="eastAsia"/>
          <w:color w:val="000000" w:themeColor="text1"/>
        </w:rPr>
        <w:t>。</w:t>
      </w:r>
    </w:p>
    <w:p w:rsidR="00994DC6" w:rsidRPr="00E64DFE" w:rsidRDefault="00B34457" w:rsidP="00065FCF">
      <w:pPr>
        <w:pStyle w:val="1"/>
        <w:ind w:leftChars="-13" w:left="2575" w:hangingChars="770" w:hanging="2619"/>
        <w:rPr>
          <w:color w:val="000000" w:themeColor="text1"/>
        </w:rPr>
      </w:pPr>
      <w:bookmarkStart w:id="14" w:name="_Toc529218255"/>
      <w:bookmarkStart w:id="15" w:name="_Toc529222678"/>
      <w:bookmarkStart w:id="16" w:name="_Toc529223100"/>
      <w:bookmarkStart w:id="17" w:name="_Toc529223851"/>
      <w:bookmarkStart w:id="18" w:name="_Toc529228247"/>
      <w:r w:rsidRPr="00E64DFE">
        <w:rPr>
          <w:rFonts w:hint="eastAsia"/>
          <w:color w:val="000000" w:themeColor="text1"/>
        </w:rPr>
        <w:t>案　　　由：</w:t>
      </w:r>
      <w:r w:rsidR="00065FCF" w:rsidRPr="00E64DFE">
        <w:rPr>
          <w:rFonts w:hint="eastAsia"/>
          <w:bCs w:val="0"/>
          <w:color w:val="000000" w:themeColor="text1"/>
        </w:rPr>
        <w:t>臺北市政府未依</w:t>
      </w:r>
      <w:r w:rsidR="00065FCF" w:rsidRPr="00E64DFE">
        <w:rPr>
          <w:bCs w:val="0"/>
          <w:color w:val="000000" w:themeColor="text1"/>
        </w:rPr>
        <w:t>臺北文化體育園區－大型室內體育館開發計畫案興建營運契約</w:t>
      </w:r>
      <w:r w:rsidR="00065FCF" w:rsidRPr="00E64DFE">
        <w:rPr>
          <w:rFonts w:hint="eastAsia"/>
          <w:bCs w:val="0"/>
          <w:color w:val="000000" w:themeColor="text1"/>
        </w:rPr>
        <w:t>（即BOT契約）之約定，於104年5月14日前之歷次勘驗，均未詳實比對建築圖說與現場差異，殊難謂善盡BOT契約之勘驗責任；又遠雄巨蛋公司違法未按圖施工，對於所衍生公安疑慮，固有無可推卸的責任。惟臺北市政府亦僅基於行政高權並未考量與遠雄巨蛋公司具有BOT夥伴關係，其透過媒體忽而解約、忽而換手，致使契約兩造信賴關係破壞殆盡，亦有未洽之處；復該府廉政透明委員會於未有法律明文規定下行使調查權，且該會之設置法定依據、職掌、人員組成方式與調查權限之範圍，與正當法律程序原則未盡相符，並違反司法院釋字</w:t>
      </w:r>
      <w:r w:rsidR="00322BF7">
        <w:rPr>
          <w:rFonts w:hint="eastAsia"/>
          <w:bCs w:val="0"/>
          <w:color w:val="000000" w:themeColor="text1"/>
        </w:rPr>
        <w:t>第</w:t>
      </w:r>
      <w:r w:rsidR="00065FCF" w:rsidRPr="00E64DFE">
        <w:rPr>
          <w:rFonts w:hint="eastAsia"/>
          <w:bCs w:val="0"/>
          <w:color w:val="000000" w:themeColor="text1"/>
        </w:rPr>
        <w:t>585號解釋意旨</w:t>
      </w:r>
      <w:r w:rsidR="00BC5CDA" w:rsidRPr="00E64DFE">
        <w:rPr>
          <w:rFonts w:hint="eastAsia"/>
          <w:bCs w:val="0"/>
          <w:color w:val="000000" w:themeColor="text1"/>
        </w:rPr>
        <w:t>，</w:t>
      </w:r>
      <w:r w:rsidR="00065FCF" w:rsidRPr="00E64DFE">
        <w:rPr>
          <w:rFonts w:hint="eastAsia"/>
          <w:bCs w:val="0"/>
          <w:color w:val="000000" w:themeColor="text1"/>
        </w:rPr>
        <w:t>均涉有</w:t>
      </w:r>
      <w:r w:rsidR="00BC5CDA" w:rsidRPr="00E64DFE">
        <w:rPr>
          <w:rFonts w:hint="eastAsia"/>
          <w:bCs w:val="0"/>
          <w:color w:val="000000" w:themeColor="text1"/>
        </w:rPr>
        <w:t>違失</w:t>
      </w:r>
      <w:r w:rsidR="00DE5245" w:rsidRPr="00E64DFE">
        <w:rPr>
          <w:rFonts w:hint="eastAsia"/>
          <w:color w:val="000000" w:themeColor="text1"/>
        </w:rPr>
        <w:t>，爰依法提案糾正</w:t>
      </w:r>
      <w:r w:rsidR="00D96D80" w:rsidRPr="00E64DFE">
        <w:rPr>
          <w:rFonts w:hint="eastAsia"/>
          <w:color w:val="000000" w:themeColor="text1"/>
        </w:rPr>
        <w:t>。</w:t>
      </w:r>
    </w:p>
    <w:p w:rsidR="008A4910" w:rsidRPr="00E64DFE" w:rsidRDefault="00B34457">
      <w:pPr>
        <w:pStyle w:val="1"/>
        <w:ind w:left="2381" w:hangingChars="700" w:hanging="2381"/>
        <w:rPr>
          <w:color w:val="000000" w:themeColor="text1"/>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E64DFE">
        <w:rPr>
          <w:rFonts w:hint="eastAsia"/>
          <w:color w:val="000000" w:themeColor="text1"/>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271BE3" w:rsidRPr="00E64DFE" w:rsidRDefault="00065FCF" w:rsidP="00E64DFE">
      <w:pPr>
        <w:pStyle w:val="12"/>
        <w:spacing w:beforeLines="20" w:before="91"/>
        <w:ind w:left="680" w:firstLine="680"/>
        <w:rPr>
          <w:color w:val="000000" w:themeColor="text1"/>
        </w:rPr>
      </w:pPr>
      <w:r w:rsidRPr="00E64DFE">
        <w:rPr>
          <w:rFonts w:ascii="Times New Roman" w:hAnsi="標楷體" w:hint="eastAsia"/>
          <w:color w:val="000000" w:themeColor="text1"/>
          <w:kern w:val="2"/>
        </w:rPr>
        <w:t>據遠雄巨蛋事業</w:t>
      </w:r>
      <w:r w:rsidR="00E64DFE">
        <w:rPr>
          <w:rFonts w:ascii="Times New Roman" w:hAnsi="標楷體" w:hint="eastAsia"/>
          <w:color w:val="000000" w:themeColor="text1"/>
          <w:kern w:val="2"/>
        </w:rPr>
        <w:t>股份</w:t>
      </w:r>
      <w:r w:rsidRPr="00E64DFE">
        <w:rPr>
          <w:rFonts w:ascii="Times New Roman" w:hAnsi="標楷體" w:hint="eastAsia"/>
          <w:color w:val="000000" w:themeColor="text1"/>
          <w:kern w:val="2"/>
        </w:rPr>
        <w:t>有限公司（下稱遠雄巨蛋公司）陳訴：「</w:t>
      </w:r>
      <w:r w:rsidRPr="00E64DFE">
        <w:rPr>
          <w:rFonts w:ascii="Times New Roman" w:hAnsi="標楷體"/>
          <w:color w:val="000000" w:themeColor="text1"/>
          <w:kern w:val="2"/>
          <w:szCs w:val="32"/>
        </w:rPr>
        <w:t>臺北市市長柯文哲濫以『弊案』公然指摘『臺北大巨蛋</w:t>
      </w:r>
      <w:r w:rsidRPr="00E64DFE">
        <w:rPr>
          <w:rFonts w:ascii="Times New Roman" w:hAnsi="標楷體"/>
          <w:color w:val="000000" w:themeColor="text1"/>
          <w:kern w:val="2"/>
          <w:szCs w:val="32"/>
        </w:rPr>
        <w:t>BOT</w:t>
      </w:r>
      <w:r w:rsidRPr="00E64DFE">
        <w:rPr>
          <w:rFonts w:ascii="Times New Roman" w:hAnsi="標楷體"/>
          <w:color w:val="000000" w:themeColor="text1"/>
          <w:kern w:val="2"/>
          <w:szCs w:val="32"/>
        </w:rPr>
        <w:t>案』，復藉未具司法調查權之廉政委員會進行調查，</w:t>
      </w:r>
      <w:r w:rsidRPr="00E64DFE">
        <w:rPr>
          <w:rFonts w:ascii="Times New Roman" w:hAnsi="標楷體" w:hint="eastAsia"/>
          <w:color w:val="000000" w:themeColor="text1"/>
          <w:kern w:val="2"/>
          <w:szCs w:val="32"/>
        </w:rPr>
        <w:t>並於</w:t>
      </w:r>
      <w:r w:rsidRPr="00E64DFE">
        <w:rPr>
          <w:rFonts w:ascii="Times New Roman" w:hAnsi="標楷體" w:hint="eastAsia"/>
          <w:color w:val="000000" w:themeColor="text1"/>
          <w:kern w:val="2"/>
          <w:szCs w:val="32"/>
        </w:rPr>
        <w:t>104</w:t>
      </w:r>
      <w:r w:rsidRPr="00E64DFE">
        <w:rPr>
          <w:rFonts w:ascii="Times New Roman" w:hAnsi="標楷體" w:hint="eastAsia"/>
          <w:color w:val="000000" w:themeColor="text1"/>
          <w:kern w:val="2"/>
          <w:szCs w:val="32"/>
        </w:rPr>
        <w:t>年</w:t>
      </w:r>
      <w:r w:rsidRPr="00E64DFE">
        <w:rPr>
          <w:rFonts w:ascii="Times New Roman" w:hAnsi="標楷體" w:hint="eastAsia"/>
          <w:color w:val="000000" w:themeColor="text1"/>
          <w:kern w:val="2"/>
          <w:szCs w:val="32"/>
        </w:rPr>
        <w:t>5</w:t>
      </w:r>
      <w:r w:rsidRPr="00E64DFE">
        <w:rPr>
          <w:rFonts w:ascii="Times New Roman" w:hAnsi="標楷體" w:hint="eastAsia"/>
          <w:color w:val="000000" w:themeColor="text1"/>
          <w:kern w:val="2"/>
          <w:szCs w:val="32"/>
        </w:rPr>
        <w:t>月</w:t>
      </w:r>
      <w:r w:rsidRPr="00E64DFE">
        <w:rPr>
          <w:rFonts w:ascii="Times New Roman" w:hAnsi="標楷體" w:hint="eastAsia"/>
          <w:color w:val="000000" w:themeColor="text1"/>
          <w:kern w:val="2"/>
          <w:szCs w:val="32"/>
        </w:rPr>
        <w:t>20</w:t>
      </w:r>
      <w:r w:rsidRPr="00E64DFE">
        <w:rPr>
          <w:rFonts w:ascii="Times New Roman" w:hAnsi="標楷體" w:hint="eastAsia"/>
          <w:color w:val="000000" w:themeColor="text1"/>
          <w:kern w:val="2"/>
          <w:szCs w:val="32"/>
        </w:rPr>
        <w:t>日違法停工，並</w:t>
      </w:r>
      <w:r w:rsidRPr="00E64DFE">
        <w:rPr>
          <w:rFonts w:ascii="Times New Roman" w:hAnsi="標楷體"/>
          <w:color w:val="000000" w:themeColor="text1"/>
          <w:kern w:val="2"/>
          <w:szCs w:val="32"/>
        </w:rPr>
        <w:t>濫用媒體優勢迫使陳訴人妥協等，損及權益，疑涉違反公務員服務法及行政程序法相關規定</w:t>
      </w:r>
      <w:r w:rsidR="00E64DFE" w:rsidRPr="00E64DFE">
        <w:rPr>
          <w:rFonts w:ascii="Times New Roman" w:hAnsi="標楷體" w:hint="eastAsia"/>
          <w:color w:val="000000" w:themeColor="text1"/>
          <w:kern w:val="2"/>
        </w:rPr>
        <w:t>」</w:t>
      </w:r>
      <w:r w:rsidRPr="00E64DFE">
        <w:rPr>
          <w:rFonts w:ascii="Times New Roman" w:hAnsi="標楷體"/>
          <w:color w:val="000000" w:themeColor="text1"/>
          <w:kern w:val="2"/>
          <w:szCs w:val="32"/>
        </w:rPr>
        <w:t>等情案</w:t>
      </w:r>
      <w:r w:rsidRPr="00E64DFE">
        <w:rPr>
          <w:rFonts w:ascii="Times New Roman" w:hAnsi="標楷體" w:hint="eastAsia"/>
          <w:color w:val="000000" w:themeColor="text1"/>
          <w:kern w:val="2"/>
        </w:rPr>
        <w:t>，案經本院於</w:t>
      </w:r>
      <w:r w:rsidRPr="00E64DFE">
        <w:rPr>
          <w:rFonts w:ascii="Times New Roman" w:hAnsi="標楷體"/>
          <w:color w:val="000000" w:themeColor="text1"/>
          <w:kern w:val="2"/>
        </w:rPr>
        <w:t>104</w:t>
      </w:r>
      <w:r w:rsidRPr="00E64DFE">
        <w:rPr>
          <w:rFonts w:ascii="Times New Roman" w:hAnsi="標楷體" w:hint="eastAsia"/>
          <w:color w:val="000000" w:themeColor="text1"/>
          <w:kern w:val="2"/>
        </w:rPr>
        <w:t>年</w:t>
      </w:r>
      <w:r w:rsidRPr="00E64DFE">
        <w:rPr>
          <w:rFonts w:ascii="Times New Roman" w:hAnsi="標楷體"/>
          <w:color w:val="000000" w:themeColor="text1"/>
          <w:kern w:val="2"/>
        </w:rPr>
        <w:t>6</w:t>
      </w:r>
      <w:r w:rsidRPr="00E64DFE">
        <w:rPr>
          <w:rFonts w:ascii="Times New Roman" w:hAnsi="標楷體" w:hint="eastAsia"/>
          <w:color w:val="000000" w:themeColor="text1"/>
          <w:kern w:val="2"/>
        </w:rPr>
        <w:t>月</w:t>
      </w:r>
      <w:r w:rsidRPr="00E64DFE">
        <w:rPr>
          <w:rFonts w:ascii="Times New Roman" w:hAnsi="標楷體"/>
          <w:color w:val="000000" w:themeColor="text1"/>
          <w:kern w:val="2"/>
        </w:rPr>
        <w:t>12</w:t>
      </w:r>
      <w:r w:rsidRPr="00E64DFE">
        <w:rPr>
          <w:rFonts w:ascii="Times New Roman" w:hAnsi="標楷體" w:hint="eastAsia"/>
          <w:color w:val="000000" w:themeColor="text1"/>
          <w:kern w:val="2"/>
        </w:rPr>
        <w:t>日、</w:t>
      </w:r>
      <w:r w:rsidRPr="00E64DFE">
        <w:rPr>
          <w:rFonts w:ascii="Times New Roman" w:hAnsi="標楷體"/>
          <w:color w:val="000000" w:themeColor="text1"/>
          <w:kern w:val="2"/>
        </w:rPr>
        <w:t>104</w:t>
      </w:r>
      <w:r w:rsidRPr="00E64DFE">
        <w:rPr>
          <w:rFonts w:ascii="Times New Roman" w:hAnsi="標楷體" w:hint="eastAsia"/>
          <w:color w:val="000000" w:themeColor="text1"/>
          <w:kern w:val="2"/>
        </w:rPr>
        <w:t>年</w:t>
      </w:r>
      <w:r w:rsidRPr="00E64DFE">
        <w:rPr>
          <w:rFonts w:ascii="Times New Roman" w:hAnsi="標楷體"/>
          <w:color w:val="000000" w:themeColor="text1"/>
          <w:kern w:val="2"/>
        </w:rPr>
        <w:t>11</w:t>
      </w:r>
      <w:r w:rsidRPr="00E64DFE">
        <w:rPr>
          <w:rFonts w:ascii="Times New Roman" w:hAnsi="標楷體" w:hint="eastAsia"/>
          <w:color w:val="000000" w:themeColor="text1"/>
          <w:kern w:val="2"/>
        </w:rPr>
        <w:t>月</w:t>
      </w:r>
      <w:r w:rsidRPr="00E64DFE">
        <w:rPr>
          <w:rFonts w:ascii="Times New Roman" w:hAnsi="標楷體"/>
          <w:color w:val="000000" w:themeColor="text1"/>
          <w:kern w:val="2"/>
        </w:rPr>
        <w:t>24</w:t>
      </w:r>
      <w:r w:rsidRPr="00E64DFE">
        <w:rPr>
          <w:rFonts w:ascii="Times New Roman" w:hAnsi="標楷體" w:hint="eastAsia"/>
          <w:color w:val="000000" w:themeColor="text1"/>
          <w:kern w:val="2"/>
        </w:rPr>
        <w:t>日兩度履勘現場並聽取臺北市政府都市發展局局長林洲民簡報</w:t>
      </w:r>
      <w:r w:rsidRPr="00E64DFE">
        <w:rPr>
          <w:rFonts w:ascii="Times New Roman" w:hAnsi="標楷體" w:hint="eastAsia"/>
          <w:color w:val="000000" w:themeColor="text1"/>
          <w:kern w:val="2"/>
        </w:rPr>
        <w:lastRenderedPageBreak/>
        <w:t>說明，並向內政部與臺北市政府調閱有關卷證資料</w:t>
      </w:r>
      <w:r w:rsidRPr="00E64DFE">
        <w:rPr>
          <w:rFonts w:ascii="Times New Roman" w:hAnsi="標楷體"/>
          <w:color w:val="000000" w:themeColor="text1"/>
          <w:kern w:val="2"/>
          <w:vertAlign w:val="superscript"/>
        </w:rPr>
        <w:footnoteReference w:id="1"/>
      </w:r>
      <w:r w:rsidRPr="00E64DFE">
        <w:rPr>
          <w:rFonts w:ascii="Times New Roman" w:hAnsi="標楷體" w:hint="eastAsia"/>
          <w:color w:val="000000" w:themeColor="text1"/>
          <w:kern w:val="2"/>
        </w:rPr>
        <w:t>，</w:t>
      </w:r>
      <w:r w:rsidRPr="00E64DFE">
        <w:rPr>
          <w:rFonts w:ascii="Times New Roman" w:hAnsi="標楷體"/>
          <w:color w:val="000000" w:themeColor="text1"/>
          <w:kern w:val="2"/>
        </w:rPr>
        <w:t>105</w:t>
      </w:r>
      <w:r w:rsidRPr="00E64DFE">
        <w:rPr>
          <w:rFonts w:ascii="Times New Roman" w:hAnsi="標楷體" w:hint="eastAsia"/>
          <w:color w:val="000000" w:themeColor="text1"/>
          <w:kern w:val="2"/>
        </w:rPr>
        <w:t>年</w:t>
      </w:r>
      <w:r w:rsidRPr="00E64DFE">
        <w:rPr>
          <w:rFonts w:ascii="Times New Roman" w:hAnsi="標楷體"/>
          <w:color w:val="000000" w:themeColor="text1"/>
          <w:kern w:val="2"/>
        </w:rPr>
        <w:t>4</w:t>
      </w:r>
      <w:r w:rsidRPr="00E64DFE">
        <w:rPr>
          <w:rFonts w:ascii="Times New Roman" w:hAnsi="標楷體" w:hint="eastAsia"/>
          <w:color w:val="000000" w:themeColor="text1"/>
          <w:kern w:val="2"/>
        </w:rPr>
        <w:t>月</w:t>
      </w:r>
      <w:r w:rsidRPr="00E64DFE">
        <w:rPr>
          <w:rFonts w:ascii="Times New Roman" w:hAnsi="標楷體"/>
          <w:color w:val="000000" w:themeColor="text1"/>
          <w:kern w:val="2"/>
        </w:rPr>
        <w:t>20</w:t>
      </w:r>
      <w:r w:rsidRPr="00E64DFE">
        <w:rPr>
          <w:rFonts w:ascii="Times New Roman" w:hAnsi="標楷體" w:hint="eastAsia"/>
          <w:color w:val="000000" w:themeColor="text1"/>
          <w:kern w:val="2"/>
        </w:rPr>
        <w:t>日諮詢</w:t>
      </w:r>
      <w:r w:rsidR="00E64DFE">
        <w:rPr>
          <w:rFonts w:ascii="Times New Roman" w:hAnsi="標楷體" w:hint="eastAsia"/>
          <w:color w:val="000000" w:themeColor="text1"/>
          <w:kern w:val="2"/>
        </w:rPr>
        <w:t>國立</w:t>
      </w:r>
      <w:r w:rsidRPr="00E64DFE">
        <w:rPr>
          <w:rFonts w:ascii="Times New Roman" w:hAnsi="標楷體" w:hint="eastAsia"/>
          <w:color w:val="000000" w:themeColor="text1"/>
          <w:kern w:val="2"/>
        </w:rPr>
        <w:t>臺灣大學法律學院林明鏘教授、</w:t>
      </w:r>
      <w:r w:rsidR="00E64DFE">
        <w:rPr>
          <w:rFonts w:ascii="Times New Roman" w:hAnsi="標楷體" w:hint="eastAsia"/>
          <w:color w:val="000000" w:themeColor="text1"/>
          <w:kern w:val="2"/>
        </w:rPr>
        <w:t>國立</w:t>
      </w:r>
      <w:r w:rsidR="00E64DFE" w:rsidRPr="00E64DFE">
        <w:rPr>
          <w:rFonts w:ascii="Times New Roman" w:hAnsi="標楷體" w:hint="eastAsia"/>
          <w:color w:val="000000" w:themeColor="text1"/>
          <w:kern w:val="2"/>
        </w:rPr>
        <w:t>臺灣</w:t>
      </w:r>
      <w:r w:rsidRPr="00E64DFE">
        <w:rPr>
          <w:rFonts w:ascii="Times New Roman" w:hAnsi="標楷體" w:hint="eastAsia"/>
          <w:color w:val="000000" w:themeColor="text1"/>
          <w:kern w:val="2"/>
        </w:rPr>
        <w:t>科技大學建築學系林慶元教授、許宗熙建築師事務所許宗熙建築師、</w:t>
      </w:r>
      <w:r w:rsidRPr="00E64DFE">
        <w:rPr>
          <w:rFonts w:ascii="Times New Roman" w:hAnsi="標楷體"/>
          <w:color w:val="000000" w:themeColor="text1"/>
          <w:kern w:val="2"/>
        </w:rPr>
        <w:t>105</w:t>
      </w:r>
      <w:r w:rsidRPr="00E64DFE">
        <w:rPr>
          <w:rFonts w:ascii="Times New Roman" w:hAnsi="標楷體" w:hint="eastAsia"/>
          <w:color w:val="000000" w:themeColor="text1"/>
          <w:kern w:val="2"/>
        </w:rPr>
        <w:t>年</w:t>
      </w:r>
      <w:r w:rsidRPr="00E64DFE">
        <w:rPr>
          <w:rFonts w:ascii="Times New Roman" w:hAnsi="標楷體"/>
          <w:color w:val="000000" w:themeColor="text1"/>
          <w:kern w:val="2"/>
        </w:rPr>
        <w:t>7</w:t>
      </w:r>
      <w:r w:rsidRPr="00E64DFE">
        <w:rPr>
          <w:rFonts w:ascii="Times New Roman" w:hAnsi="標楷體" w:hint="eastAsia"/>
          <w:color w:val="000000" w:themeColor="text1"/>
          <w:kern w:val="2"/>
        </w:rPr>
        <w:t>月</w:t>
      </w:r>
      <w:r w:rsidRPr="00E64DFE">
        <w:rPr>
          <w:rFonts w:ascii="Times New Roman" w:hAnsi="標楷體"/>
          <w:color w:val="000000" w:themeColor="text1"/>
          <w:kern w:val="2"/>
        </w:rPr>
        <w:t>11</w:t>
      </w:r>
      <w:r w:rsidRPr="00E64DFE">
        <w:rPr>
          <w:rFonts w:ascii="Times New Roman" w:hAnsi="標楷體" w:hint="eastAsia"/>
          <w:color w:val="000000" w:themeColor="text1"/>
          <w:kern w:val="2"/>
        </w:rPr>
        <w:t>日諮詢國立</w:t>
      </w:r>
      <w:r w:rsidR="00E64DFE">
        <w:rPr>
          <w:rFonts w:ascii="Times New Roman" w:hAnsi="標楷體" w:hint="eastAsia"/>
          <w:color w:val="000000" w:themeColor="text1"/>
          <w:kern w:val="2"/>
        </w:rPr>
        <w:t>國立</w:t>
      </w:r>
      <w:r w:rsidRPr="00E64DFE">
        <w:rPr>
          <w:rFonts w:ascii="Times New Roman" w:hAnsi="標楷體" w:hint="eastAsia"/>
          <w:color w:val="000000" w:themeColor="text1"/>
          <w:kern w:val="2"/>
        </w:rPr>
        <w:t>臺北大學法律學系吳光明教授、國立臺灣大學土木工程學系陳振川特聘教授、臺北市建築師公會黃秀莊理事長等專家學者意見，</w:t>
      </w:r>
      <w:r w:rsidRPr="00E64DFE">
        <w:rPr>
          <w:rFonts w:ascii="Times New Roman" w:hAnsi="標楷體"/>
          <w:color w:val="000000" w:themeColor="text1"/>
          <w:kern w:val="2"/>
        </w:rPr>
        <w:t>105</w:t>
      </w:r>
      <w:r w:rsidRPr="00E64DFE">
        <w:rPr>
          <w:rFonts w:ascii="Times New Roman" w:hAnsi="標楷體" w:hint="eastAsia"/>
          <w:color w:val="000000" w:themeColor="text1"/>
          <w:kern w:val="2"/>
        </w:rPr>
        <w:t>年</w:t>
      </w:r>
      <w:r w:rsidRPr="00E64DFE">
        <w:rPr>
          <w:rFonts w:ascii="Times New Roman" w:hAnsi="標楷體"/>
          <w:color w:val="000000" w:themeColor="text1"/>
          <w:kern w:val="2"/>
        </w:rPr>
        <w:t>2</w:t>
      </w:r>
      <w:r w:rsidRPr="00E64DFE">
        <w:rPr>
          <w:rFonts w:ascii="Times New Roman" w:hAnsi="標楷體" w:hint="eastAsia"/>
          <w:color w:val="000000" w:themeColor="text1"/>
          <w:kern w:val="2"/>
        </w:rPr>
        <w:t>月</w:t>
      </w:r>
      <w:r w:rsidRPr="00E64DFE">
        <w:rPr>
          <w:rFonts w:ascii="Times New Roman" w:hAnsi="標楷體"/>
          <w:color w:val="000000" w:themeColor="text1"/>
          <w:kern w:val="2"/>
        </w:rPr>
        <w:t>3</w:t>
      </w:r>
      <w:r w:rsidRPr="00E64DFE">
        <w:rPr>
          <w:rFonts w:ascii="Times New Roman" w:hAnsi="標楷體" w:hint="eastAsia"/>
          <w:color w:val="000000" w:themeColor="text1"/>
          <w:kern w:val="2"/>
        </w:rPr>
        <w:t>日約詢遠雄營造股份有限公司</w:t>
      </w:r>
      <w:r w:rsidR="00EB29B7">
        <w:rPr>
          <w:rFonts w:ascii="Times New Roman" w:hAnsi="標楷體" w:hint="eastAsia"/>
          <w:color w:val="000000" w:themeColor="text1"/>
          <w:kern w:val="2"/>
        </w:rPr>
        <w:t>與</w:t>
      </w:r>
      <w:r w:rsidR="00E64DFE" w:rsidRPr="00E64DFE">
        <w:rPr>
          <w:rFonts w:ascii="Times New Roman" w:hAnsi="標楷體" w:hint="eastAsia"/>
          <w:color w:val="000000" w:themeColor="text1"/>
          <w:kern w:val="2"/>
        </w:rPr>
        <w:t>臺灣</w:t>
      </w:r>
      <w:r w:rsidRPr="00E64DFE">
        <w:rPr>
          <w:rFonts w:ascii="Times New Roman" w:hAnsi="標楷體" w:hint="eastAsia"/>
          <w:color w:val="000000" w:themeColor="text1"/>
          <w:kern w:val="2"/>
        </w:rPr>
        <w:t>大林組營造股份有限公司專任工程人員、本案設計建築師羅興華、徐少游建築師等人就未按圖施工原委說明，</w:t>
      </w:r>
      <w:r w:rsidRPr="00E64DFE">
        <w:rPr>
          <w:rFonts w:ascii="Times New Roman" w:hAnsi="標楷體"/>
          <w:color w:val="000000" w:themeColor="text1"/>
          <w:kern w:val="2"/>
        </w:rPr>
        <w:t>105</w:t>
      </w:r>
      <w:r w:rsidRPr="00E64DFE">
        <w:rPr>
          <w:rFonts w:ascii="Times New Roman" w:hAnsi="標楷體" w:hint="eastAsia"/>
          <w:color w:val="000000" w:themeColor="text1"/>
          <w:kern w:val="2"/>
        </w:rPr>
        <w:t>年</w:t>
      </w:r>
      <w:r w:rsidRPr="00E64DFE">
        <w:rPr>
          <w:rFonts w:ascii="Times New Roman" w:hAnsi="標楷體"/>
          <w:color w:val="000000" w:themeColor="text1"/>
          <w:kern w:val="2"/>
        </w:rPr>
        <w:t>4</w:t>
      </w:r>
      <w:r w:rsidRPr="00E64DFE">
        <w:rPr>
          <w:rFonts w:ascii="Times New Roman" w:hAnsi="標楷體" w:hint="eastAsia"/>
          <w:color w:val="000000" w:themeColor="text1"/>
          <w:kern w:val="2"/>
        </w:rPr>
        <w:t>月</w:t>
      </w:r>
      <w:r w:rsidRPr="00E64DFE">
        <w:rPr>
          <w:rFonts w:ascii="Times New Roman" w:hAnsi="標楷體"/>
          <w:color w:val="000000" w:themeColor="text1"/>
          <w:kern w:val="2"/>
        </w:rPr>
        <w:t>22</w:t>
      </w:r>
      <w:r w:rsidRPr="00E64DFE">
        <w:rPr>
          <w:rFonts w:ascii="Times New Roman" w:hAnsi="標楷體" w:hint="eastAsia"/>
          <w:color w:val="000000" w:themeColor="text1"/>
          <w:kern w:val="2"/>
        </w:rPr>
        <w:t>日約詢內政部營建署副署長王榮進等相關人員就建築法規範內涵說明，後於</w:t>
      </w:r>
      <w:r w:rsidRPr="00E64DFE">
        <w:rPr>
          <w:rFonts w:ascii="Times New Roman" w:hAnsi="標楷體"/>
          <w:color w:val="000000" w:themeColor="text1"/>
          <w:kern w:val="2"/>
        </w:rPr>
        <w:t>105</w:t>
      </w:r>
      <w:r w:rsidRPr="00E64DFE">
        <w:rPr>
          <w:rFonts w:ascii="Times New Roman" w:hAnsi="標楷體" w:hint="eastAsia"/>
          <w:color w:val="000000" w:themeColor="text1"/>
          <w:kern w:val="2"/>
        </w:rPr>
        <w:t>年</w:t>
      </w:r>
      <w:r w:rsidRPr="00E64DFE">
        <w:rPr>
          <w:rFonts w:ascii="Times New Roman" w:hAnsi="標楷體"/>
          <w:color w:val="000000" w:themeColor="text1"/>
          <w:kern w:val="2"/>
        </w:rPr>
        <w:t>5</w:t>
      </w:r>
      <w:r w:rsidRPr="00E64DFE">
        <w:rPr>
          <w:rFonts w:ascii="Times New Roman" w:hAnsi="標楷體" w:hint="eastAsia"/>
          <w:color w:val="000000" w:themeColor="text1"/>
          <w:kern w:val="2"/>
        </w:rPr>
        <w:t>月</w:t>
      </w:r>
      <w:r w:rsidRPr="00E64DFE">
        <w:rPr>
          <w:rFonts w:ascii="Times New Roman" w:hAnsi="標楷體"/>
          <w:color w:val="000000" w:themeColor="text1"/>
          <w:kern w:val="2"/>
        </w:rPr>
        <w:t>26</w:t>
      </w:r>
      <w:r w:rsidRPr="00E64DFE">
        <w:rPr>
          <w:rFonts w:ascii="Times New Roman" w:hAnsi="標楷體" w:hint="eastAsia"/>
          <w:color w:val="000000" w:themeColor="text1"/>
          <w:kern w:val="2"/>
        </w:rPr>
        <w:t>日約詢遠雄巨蛋公司代表人趙藤雄就其陳訴意見補充說明，</w:t>
      </w:r>
      <w:r w:rsidRPr="00E64DFE">
        <w:rPr>
          <w:rFonts w:ascii="Times New Roman" w:hAnsi="標楷體"/>
          <w:color w:val="000000" w:themeColor="text1"/>
          <w:kern w:val="2"/>
        </w:rPr>
        <w:t>105</w:t>
      </w:r>
      <w:r w:rsidRPr="00E64DFE">
        <w:rPr>
          <w:rFonts w:ascii="Times New Roman" w:hAnsi="標楷體" w:hint="eastAsia"/>
          <w:color w:val="000000" w:themeColor="text1"/>
          <w:kern w:val="2"/>
        </w:rPr>
        <w:t>年</w:t>
      </w:r>
      <w:r w:rsidRPr="00E64DFE">
        <w:rPr>
          <w:rFonts w:ascii="Times New Roman" w:hAnsi="標楷體"/>
          <w:color w:val="000000" w:themeColor="text1"/>
          <w:kern w:val="2"/>
        </w:rPr>
        <w:t>5</w:t>
      </w:r>
      <w:r w:rsidRPr="00E64DFE">
        <w:rPr>
          <w:rFonts w:ascii="Times New Roman" w:hAnsi="標楷體" w:hint="eastAsia"/>
          <w:color w:val="000000" w:themeColor="text1"/>
          <w:kern w:val="2"/>
        </w:rPr>
        <w:t>月</w:t>
      </w:r>
      <w:r w:rsidRPr="00E64DFE">
        <w:rPr>
          <w:rFonts w:ascii="Times New Roman" w:hAnsi="標楷體"/>
          <w:color w:val="000000" w:themeColor="text1"/>
          <w:kern w:val="2"/>
        </w:rPr>
        <w:t>30</w:t>
      </w:r>
      <w:r w:rsidR="00E64DFE">
        <w:rPr>
          <w:rFonts w:ascii="Times New Roman" w:hAnsi="標楷體" w:hint="eastAsia"/>
          <w:color w:val="000000" w:themeColor="text1"/>
          <w:kern w:val="2"/>
        </w:rPr>
        <w:t>日約詢臺北市</w:t>
      </w:r>
      <w:r w:rsidRPr="00E64DFE">
        <w:rPr>
          <w:rFonts w:ascii="Times New Roman" w:hAnsi="標楷體" w:hint="eastAsia"/>
          <w:color w:val="000000" w:themeColor="text1"/>
          <w:kern w:val="2"/>
        </w:rPr>
        <w:t>市長柯文哲（請假未到；副市長陳景峻代理）及都市發展局</w:t>
      </w:r>
      <w:r w:rsidR="00E64DFE">
        <w:rPr>
          <w:rFonts w:ascii="Times New Roman" w:hAnsi="標楷體" w:hint="eastAsia"/>
          <w:color w:val="000000" w:themeColor="text1"/>
          <w:kern w:val="2"/>
        </w:rPr>
        <w:t>局</w:t>
      </w:r>
      <w:r w:rsidRPr="00E64DFE">
        <w:rPr>
          <w:rFonts w:ascii="Times New Roman" w:hAnsi="標楷體" w:hint="eastAsia"/>
          <w:color w:val="000000" w:themeColor="text1"/>
          <w:kern w:val="2"/>
        </w:rPr>
        <w:t>長林洲民等相關人員、</w:t>
      </w:r>
      <w:r w:rsidRPr="00E64DFE">
        <w:rPr>
          <w:rFonts w:ascii="Times New Roman" w:hAnsi="標楷體"/>
          <w:color w:val="000000" w:themeColor="text1"/>
          <w:kern w:val="2"/>
        </w:rPr>
        <w:t>105</w:t>
      </w:r>
      <w:r w:rsidRPr="00E64DFE">
        <w:rPr>
          <w:rFonts w:ascii="Times New Roman" w:hAnsi="標楷體" w:hint="eastAsia"/>
          <w:color w:val="000000" w:themeColor="text1"/>
          <w:kern w:val="2"/>
        </w:rPr>
        <w:t>年</w:t>
      </w:r>
      <w:r w:rsidRPr="00E64DFE">
        <w:rPr>
          <w:rFonts w:ascii="Times New Roman" w:hAnsi="標楷體"/>
          <w:color w:val="000000" w:themeColor="text1"/>
          <w:kern w:val="2"/>
        </w:rPr>
        <w:t>7</w:t>
      </w:r>
      <w:r w:rsidRPr="00E64DFE">
        <w:rPr>
          <w:rFonts w:ascii="Times New Roman" w:hAnsi="標楷體" w:hint="eastAsia"/>
          <w:color w:val="000000" w:themeColor="text1"/>
          <w:kern w:val="2"/>
        </w:rPr>
        <w:t>月</w:t>
      </w:r>
      <w:r w:rsidRPr="00E64DFE">
        <w:rPr>
          <w:rFonts w:ascii="Times New Roman" w:hAnsi="標楷體"/>
          <w:color w:val="000000" w:themeColor="text1"/>
          <w:kern w:val="2"/>
        </w:rPr>
        <w:t>20</w:t>
      </w:r>
      <w:r w:rsidRPr="00E64DFE">
        <w:rPr>
          <w:rFonts w:ascii="Times New Roman" w:hAnsi="標楷體" w:hint="eastAsia"/>
          <w:color w:val="000000" w:themeColor="text1"/>
          <w:kern w:val="2"/>
        </w:rPr>
        <w:t>日約詢內政部部長葉俊榮</w:t>
      </w:r>
      <w:r w:rsidR="00E64DFE" w:rsidRPr="009B6D0C">
        <w:rPr>
          <w:rFonts w:hAnsi="標楷體" w:hint="eastAsia"/>
          <w:color w:val="000000" w:themeColor="text1"/>
        </w:rPr>
        <w:t>（請假未到；內政部常務次長林慈玲代理及營建署</w:t>
      </w:r>
      <w:r w:rsidR="00D50D50">
        <w:rPr>
          <w:rFonts w:hAnsi="標楷體" w:hint="eastAsia"/>
          <w:color w:val="000000" w:themeColor="text1"/>
        </w:rPr>
        <w:t>署</w:t>
      </w:r>
      <w:r w:rsidR="00E64DFE" w:rsidRPr="009B6D0C">
        <w:rPr>
          <w:rFonts w:hAnsi="標楷體" w:hint="eastAsia"/>
          <w:color w:val="000000" w:themeColor="text1"/>
        </w:rPr>
        <w:t>長許文龍列席）及臺北市市長柯文哲就七項基準與復工條件說明，</w:t>
      </w:r>
      <w:r w:rsidR="00CB0E93" w:rsidRPr="00E64DFE">
        <w:rPr>
          <w:rFonts w:ascii="Times New Roman"/>
          <w:bCs/>
          <w:color w:val="000000" w:themeColor="text1"/>
          <w:spacing w:val="39"/>
          <w:fitText w:val="7480" w:id="1209773312"/>
        </w:rPr>
        <w:t>業調查竣事，</w:t>
      </w:r>
      <w:r w:rsidR="00271BE3" w:rsidRPr="00E64DFE">
        <w:rPr>
          <w:rFonts w:ascii="Times New Roman"/>
          <w:color w:val="000000" w:themeColor="text1"/>
          <w:spacing w:val="39"/>
          <w:fitText w:val="7480" w:id="1209773312"/>
        </w:rPr>
        <w:t>茲</w:t>
      </w:r>
      <w:r w:rsidR="00271BE3" w:rsidRPr="00E64DFE">
        <w:rPr>
          <w:rFonts w:hint="eastAsia"/>
          <w:bCs/>
          <w:color w:val="000000" w:themeColor="text1"/>
          <w:spacing w:val="39"/>
          <w:fitText w:val="7480" w:id="1209773312"/>
        </w:rPr>
        <w:t>臚列糾正</w:t>
      </w:r>
      <w:r w:rsidR="00271BE3" w:rsidRPr="00E64DFE">
        <w:rPr>
          <w:rFonts w:hint="eastAsia"/>
          <w:color w:val="000000" w:themeColor="text1"/>
          <w:spacing w:val="39"/>
          <w:fitText w:val="7480" w:id="1209773312"/>
        </w:rPr>
        <w:t>事實與理由</w:t>
      </w:r>
      <w:r w:rsidR="00271BE3" w:rsidRPr="00E64DFE">
        <w:rPr>
          <w:rFonts w:hint="eastAsia"/>
          <w:bCs/>
          <w:color w:val="000000" w:themeColor="text1"/>
          <w:spacing w:val="39"/>
          <w:fitText w:val="7480" w:id="1209773312"/>
        </w:rPr>
        <w:t>如</w:t>
      </w:r>
      <w:r w:rsidR="00271BE3" w:rsidRPr="00E64DFE">
        <w:rPr>
          <w:rFonts w:hint="eastAsia"/>
          <w:color w:val="000000" w:themeColor="text1"/>
          <w:spacing w:val="39"/>
          <w:fitText w:val="7480" w:id="1209773312"/>
        </w:rPr>
        <w:t>次</w:t>
      </w:r>
      <w:r w:rsidR="00271BE3" w:rsidRPr="00E64DFE">
        <w:rPr>
          <w:rFonts w:hint="eastAsia"/>
          <w:color w:val="000000" w:themeColor="text1"/>
          <w:spacing w:val="-1"/>
          <w:fitText w:val="7480" w:id="1209773312"/>
        </w:rPr>
        <w:t>：</w:t>
      </w:r>
    </w:p>
    <w:p w:rsidR="00D50D50" w:rsidRPr="00B86E9B" w:rsidRDefault="00D50D50" w:rsidP="00D50D50">
      <w:pPr>
        <w:pStyle w:val="2"/>
        <w:numPr>
          <w:ilvl w:val="1"/>
          <w:numId w:val="6"/>
        </w:numPr>
        <w:overflowPunct w:val="0"/>
        <w:autoSpaceDE w:val="0"/>
        <w:autoSpaceDN w:val="0"/>
        <w:snapToGrid w:val="0"/>
        <w:spacing w:line="440" w:lineRule="atLeast"/>
        <w:rPr>
          <w:rFonts w:hAnsi="標楷體"/>
          <w:b/>
          <w:color w:val="000000"/>
        </w:rPr>
      </w:pPr>
      <w:r w:rsidRPr="00B86E9B">
        <w:rPr>
          <w:rFonts w:hAnsi="標楷體" w:hint="eastAsia"/>
          <w:b/>
          <w:color w:val="000000"/>
        </w:rPr>
        <w:t>臺北市政府未依</w:t>
      </w:r>
      <w:r w:rsidRPr="00B86E9B">
        <w:rPr>
          <w:rFonts w:hAnsi="標楷體"/>
          <w:b/>
          <w:color w:val="000000"/>
        </w:rPr>
        <w:t>臺北文化體育園區－大型室內體育館開發計畫案興建營運契約</w:t>
      </w:r>
      <w:r w:rsidRPr="00B86E9B">
        <w:rPr>
          <w:rFonts w:hAnsi="標楷體" w:hint="eastAsia"/>
          <w:b/>
          <w:color w:val="000000"/>
        </w:rPr>
        <w:t>（即BOT契約）之約定，於104年5月14日前之歷次勘驗，均未詳實比對建築圖說與現場差異，殊難謂善盡BOT契約之勘驗責任；又遠雄巨蛋公司違法未按圖施工，對於所衍生公安疑慮，固有無可推卸</w:t>
      </w:r>
      <w:r>
        <w:rPr>
          <w:rFonts w:hAnsi="標楷體" w:hint="eastAsia"/>
          <w:b/>
          <w:color w:val="000000"/>
        </w:rPr>
        <w:t>之</w:t>
      </w:r>
      <w:r w:rsidRPr="00B86E9B">
        <w:rPr>
          <w:rFonts w:hAnsi="標楷體" w:hint="eastAsia"/>
          <w:b/>
          <w:color w:val="000000"/>
        </w:rPr>
        <w:t>責任。惟臺北市政府亦僅基於行政高權並未考量與遠雄巨蛋公司具有</w:t>
      </w:r>
      <w:r w:rsidRPr="00B86E9B">
        <w:rPr>
          <w:rFonts w:hAnsi="標楷體" w:hint="eastAsia"/>
          <w:b/>
          <w:color w:val="000000"/>
        </w:rPr>
        <w:lastRenderedPageBreak/>
        <w:t>BOT夥伴關係，其透過媒體忽而解約、忽而換手，致使契約兩造信賴關係破壞殆盡，亦有未洽之處，臺北市政府允宜依據BOT契約約定，</w:t>
      </w:r>
      <w:r w:rsidRPr="00B86E9B">
        <w:rPr>
          <w:rFonts w:hAnsi="標楷體"/>
          <w:b/>
          <w:color w:val="000000"/>
        </w:rPr>
        <w:t>本於合作、誠信、公平及合理之精神</w:t>
      </w:r>
      <w:r w:rsidRPr="00B86E9B">
        <w:rPr>
          <w:rFonts w:hAnsi="標楷體" w:hint="eastAsia"/>
          <w:b/>
          <w:color w:val="000000"/>
        </w:rPr>
        <w:t>協助遠雄巨蛋公司將臺北市重大建設巨蛋案興建成功，俾避免重大危難之發生，並保障臺北市民基本權利。</w:t>
      </w:r>
    </w:p>
    <w:p w:rsidR="00D50D50" w:rsidRPr="00B86E9B" w:rsidRDefault="00D50D50" w:rsidP="00D50D50">
      <w:pPr>
        <w:pStyle w:val="3"/>
        <w:kinsoku w:val="0"/>
        <w:autoSpaceDE w:val="0"/>
        <w:autoSpaceDN w:val="0"/>
        <w:snapToGrid w:val="0"/>
        <w:spacing w:line="440" w:lineRule="atLeast"/>
        <w:rPr>
          <w:rFonts w:hAnsi="標楷體"/>
          <w:b/>
          <w:color w:val="000000"/>
        </w:rPr>
      </w:pPr>
      <w:r w:rsidRPr="00B86E9B">
        <w:rPr>
          <w:rFonts w:hAnsi="標楷體" w:hint="eastAsia"/>
          <w:b/>
          <w:color w:val="000000"/>
        </w:rPr>
        <w:t>BOT主辦機關與民間機構之法律關係應依</w:t>
      </w:r>
      <w:r w:rsidRPr="00D2051E">
        <w:rPr>
          <w:rFonts w:hAnsi="標楷體"/>
          <w:b/>
          <w:color w:val="000000"/>
        </w:rPr>
        <w:t>促進民間參與公共建設法</w:t>
      </w:r>
      <w:r w:rsidRPr="00B86E9B">
        <w:rPr>
          <w:rFonts w:hAnsi="標楷體" w:hint="eastAsia"/>
          <w:b/>
          <w:color w:val="000000"/>
        </w:rPr>
        <w:t>與投資契約內容而定，其主辦機關行使權利與履行義務，不得違反公共利益，或以損害他人為主要目的並應依誠實及信用方法為之。</w:t>
      </w:r>
    </w:p>
    <w:p w:rsidR="00D50D50" w:rsidRPr="00B86E9B" w:rsidRDefault="00D50D50" w:rsidP="00D50D50">
      <w:pPr>
        <w:pStyle w:val="3"/>
        <w:numPr>
          <w:ilvl w:val="0"/>
          <w:numId w:val="0"/>
        </w:numPr>
        <w:snapToGrid w:val="0"/>
        <w:spacing w:line="440" w:lineRule="atLeast"/>
        <w:ind w:left="1393" w:firstLineChars="215" w:firstLine="731"/>
        <w:rPr>
          <w:rFonts w:hAnsi="標楷體"/>
          <w:color w:val="000000"/>
        </w:rPr>
      </w:pPr>
      <w:r w:rsidRPr="00B86E9B">
        <w:rPr>
          <w:rFonts w:hAnsi="標楷體" w:hint="eastAsia"/>
          <w:color w:val="000000"/>
        </w:rPr>
        <w:t>按</w:t>
      </w:r>
      <w:r w:rsidRPr="00B86E9B">
        <w:rPr>
          <w:rFonts w:hAnsi="標楷體"/>
          <w:color w:val="000000"/>
        </w:rPr>
        <w:t>促進民間參與公共建設法</w:t>
      </w:r>
      <w:r w:rsidRPr="00B86E9B">
        <w:rPr>
          <w:rFonts w:hAnsi="標楷體" w:hint="eastAsia"/>
          <w:color w:val="000000"/>
        </w:rPr>
        <w:t>（下稱促參法）第1條規定：「</w:t>
      </w:r>
      <w:r w:rsidRPr="00B86E9B">
        <w:rPr>
          <w:rFonts w:hAnsi="標楷體"/>
          <w:color w:val="000000"/>
        </w:rPr>
        <w:t>為提升公共服務水準，加速社會經濟發展，促進民間參與公共建設，特制定本法。</w:t>
      </w:r>
      <w:r w:rsidRPr="00B86E9B">
        <w:rPr>
          <w:rFonts w:hAnsi="標楷體" w:hint="eastAsia"/>
          <w:color w:val="000000"/>
        </w:rPr>
        <w:t>」同法第2條規定：「</w:t>
      </w:r>
      <w:r w:rsidRPr="00B86E9B">
        <w:rPr>
          <w:rFonts w:hAnsi="標楷體"/>
          <w:color w:val="000000"/>
        </w:rPr>
        <w:t>促進民間參與公共建設，依本法之規定。本法未規定者，適用其他有關法律之規定。</w:t>
      </w:r>
      <w:r w:rsidRPr="00B86E9B">
        <w:rPr>
          <w:rFonts w:hAnsi="標楷體" w:hint="eastAsia"/>
          <w:color w:val="000000"/>
        </w:rPr>
        <w:t>」同法第8條第1項第1款：「</w:t>
      </w:r>
      <w:r w:rsidRPr="00B86E9B">
        <w:rPr>
          <w:rFonts w:hAnsi="標楷體"/>
          <w:color w:val="000000"/>
        </w:rPr>
        <w:t>由民間機構投資興建並為營運；營運期間屆滿後，移轉該建設之所有權予政府</w:t>
      </w:r>
      <w:r w:rsidRPr="00B86E9B">
        <w:rPr>
          <w:rFonts w:hAnsi="標楷體" w:hint="eastAsia"/>
          <w:color w:val="000000"/>
        </w:rPr>
        <w:t>。」同法第12條規定：「</w:t>
      </w:r>
      <w:r w:rsidRPr="00B86E9B">
        <w:rPr>
          <w:rFonts w:hAnsi="標楷體"/>
          <w:color w:val="000000"/>
        </w:rPr>
        <w:t>主辦機關與民間機構之權利義務，除本法另有規定外，依投資契約之約定；契約無約定者，適用民事法相關之規定</w:t>
      </w:r>
      <w:r w:rsidRPr="00B86E9B">
        <w:rPr>
          <w:rFonts w:hAnsi="標楷體" w:hint="eastAsia"/>
          <w:color w:val="000000"/>
        </w:rPr>
        <w:t>。</w:t>
      </w:r>
      <w:r w:rsidRPr="00B86E9B">
        <w:rPr>
          <w:rFonts w:hAnsi="標楷體"/>
          <w:color w:val="000000"/>
        </w:rPr>
        <w:t>投資契約之訂定，應以維護公共利益及公平合理為原則；其履行，應依誠實及信用之方法</w:t>
      </w:r>
      <w:r w:rsidRPr="00B86E9B">
        <w:rPr>
          <w:rFonts w:hAnsi="標楷體" w:hint="eastAsia"/>
          <w:color w:val="000000"/>
        </w:rPr>
        <w:t>。」觀其立法理由為：「參照聯合國等相關機構之研究及政府採購法之規定，爰於第一項規定主辦機關與民間機構之權利義務關係，依民事契約原則，悉由投資契約規範之。並於第二項揭示投資契約之訂定，應以維護公共利益及公平合理為原則，其履行應依誠信方法，以反映主辦機關與民間機構平等合作之夥伴理念，並營造雙贏投資條件。」等語，顯見行政機</w:t>
      </w:r>
      <w:r w:rsidRPr="00B86E9B">
        <w:rPr>
          <w:rFonts w:hAnsi="標楷體" w:hint="eastAsia"/>
          <w:color w:val="000000"/>
        </w:rPr>
        <w:lastRenderedPageBreak/>
        <w:t>關於促參法上與民間機構為夥伴關係；復按</w:t>
      </w:r>
      <w:bookmarkStart w:id="33" w:name="_Toc238529940"/>
      <w:bookmarkStart w:id="34" w:name="_Toc238530457"/>
      <w:bookmarkStart w:id="35" w:name="_Toc238543710"/>
      <w:bookmarkStart w:id="36" w:name="_Toc239216373"/>
      <w:bookmarkStart w:id="37" w:name="_Toc239220885"/>
      <w:r w:rsidRPr="00B86E9B">
        <w:rPr>
          <w:rFonts w:hAnsi="標楷體"/>
          <w:color w:val="000000"/>
        </w:rPr>
        <w:t>臺北文化體育園區－大型室內體育館開發計畫案興建營運契約1.1</w:t>
      </w:r>
      <w:r w:rsidRPr="00B86E9B">
        <w:rPr>
          <w:rFonts w:hAnsi="標楷體" w:hint="eastAsia"/>
          <w:color w:val="000000"/>
        </w:rPr>
        <w:t>規定：「</w:t>
      </w:r>
      <w:r w:rsidRPr="00B86E9B">
        <w:rPr>
          <w:rFonts w:hAnsi="標楷體"/>
          <w:color w:val="000000"/>
        </w:rPr>
        <w:t>契約範圍</w:t>
      </w:r>
      <w:bookmarkEnd w:id="33"/>
      <w:bookmarkEnd w:id="34"/>
      <w:bookmarkEnd w:id="35"/>
      <w:bookmarkEnd w:id="36"/>
      <w:bookmarkEnd w:id="37"/>
      <w:r w:rsidRPr="00B86E9B">
        <w:rPr>
          <w:rFonts w:hAnsi="標楷體"/>
          <w:color w:val="000000"/>
        </w:rPr>
        <w:t>本計畫包括多功能之大型室內體育館及其附屬設施、附屬事業等之興建、營運及移轉。</w:t>
      </w:r>
      <w:r w:rsidRPr="00B86E9B">
        <w:rPr>
          <w:rFonts w:hAnsi="標楷體" w:hint="eastAsia"/>
          <w:color w:val="000000"/>
        </w:rPr>
        <w:t>」</w:t>
      </w:r>
      <w:bookmarkStart w:id="38" w:name="_Toc238529948"/>
      <w:bookmarkStart w:id="39" w:name="_Toc238530465"/>
      <w:bookmarkStart w:id="40" w:name="_Toc238543718"/>
      <w:bookmarkStart w:id="41" w:name="_Toc239216381"/>
      <w:bookmarkStart w:id="42" w:name="_Toc239220893"/>
      <w:r w:rsidRPr="00B86E9B">
        <w:rPr>
          <w:rFonts w:hAnsi="標楷體" w:hint="eastAsia"/>
          <w:color w:val="000000"/>
        </w:rPr>
        <w:t>同契約</w:t>
      </w:r>
      <w:r w:rsidRPr="00B86E9B">
        <w:rPr>
          <w:rFonts w:hAnsi="標楷體"/>
          <w:color w:val="000000"/>
        </w:rPr>
        <w:t>1.2.3</w:t>
      </w:r>
      <w:r w:rsidRPr="00B86E9B">
        <w:rPr>
          <w:rFonts w:hAnsi="標楷體" w:hint="eastAsia"/>
          <w:color w:val="000000"/>
        </w:rPr>
        <w:t>規定：「</w:t>
      </w:r>
      <w:r w:rsidRPr="00B86E9B">
        <w:rPr>
          <w:rFonts w:hAnsi="標楷體"/>
          <w:color w:val="000000"/>
        </w:rPr>
        <w:t>本契約及其未盡事項悉依促進民間參與公共建設法及相關法令之規定辦理。</w:t>
      </w:r>
      <w:bookmarkStart w:id="43" w:name="_Toc238529971"/>
      <w:bookmarkStart w:id="44" w:name="_Toc238530488"/>
      <w:bookmarkStart w:id="45" w:name="_Toc238543741"/>
      <w:bookmarkStart w:id="46" w:name="_Toc239216404"/>
      <w:bookmarkStart w:id="47" w:name="_Toc239220916"/>
      <w:bookmarkEnd w:id="38"/>
      <w:bookmarkEnd w:id="39"/>
      <w:bookmarkEnd w:id="40"/>
      <w:bookmarkEnd w:id="41"/>
      <w:bookmarkEnd w:id="42"/>
      <w:r w:rsidRPr="00B86E9B">
        <w:rPr>
          <w:rFonts w:hAnsi="標楷體" w:hint="eastAsia"/>
          <w:color w:val="000000"/>
        </w:rPr>
        <w:t>」同契約</w:t>
      </w:r>
      <w:r w:rsidRPr="00B86E9B">
        <w:rPr>
          <w:rFonts w:hAnsi="標楷體"/>
          <w:color w:val="000000"/>
        </w:rPr>
        <w:t>2.2.1</w:t>
      </w:r>
      <w:r w:rsidRPr="00B86E9B">
        <w:rPr>
          <w:rFonts w:hAnsi="標楷體" w:hint="eastAsia"/>
          <w:color w:val="000000"/>
        </w:rPr>
        <w:t>規定：「</w:t>
      </w:r>
      <w:bookmarkStart w:id="48" w:name="_Toc238529972"/>
      <w:bookmarkStart w:id="49" w:name="_Toc238530489"/>
      <w:bookmarkStart w:id="50" w:name="_Toc238543742"/>
      <w:bookmarkStart w:id="51" w:name="_Toc239216405"/>
      <w:bookmarkStart w:id="52" w:name="_Toc239220917"/>
      <w:bookmarkEnd w:id="43"/>
      <w:bookmarkEnd w:id="44"/>
      <w:bookmarkEnd w:id="45"/>
      <w:bookmarkEnd w:id="46"/>
      <w:bookmarkEnd w:id="47"/>
      <w:r w:rsidRPr="00B86E9B">
        <w:rPr>
          <w:rFonts w:hAnsi="標楷體"/>
          <w:color w:val="000000"/>
        </w:rPr>
        <w:t>本計畫係依促參法第八條第一項第一款及第十五條之規定，採設定地上權方式由乙方參與興建暨營運臺北市大型室內體育館及附屬事業並營運至許可年限屆滿後，將所有之營運資產移轉予甲方。</w:t>
      </w:r>
      <w:bookmarkStart w:id="53" w:name="_Toc238529982"/>
      <w:bookmarkStart w:id="54" w:name="_Toc238530499"/>
      <w:bookmarkStart w:id="55" w:name="_Toc238543752"/>
      <w:bookmarkStart w:id="56" w:name="_Toc239216415"/>
      <w:bookmarkStart w:id="57" w:name="_Toc239220927"/>
      <w:bookmarkEnd w:id="48"/>
      <w:bookmarkEnd w:id="49"/>
      <w:bookmarkEnd w:id="50"/>
      <w:bookmarkEnd w:id="51"/>
      <w:bookmarkEnd w:id="52"/>
      <w:r w:rsidRPr="00B86E9B">
        <w:rPr>
          <w:rFonts w:hAnsi="標楷體" w:hint="eastAsia"/>
          <w:color w:val="000000"/>
        </w:rPr>
        <w:t>」同契約</w:t>
      </w:r>
      <w:r w:rsidRPr="00B86E9B">
        <w:rPr>
          <w:rFonts w:hAnsi="標楷體"/>
          <w:color w:val="000000"/>
        </w:rPr>
        <w:t>3.1.1</w:t>
      </w:r>
      <w:r w:rsidRPr="00B86E9B">
        <w:rPr>
          <w:rFonts w:hAnsi="標楷體" w:hint="eastAsia"/>
          <w:color w:val="000000"/>
        </w:rPr>
        <w:t>規定：「</w:t>
      </w:r>
      <w:r w:rsidRPr="00B86E9B">
        <w:rPr>
          <w:rFonts w:hAnsi="標楷體"/>
          <w:color w:val="000000"/>
        </w:rPr>
        <w:t>為使本計畫之興建及營運順利成功，願本於合作、誠信、公平及合理之精神履行本契約。</w:t>
      </w:r>
      <w:bookmarkStart w:id="58" w:name="_Toc238529984"/>
      <w:bookmarkStart w:id="59" w:name="_Toc238530501"/>
      <w:bookmarkStart w:id="60" w:name="_Toc238543754"/>
      <w:bookmarkStart w:id="61" w:name="_Toc239216417"/>
      <w:bookmarkStart w:id="62" w:name="_Toc239220929"/>
      <w:bookmarkEnd w:id="53"/>
      <w:bookmarkEnd w:id="54"/>
      <w:bookmarkEnd w:id="55"/>
      <w:bookmarkEnd w:id="56"/>
      <w:bookmarkEnd w:id="57"/>
      <w:r w:rsidRPr="00B86E9B">
        <w:rPr>
          <w:rFonts w:hAnsi="標楷體" w:hint="eastAsia"/>
          <w:color w:val="000000"/>
        </w:rPr>
        <w:t>」同契約</w:t>
      </w:r>
      <w:r w:rsidRPr="00B86E9B">
        <w:rPr>
          <w:rFonts w:hAnsi="標楷體"/>
          <w:color w:val="000000"/>
        </w:rPr>
        <w:t>3.1.2</w:t>
      </w:r>
      <w:r w:rsidRPr="00B86E9B">
        <w:rPr>
          <w:rFonts w:hAnsi="標楷體" w:hint="eastAsia"/>
          <w:color w:val="000000"/>
        </w:rPr>
        <w:t>規定：「</w:t>
      </w:r>
      <w:r w:rsidRPr="00B86E9B">
        <w:rPr>
          <w:rFonts w:hAnsi="標楷體"/>
          <w:color w:val="000000"/>
        </w:rPr>
        <w:t>為兼顧雙方權益之立場，雙方儘可能以協調方式解決本契約之未盡事宜或各種爭議，避免爭訟。</w:t>
      </w:r>
      <w:bookmarkStart w:id="63" w:name="_Toc238529988"/>
      <w:bookmarkStart w:id="64" w:name="_Toc238530505"/>
      <w:bookmarkStart w:id="65" w:name="_Toc238543758"/>
      <w:bookmarkStart w:id="66" w:name="_Toc239216421"/>
      <w:bookmarkStart w:id="67" w:name="_Toc239220933"/>
      <w:bookmarkEnd w:id="58"/>
      <w:bookmarkEnd w:id="59"/>
      <w:bookmarkEnd w:id="60"/>
      <w:bookmarkEnd w:id="61"/>
      <w:bookmarkEnd w:id="62"/>
      <w:r w:rsidRPr="00B86E9B">
        <w:rPr>
          <w:rFonts w:hAnsi="標楷體" w:hint="eastAsia"/>
          <w:color w:val="000000"/>
        </w:rPr>
        <w:t>」同契約</w:t>
      </w:r>
      <w:r w:rsidRPr="00B86E9B">
        <w:rPr>
          <w:rFonts w:hAnsi="標楷體"/>
          <w:color w:val="000000"/>
        </w:rPr>
        <w:t>3.2.1</w:t>
      </w:r>
      <w:r w:rsidRPr="00B86E9B">
        <w:rPr>
          <w:rFonts w:hAnsi="標楷體" w:hint="eastAsia"/>
          <w:color w:val="000000"/>
        </w:rPr>
        <w:t>規定：「</w:t>
      </w:r>
      <w:r w:rsidRPr="00B86E9B">
        <w:rPr>
          <w:rFonts w:hAnsi="標楷體"/>
          <w:color w:val="000000"/>
        </w:rPr>
        <w:t>甲方對於本契約之未盡事宜，願基於兼顧雙方權益平等之立場與乙方協調解決，以促使本計畫興建及營運之成功。</w:t>
      </w:r>
      <w:bookmarkEnd w:id="63"/>
      <w:bookmarkEnd w:id="64"/>
      <w:bookmarkEnd w:id="65"/>
      <w:bookmarkEnd w:id="66"/>
      <w:bookmarkEnd w:id="67"/>
      <w:r w:rsidRPr="00B86E9B">
        <w:rPr>
          <w:rFonts w:hAnsi="標楷體" w:hint="eastAsia"/>
          <w:color w:val="000000"/>
        </w:rPr>
        <w:t>」同契約</w:t>
      </w:r>
      <w:bookmarkStart w:id="68" w:name="_Toc238529990"/>
      <w:bookmarkStart w:id="69" w:name="_Toc238530507"/>
      <w:bookmarkStart w:id="70" w:name="_Toc238543760"/>
      <w:bookmarkStart w:id="71" w:name="_Toc239216423"/>
      <w:bookmarkStart w:id="72" w:name="_Toc239220935"/>
      <w:r w:rsidRPr="00B86E9B">
        <w:rPr>
          <w:rFonts w:hAnsi="標楷體"/>
          <w:color w:val="000000"/>
        </w:rPr>
        <w:t>3.2.2</w:t>
      </w:r>
      <w:r w:rsidRPr="00B86E9B">
        <w:rPr>
          <w:rFonts w:hAnsi="標楷體" w:hint="eastAsia"/>
          <w:color w:val="000000"/>
        </w:rPr>
        <w:t>規定：「</w:t>
      </w:r>
      <w:r w:rsidRPr="00B86E9B">
        <w:rPr>
          <w:rFonts w:hAnsi="標楷體"/>
          <w:color w:val="000000"/>
        </w:rPr>
        <w:t>甲方依本契約規定應為之核准、同意，或應提供之文件、資料，同意依法適時為之。</w:t>
      </w:r>
      <w:bookmarkEnd w:id="68"/>
      <w:bookmarkEnd w:id="69"/>
      <w:bookmarkEnd w:id="70"/>
      <w:bookmarkEnd w:id="71"/>
      <w:bookmarkEnd w:id="72"/>
      <w:r w:rsidRPr="00B86E9B">
        <w:rPr>
          <w:rFonts w:hAnsi="標楷體" w:hint="eastAsia"/>
          <w:color w:val="000000"/>
        </w:rPr>
        <w:t>」同契約4.3規定：「證照或許可取得之協助</w:t>
      </w:r>
      <w:r w:rsidRPr="00B86E9B">
        <w:rPr>
          <w:rFonts w:hAnsi="標楷體"/>
          <w:color w:val="000000"/>
        </w:rPr>
        <w:t>—</w:t>
      </w:r>
      <w:r w:rsidRPr="00B86E9B">
        <w:rPr>
          <w:rFonts w:hAnsi="標楷體" w:hint="eastAsia"/>
          <w:color w:val="000000"/>
        </w:rPr>
        <w:t>乙方因執行本計畫而須向相關政府機關申請證照、許可或辦理都市計畫變更時，甲方於法令許可及權責範圍內，將協助乙方與相關政府機關進行協調或提供必要之證明文件。」同契約</w:t>
      </w:r>
      <w:r w:rsidRPr="00B86E9B">
        <w:rPr>
          <w:rFonts w:hAnsi="標楷體"/>
          <w:color w:val="000000"/>
        </w:rPr>
        <w:t>7.1.3</w:t>
      </w:r>
      <w:r w:rsidRPr="00B86E9B">
        <w:rPr>
          <w:rFonts w:hAnsi="標楷體" w:hint="eastAsia"/>
          <w:color w:val="000000"/>
        </w:rPr>
        <w:t>規定：「</w:t>
      </w:r>
      <w:bookmarkStart w:id="73" w:name="_Toc238530113"/>
      <w:bookmarkStart w:id="74" w:name="_Toc238530630"/>
      <w:bookmarkStart w:id="75" w:name="_Toc238543883"/>
      <w:bookmarkStart w:id="76" w:name="_Toc239216546"/>
      <w:bookmarkStart w:id="77" w:name="_Toc239221058"/>
      <w:r w:rsidRPr="00B86E9B">
        <w:rPr>
          <w:rFonts w:hAnsi="標楷體"/>
          <w:color w:val="000000"/>
        </w:rPr>
        <w:t>本契約興建範圍內各項工程之設計、施工，不論由乙方自行辦理，或委由顧問機構、承包商辦理，均由乙方負全部責任。甲方或其所委託之機構對乙方所為之任何同意、核准、備查、監督、建議、提供之參考資</w:t>
      </w:r>
      <w:r w:rsidRPr="00B86E9B">
        <w:rPr>
          <w:rFonts w:hAnsi="標楷體"/>
          <w:color w:val="000000"/>
        </w:rPr>
        <w:lastRenderedPageBreak/>
        <w:t>料，並不減少或免除乙方應盡之義務與責任。</w:t>
      </w:r>
      <w:bookmarkEnd w:id="73"/>
      <w:bookmarkEnd w:id="74"/>
      <w:bookmarkEnd w:id="75"/>
      <w:bookmarkEnd w:id="76"/>
      <w:bookmarkEnd w:id="77"/>
      <w:r w:rsidRPr="00B86E9B">
        <w:rPr>
          <w:rFonts w:hAnsi="標楷體" w:hint="eastAsia"/>
          <w:color w:val="000000"/>
        </w:rPr>
        <w:t>」同契約（</w:t>
      </w:r>
      <w:r w:rsidRPr="00B86E9B">
        <w:rPr>
          <w:rFonts w:hAnsi="標楷體"/>
          <w:color w:val="000000"/>
        </w:rPr>
        <w:t>設計與施工之責任</w:t>
      </w:r>
      <w:r w:rsidRPr="00B86E9B">
        <w:rPr>
          <w:rFonts w:hAnsi="標楷體" w:hint="eastAsia"/>
          <w:color w:val="000000"/>
        </w:rPr>
        <w:t>）7.6.2規定：「</w:t>
      </w:r>
      <w:r w:rsidRPr="00B86E9B">
        <w:rPr>
          <w:rFonts w:hAnsi="標楷體"/>
          <w:color w:val="000000"/>
        </w:rPr>
        <w:t>申報工程開工前，乙方應將核准之全部圖說、執照影本、承建工程廠商、負責人、工地負責人及工程預定進度、施工管理計畫等報請甲方備查。</w:t>
      </w:r>
      <w:r w:rsidRPr="00B86E9B">
        <w:rPr>
          <w:rFonts w:hAnsi="標楷體" w:hint="eastAsia"/>
          <w:color w:val="000000"/>
        </w:rPr>
        <w:t>」同契約（</w:t>
      </w:r>
      <w:r w:rsidRPr="00B86E9B">
        <w:rPr>
          <w:rFonts w:hAnsi="標楷體"/>
          <w:color w:val="000000"/>
        </w:rPr>
        <w:t>設計與施工之責任</w:t>
      </w:r>
      <w:r w:rsidRPr="00B86E9B">
        <w:rPr>
          <w:rFonts w:hAnsi="標楷體" w:hint="eastAsia"/>
          <w:color w:val="000000"/>
        </w:rPr>
        <w:t>）7.6.3規定：「</w:t>
      </w:r>
      <w:r w:rsidRPr="00B86E9B">
        <w:rPr>
          <w:rFonts w:hAnsi="標楷體"/>
          <w:color w:val="000000"/>
        </w:rPr>
        <w:t>臺北市大型室內體育館施工期間，乙方應於每月五日前向甲方函報施工預定進度及實際進度，甲方得隨時派員勘驗，如有與核准內容不符之部份，甲方得以書面通知限期改善</w:t>
      </w:r>
      <w:r w:rsidRPr="00B86E9B">
        <w:rPr>
          <w:rFonts w:hAnsi="標楷體" w:hint="eastAsia"/>
          <w:color w:val="000000"/>
        </w:rPr>
        <w:t>。」同契約</w:t>
      </w:r>
      <w:r w:rsidRPr="00B86E9B">
        <w:rPr>
          <w:rFonts w:hAnsi="標楷體"/>
          <w:color w:val="000000"/>
        </w:rPr>
        <w:t>20.1</w:t>
      </w:r>
      <w:r w:rsidRPr="00B86E9B">
        <w:rPr>
          <w:rFonts w:hAnsi="標楷體" w:hint="eastAsia"/>
          <w:color w:val="000000"/>
        </w:rPr>
        <w:t>規定：「</w:t>
      </w:r>
      <w:r w:rsidRPr="00B86E9B">
        <w:rPr>
          <w:rFonts w:hAnsi="標楷體"/>
          <w:color w:val="000000"/>
        </w:rPr>
        <w:t>本契約有關之事項發生爭議時，雙方應本於誠信原則先以協商方式解決之。如無法以協商方式解決，任一方均得提送協調委員會決議之</w:t>
      </w:r>
      <w:r w:rsidRPr="00B86E9B">
        <w:rPr>
          <w:rFonts w:hAnsi="標楷體" w:hint="eastAsia"/>
          <w:color w:val="000000"/>
        </w:rPr>
        <w:t>。」是則，</w:t>
      </w:r>
      <w:r w:rsidRPr="00B86E9B">
        <w:rPr>
          <w:rFonts w:hAnsi="標楷體"/>
          <w:color w:val="000000"/>
        </w:rPr>
        <w:t>臺北文化體育園區興建</w:t>
      </w:r>
      <w:r w:rsidRPr="00B86E9B">
        <w:rPr>
          <w:rFonts w:hAnsi="標楷體" w:hint="eastAsia"/>
          <w:color w:val="000000"/>
        </w:rPr>
        <w:t>案係採BOT模式，該投資契約之法律性質，學說上雖向有：公法契約說、私法契約說、折衷說（視個案認定）等爭議。然因促參法業將其定性為私法之民事契約，是以，主辦機關與民間機構之法律關係自應依促參法及其子法規定與投資契約內容而定，如投資契約無約定者，則依民事法相關規定辦理，主辦機關行使權利，不得違反公共利益，或以損害他人為主要目的並應依誠實及信用方法為之。</w:t>
      </w:r>
    </w:p>
    <w:p w:rsidR="00D50D50" w:rsidRPr="00B86E9B" w:rsidRDefault="00D50D50" w:rsidP="00D50D50">
      <w:pPr>
        <w:pStyle w:val="3"/>
        <w:kinsoku w:val="0"/>
        <w:autoSpaceDE w:val="0"/>
        <w:autoSpaceDN w:val="0"/>
        <w:snapToGrid w:val="0"/>
        <w:spacing w:line="440" w:lineRule="atLeast"/>
        <w:rPr>
          <w:rFonts w:hAnsi="標楷體"/>
          <w:b/>
          <w:color w:val="000000"/>
        </w:rPr>
      </w:pPr>
      <w:r w:rsidRPr="00B86E9B">
        <w:rPr>
          <w:rFonts w:hAnsi="標楷體" w:hint="eastAsia"/>
          <w:b/>
          <w:color w:val="000000"/>
        </w:rPr>
        <w:t>臺北市政府未按</w:t>
      </w:r>
      <w:r w:rsidRPr="00B86E9B">
        <w:rPr>
          <w:rFonts w:hAnsi="標楷體"/>
          <w:b/>
          <w:color w:val="000000"/>
        </w:rPr>
        <w:t>臺北文化體育園區－大型室內體育館開發計畫案興建營運契約</w:t>
      </w:r>
      <w:r w:rsidRPr="00B86E9B">
        <w:rPr>
          <w:rFonts w:hAnsi="標楷體" w:hint="eastAsia"/>
          <w:b/>
          <w:color w:val="000000"/>
        </w:rPr>
        <w:t>，於104年5月14日前之歷次勘驗，均未詳實比對建築圖說與現場差異，殊難謂善盡BOT契約之勘驗責任。</w:t>
      </w:r>
    </w:p>
    <w:p w:rsidR="00D50D50" w:rsidRPr="00B86E9B" w:rsidRDefault="00D50D50" w:rsidP="00D50D50">
      <w:pPr>
        <w:pStyle w:val="3"/>
        <w:numPr>
          <w:ilvl w:val="0"/>
          <w:numId w:val="0"/>
        </w:numPr>
        <w:snapToGrid w:val="0"/>
        <w:spacing w:line="440" w:lineRule="atLeast"/>
        <w:ind w:left="1393" w:firstLineChars="215" w:firstLine="731"/>
        <w:rPr>
          <w:rFonts w:hAnsi="標楷體"/>
          <w:color w:val="000000"/>
        </w:rPr>
      </w:pPr>
      <w:r w:rsidRPr="00B86E9B">
        <w:rPr>
          <w:rFonts w:hAnsi="標楷體" w:hint="eastAsia"/>
          <w:color w:val="000000"/>
        </w:rPr>
        <w:t>據遠雄巨蛋公司陳訴：「臺北市政府都市發展局建築管理處施工科75次勘驗均無問題（102年5月2日前有5次，之後70次）且柯市長103年12月25日就任後，歷經12次現場勘驗亦未發現問題及無裁罰，然該局竟於104年5月14</w:t>
      </w:r>
      <w:r w:rsidRPr="00B86E9B">
        <w:rPr>
          <w:rFonts w:hAnsi="標楷體" w:hint="eastAsia"/>
          <w:color w:val="000000"/>
        </w:rPr>
        <w:lastRenderedPageBreak/>
        <w:t>日派員現場勘驗認定有79處主要構造與核准圖說不符，與歷次勘驗大相逕異，顯意圖用停工方式，令遠雄屈服於不合理之七項基準。」等語，臺北市政府對此函復略以，建築法自73年修正後，刪除第57條主管建築機關於收到申報後派員現場勘驗，而增訂由監造人會同承造人勘驗，承、監造人應分別就中央主管建築機關頒訂及市府訂定之勘檢、紀錄表簽證負責；而市府據建築法第56條自78年起即訂定臺北市建築工程施工中必須勘驗部分作業要點，為順應民意及尊重專業與時修正，從訂定前開作業要點之前每一必須申報勘驗樓層派員至現場，逐步修正至現行僅餘放樣勘驗及竣工勘驗方「必須」派員勘驗。依據臺北市建築管理自治條例第19條、第20條規定：「建造執照或雜項執照於有效期間內之施工，除一定規模以下之建築物，得由承造人及其專任工程人員依照核准圖說施工，並送監造人查核無訛後留存查核資料，於竣工時一併申報外，其必須申報勘驗之部分、時限及內容規定如下：一、放樣勘驗……、擋土安全維護措施勘驗……、主要構造施工勘驗……、主要設備勘驗……、竣工勘驗……主管建築機關得指定必須申報勘驗部分，應經主管建築機關派員勘驗合格後，方得繼續施工。其勘驗方式及勘驗項目由主管建築機關定之。……」、「建築工程承造人及其專任工程人員依照核准圖說及施工計畫書施工至必須申報勘驗階段時，於申報勘驗前，應由承造人及其專任工程人員先行勘驗，並經監造人勘驗合格會同簽章，交由承造人檢具勘驗申報文件，按規定時限向主管建築機關申報後，方得繼續施工。……」及臺北市建築工程施工中必須勘驗部分作業要</w:t>
      </w:r>
      <w:r w:rsidRPr="00B86E9B">
        <w:rPr>
          <w:rFonts w:hAnsi="標楷體" w:hint="eastAsia"/>
          <w:color w:val="000000"/>
        </w:rPr>
        <w:lastRenderedPageBreak/>
        <w:t>點第2條規定：「建築工程施工中必須勘驗部分及申報勘驗時間規定如左：（一）放樣勘驗：基礎或地下室土方開挖前。（二）基礎勘驗：基礎配筋完畢，澆置混凝土前，含檔土措施。（三）鋼骨鋼筋勘驗：鋼筋混凝土、鋼骨鋼筋混凝土、鋼骨混凝土構造之各層樓板或屋頂配筋（骨）完畢後，搗製混凝土之前。（四）屋架勘驗：在屋架豎立後蓋屋面之前。（五）雜項工程勘驗：雜項工作物，於施工計畫檢定之各階段配筋完畢，澆置混凝土前。（六）其他如連續壁、基樁等，於施工計畫書中核定。」其檢查重點在施工圍籬、鷹架等「施工安全防護措施」是否符合「臺北市建築物施工妨礙交通及公共安全改善方案」，並不就核准圖說與現場是否相符加以審查等語（見臺北市政府105年5月27日府都建字第10512143500號函），固非無見。惟查，臺北市政府所稱建築工程施工勘驗事項所依據建築法暨相關法令，其在行政法上定位為高權行政（Hoheitsverwaltung），係國家或自治團體基於行政</w:t>
      </w:r>
      <w:r>
        <w:rPr>
          <w:rFonts w:hAnsi="標楷體" w:hint="eastAsia"/>
          <w:color w:val="000000"/>
        </w:rPr>
        <w:t>主體地位，按公法規定所為之</w:t>
      </w:r>
      <w:r w:rsidRPr="00B86E9B">
        <w:rPr>
          <w:rFonts w:hAnsi="標楷體" w:hint="eastAsia"/>
          <w:color w:val="000000"/>
        </w:rPr>
        <w:t>各項行政行為，而以抽象性之命令或個別處分，要求人民負擔一定義務，因而通常具有上下秩序關係，得以公權力排除違法狀態</w:t>
      </w:r>
      <w:r w:rsidRPr="00B86E9B">
        <w:rPr>
          <w:rStyle w:val="af6"/>
          <w:rFonts w:hAnsi="標楷體"/>
          <w:color w:val="000000"/>
        </w:rPr>
        <w:footnoteReference w:id="2"/>
      </w:r>
      <w:r w:rsidRPr="00B86E9B">
        <w:rPr>
          <w:rFonts w:hAnsi="標楷體" w:hint="eastAsia"/>
          <w:color w:val="000000"/>
        </w:rPr>
        <w:t>。惟就本案而言，臺北市政府所屬除係建築管理之主管機關外，該府亦為促參法大巨蛋案投資契約之甲方，與遠雄巨蛋公司乙方，雙方具有平等關係與民法契約關係並無二致，依據前揭投資契約（</w:t>
      </w:r>
      <w:r w:rsidRPr="00B86E9B">
        <w:rPr>
          <w:rFonts w:hAnsi="標楷體"/>
          <w:color w:val="000000"/>
        </w:rPr>
        <w:t>設計與施工之責任</w:t>
      </w:r>
      <w:r w:rsidRPr="00B86E9B">
        <w:rPr>
          <w:rFonts w:hAnsi="標楷體" w:hint="eastAsia"/>
          <w:color w:val="000000"/>
        </w:rPr>
        <w:t>）7.6.2與7.6.3規定，</w:t>
      </w:r>
      <w:r w:rsidRPr="00B86E9B">
        <w:rPr>
          <w:rFonts w:hAnsi="標楷體"/>
          <w:color w:val="000000"/>
        </w:rPr>
        <w:t>申報工程開工前，</w:t>
      </w:r>
      <w:r w:rsidRPr="00B86E9B">
        <w:rPr>
          <w:rFonts w:hAnsi="標楷體" w:hint="eastAsia"/>
          <w:color w:val="000000"/>
        </w:rPr>
        <w:t>遠雄巨蛋公司應</w:t>
      </w:r>
      <w:r w:rsidRPr="00B86E9B">
        <w:rPr>
          <w:rFonts w:hAnsi="標楷體"/>
          <w:color w:val="000000"/>
        </w:rPr>
        <w:t>將核准之全部圖說、工程預定進度、施工管理計畫等報</w:t>
      </w:r>
      <w:r w:rsidRPr="00B86E9B">
        <w:rPr>
          <w:rFonts w:hAnsi="標楷體" w:hint="eastAsia"/>
          <w:color w:val="000000"/>
        </w:rPr>
        <w:t>臺北市政府</w:t>
      </w:r>
      <w:r w:rsidRPr="00B86E9B">
        <w:rPr>
          <w:rFonts w:hAnsi="標楷體"/>
          <w:color w:val="000000"/>
        </w:rPr>
        <w:t>備查。施工期間，</w:t>
      </w:r>
      <w:r w:rsidRPr="00B86E9B">
        <w:rPr>
          <w:rFonts w:hAnsi="標楷體" w:hint="eastAsia"/>
          <w:color w:val="000000"/>
        </w:rPr>
        <w:t>遠</w:t>
      </w:r>
      <w:r w:rsidRPr="00B86E9B">
        <w:rPr>
          <w:rFonts w:hAnsi="標楷體" w:hint="eastAsia"/>
          <w:color w:val="000000"/>
        </w:rPr>
        <w:lastRenderedPageBreak/>
        <w:t>雄巨蛋公司</w:t>
      </w:r>
      <w:r w:rsidRPr="00B86E9B">
        <w:rPr>
          <w:rFonts w:hAnsi="標楷體"/>
          <w:color w:val="000000"/>
        </w:rPr>
        <w:t>應於每月五日前向甲方函報施工預定進度及實際進度，</w:t>
      </w:r>
      <w:r w:rsidRPr="00B86E9B">
        <w:rPr>
          <w:rFonts w:hAnsi="標楷體" w:hint="eastAsia"/>
          <w:color w:val="000000"/>
        </w:rPr>
        <w:t>市府</w:t>
      </w:r>
      <w:r w:rsidRPr="00B86E9B">
        <w:rPr>
          <w:rFonts w:hAnsi="標楷體"/>
          <w:color w:val="000000"/>
        </w:rPr>
        <w:t>得隨時派員勘驗，如有與核准內容不符之部</w:t>
      </w:r>
      <w:r>
        <w:rPr>
          <w:rFonts w:hAnsi="標楷體" w:hint="eastAsia"/>
          <w:color w:val="000000"/>
        </w:rPr>
        <w:t>分</w:t>
      </w:r>
      <w:r w:rsidRPr="00B86E9B">
        <w:rPr>
          <w:rFonts w:hAnsi="標楷體"/>
          <w:color w:val="000000"/>
        </w:rPr>
        <w:t>，甲方得以書面通知限期改善</w:t>
      </w:r>
      <w:r w:rsidRPr="00B86E9B">
        <w:rPr>
          <w:rFonts w:hAnsi="標楷體" w:hint="eastAsia"/>
          <w:color w:val="000000"/>
        </w:rPr>
        <w:t>。從而按契約關係而言，臺北市政府係類似民法定作人地位，其派員勘驗範圍，自難謂當然等同於高權行政下，對於對一般建築物，依據建築法規所為「不就核准圖說與現場是否相符加以審查」之範圍</w:t>
      </w:r>
      <w:r w:rsidRPr="00B86E9B">
        <w:rPr>
          <w:rStyle w:val="af6"/>
          <w:rFonts w:hAnsi="標楷體"/>
          <w:color w:val="000000"/>
        </w:rPr>
        <w:footnoteReference w:id="3"/>
      </w:r>
      <w:r w:rsidRPr="00B86E9B">
        <w:rPr>
          <w:rFonts w:hAnsi="標楷體" w:hint="eastAsia"/>
          <w:color w:val="000000"/>
        </w:rPr>
        <w:t>，申言之，作為民事契約一造甲方臺北市政府，持有建築</w:t>
      </w:r>
      <w:r w:rsidRPr="00B86E9B">
        <w:rPr>
          <w:rFonts w:hAnsi="標楷體"/>
          <w:color w:val="000000"/>
        </w:rPr>
        <w:t>全部圖說、工程預定進度、施工管理計畫</w:t>
      </w:r>
      <w:r w:rsidRPr="00B86E9B">
        <w:rPr>
          <w:rFonts w:hAnsi="標楷體" w:hint="eastAsia"/>
          <w:color w:val="000000"/>
        </w:rPr>
        <w:t>，實施勘驗時卻猶以公權力機關之一般勘驗標準，欲藉建築師簽證制度推諉，殊難想像，難道政府與公務員因與自身利益無關，就連一般人應盡注意義務均棄之不顧，況臺北市政府暨所屬並非一般人而是善良管理人，所屬公務員具有各項建築土木結構等專業學能，故依據契約實施勘驗範圍，自應包括就核准圖說與現場是否相符加以審查，卻於104年5月14日前之歷次勘驗，未依據建築圖說與現場核對，殊難謂善盡BOT契約之勘驗責任。</w:t>
      </w:r>
      <w:r w:rsidRPr="00B86E9B">
        <w:rPr>
          <w:rStyle w:val="af6"/>
          <w:rFonts w:hAnsi="標楷體"/>
          <w:color w:val="000000"/>
        </w:rPr>
        <w:footnoteReference w:id="4"/>
      </w:r>
    </w:p>
    <w:p w:rsidR="00D50D50" w:rsidRPr="00B86E9B" w:rsidRDefault="00D50D50" w:rsidP="00D50D50">
      <w:pPr>
        <w:pStyle w:val="3"/>
        <w:kinsoku w:val="0"/>
        <w:autoSpaceDE w:val="0"/>
        <w:autoSpaceDN w:val="0"/>
        <w:snapToGrid w:val="0"/>
        <w:spacing w:line="440" w:lineRule="atLeast"/>
        <w:rPr>
          <w:rFonts w:hAnsi="標楷體"/>
          <w:b/>
          <w:color w:val="000000"/>
        </w:rPr>
      </w:pPr>
      <w:r w:rsidRPr="00B86E9B">
        <w:rPr>
          <w:rFonts w:hAnsi="標楷體" w:hint="eastAsia"/>
          <w:b/>
          <w:color w:val="000000"/>
        </w:rPr>
        <w:t>臺北市政府應按BOT契約夥伴關係，</w:t>
      </w:r>
      <w:r w:rsidRPr="00B86E9B">
        <w:rPr>
          <w:rFonts w:hAnsi="標楷體"/>
          <w:b/>
          <w:color w:val="000000"/>
        </w:rPr>
        <w:t>本於合作、誠信、公平及合理之精神</w:t>
      </w:r>
      <w:r w:rsidRPr="00B86E9B">
        <w:rPr>
          <w:rFonts w:hAnsi="標楷體" w:hint="eastAsia"/>
          <w:b/>
          <w:color w:val="000000"/>
        </w:rPr>
        <w:t>協助遠雄巨蛋公司將臺北市重大建設</w:t>
      </w:r>
      <w:r>
        <w:rPr>
          <w:rFonts w:hAnsi="標楷體" w:hint="eastAsia"/>
          <w:b/>
          <w:color w:val="000000"/>
        </w:rPr>
        <w:t>大</w:t>
      </w:r>
      <w:r w:rsidRPr="00B86E9B">
        <w:rPr>
          <w:rFonts w:hAnsi="標楷體" w:hint="eastAsia"/>
          <w:b/>
          <w:color w:val="000000"/>
        </w:rPr>
        <w:t>巨蛋案興建成功。</w:t>
      </w:r>
    </w:p>
    <w:p w:rsidR="00D50D50" w:rsidRPr="00B86E9B" w:rsidRDefault="00D50D50" w:rsidP="00D50D50">
      <w:pPr>
        <w:pStyle w:val="3"/>
        <w:numPr>
          <w:ilvl w:val="0"/>
          <w:numId w:val="0"/>
        </w:numPr>
        <w:snapToGrid w:val="0"/>
        <w:spacing w:line="440" w:lineRule="atLeast"/>
        <w:ind w:left="1393" w:firstLineChars="215" w:firstLine="731"/>
        <w:rPr>
          <w:rFonts w:hAnsi="標楷體"/>
          <w:color w:val="000000"/>
        </w:rPr>
      </w:pPr>
      <w:r w:rsidRPr="00B86E9B">
        <w:rPr>
          <w:rFonts w:hAnsi="標楷體" w:hint="eastAsia"/>
          <w:color w:val="000000"/>
        </w:rPr>
        <w:t>據遠雄巨蛋公司陳訴：「本次變更設計內容僅為內部平面調整，依規定僅需向都發局報備即可，建照變更約2個月即應予核定，但迄今都發局已拖延超過12個月仍無法核定，強行違法將七項基準納入都審重審，意圖使本次建照變更無法通過，也不准復工。」等語，指摘有關臺北市</w:t>
      </w:r>
      <w:r w:rsidRPr="00B86E9B">
        <w:rPr>
          <w:rFonts w:hAnsi="標楷體" w:hint="eastAsia"/>
          <w:color w:val="000000"/>
        </w:rPr>
        <w:lastRenderedPageBreak/>
        <w:t>政府自104年5月20日停工後將七項基準納入都審審查範圍，不准其復工部分。按臺北市政府所為停工處分係屬合法且因涉及主要構造變更並不得一次報驗業如前述，惟基於BOT契約與遠雄巨蛋公司不僅具有高權關係且具有合作夥伴關係，自必須兼顧雙方權益，促使臺北市重大建設</w:t>
      </w:r>
      <w:r>
        <w:rPr>
          <w:rFonts w:hAnsi="標楷體" w:hint="eastAsia"/>
          <w:color w:val="000000"/>
        </w:rPr>
        <w:t>大</w:t>
      </w:r>
      <w:r w:rsidRPr="00B86E9B">
        <w:rPr>
          <w:rFonts w:hAnsi="標楷體" w:hint="eastAsia"/>
          <w:color w:val="000000"/>
        </w:rPr>
        <w:t>巨蛋案興建成功，以符合BOT契約</w:t>
      </w:r>
      <w:r w:rsidRPr="00B86E9B">
        <w:rPr>
          <w:rFonts w:hAnsi="標楷體"/>
          <w:color w:val="000000"/>
        </w:rPr>
        <w:t>3.1.1</w:t>
      </w:r>
      <w:r w:rsidRPr="00B86E9B">
        <w:rPr>
          <w:rFonts w:hAnsi="標楷體" w:hint="eastAsia"/>
          <w:color w:val="000000"/>
        </w:rPr>
        <w:t>、</w:t>
      </w:r>
      <w:r w:rsidRPr="00B86E9B">
        <w:rPr>
          <w:rFonts w:hAnsi="標楷體"/>
          <w:color w:val="000000"/>
        </w:rPr>
        <w:t>3.1.2</w:t>
      </w:r>
      <w:r w:rsidRPr="00B86E9B">
        <w:rPr>
          <w:rFonts w:hAnsi="標楷體" w:hint="eastAsia"/>
          <w:color w:val="000000"/>
        </w:rPr>
        <w:t>、</w:t>
      </w:r>
      <w:r w:rsidRPr="00B86E9B">
        <w:rPr>
          <w:rFonts w:hAnsi="標楷體"/>
          <w:color w:val="000000"/>
        </w:rPr>
        <w:t>3.2.2</w:t>
      </w:r>
      <w:r w:rsidRPr="00B86E9B">
        <w:rPr>
          <w:rFonts w:hAnsi="標楷體" w:hint="eastAsia"/>
          <w:color w:val="000000"/>
        </w:rPr>
        <w:t>與4.3規定所定，</w:t>
      </w:r>
      <w:r w:rsidRPr="00B86E9B">
        <w:rPr>
          <w:rFonts w:hAnsi="標楷體"/>
          <w:b/>
          <w:color w:val="000000"/>
        </w:rPr>
        <w:t>本於合作、誠信、公平及合理之精神</w:t>
      </w:r>
      <w:r w:rsidRPr="00B86E9B">
        <w:rPr>
          <w:rFonts w:hAnsi="標楷體" w:hint="eastAsia"/>
          <w:color w:val="000000"/>
        </w:rPr>
        <w:t>，協助遠雄巨蛋公司於法令許可與權責範圍內申請證照與進行協調，並避免爭訟，惟臺北市政府不此之圖</w:t>
      </w:r>
      <w:r w:rsidRPr="00B86E9B">
        <w:rPr>
          <w:rFonts w:ascii="新細明體" w:eastAsia="新細明體" w:hAnsi="新細明體" w:hint="eastAsia"/>
          <w:color w:val="000000"/>
        </w:rPr>
        <w:t>，</w:t>
      </w:r>
      <w:r>
        <w:rPr>
          <w:rFonts w:hAnsi="標楷體" w:hint="eastAsia"/>
          <w:color w:val="000000"/>
        </w:rPr>
        <w:t>除未基於行政一致性外，所為行止，亦難謂符合誠信原則，遠雄巨蛋</w:t>
      </w:r>
      <w:r w:rsidRPr="00B86E9B">
        <w:rPr>
          <w:rFonts w:hAnsi="標楷體" w:hint="eastAsia"/>
          <w:color w:val="000000"/>
        </w:rPr>
        <w:t>公司違法未按圖施工，固有投機取巧之嫌疑，對於所衍生公安疑慮，亦有無可推卸的責任，惟臺北市政府透過媒體忽而解約、忽而換手</w:t>
      </w:r>
      <w:r w:rsidRPr="00B86E9B">
        <w:rPr>
          <w:rFonts w:ascii="新細明體" w:eastAsia="新細明體" w:hAnsi="新細明體" w:hint="eastAsia"/>
          <w:color w:val="000000"/>
        </w:rPr>
        <w:t>，</w:t>
      </w:r>
      <w:r w:rsidRPr="00B86E9B">
        <w:rPr>
          <w:rFonts w:hAnsi="標楷體" w:hint="eastAsia"/>
          <w:color w:val="000000"/>
        </w:rPr>
        <w:t>足見其處置進退維谷</w:t>
      </w:r>
      <w:r w:rsidRPr="00D50D50">
        <w:rPr>
          <w:rFonts w:hAnsi="標楷體" w:hint="eastAsia"/>
          <w:color w:val="000000"/>
        </w:rPr>
        <w:t>治絲</w:t>
      </w:r>
      <w:r w:rsidRPr="00B86E9B">
        <w:rPr>
          <w:rFonts w:hAnsi="標楷體" w:hint="eastAsia"/>
          <w:color w:val="000000"/>
        </w:rPr>
        <w:t>益棼，不但無助於</w:t>
      </w:r>
      <w:r>
        <w:rPr>
          <w:rFonts w:hAnsi="標楷體" w:hint="eastAsia"/>
          <w:color w:val="000000"/>
        </w:rPr>
        <w:t>大</w:t>
      </w:r>
      <w:r w:rsidRPr="00B86E9B">
        <w:rPr>
          <w:rFonts w:hAnsi="標楷體" w:hint="eastAsia"/>
          <w:color w:val="000000"/>
        </w:rPr>
        <w:t>巨蛋興建計畫完成，反使契約兩造信賴關係降至冰點，任令</w:t>
      </w:r>
      <w:r>
        <w:rPr>
          <w:rFonts w:hAnsi="標楷體" w:hint="eastAsia"/>
          <w:color w:val="000000"/>
        </w:rPr>
        <w:t>大</w:t>
      </w:r>
      <w:r w:rsidRPr="00B86E9B">
        <w:rPr>
          <w:rFonts w:hAnsi="標楷體" w:hint="eastAsia"/>
          <w:color w:val="000000"/>
        </w:rPr>
        <w:t>巨蛋結構暴露於風吹雨打日曬，置市民生命與財產於高度不確定風險之中，殊有不當之處，是則，臺北市政府自應切實基於BOT契約夥伴關係，協助遠雄巨蛋</w:t>
      </w:r>
      <w:r>
        <w:rPr>
          <w:rFonts w:hAnsi="標楷體" w:hint="eastAsia"/>
          <w:color w:val="000000"/>
        </w:rPr>
        <w:t>公司</w:t>
      </w:r>
      <w:r w:rsidRPr="00B86E9B">
        <w:rPr>
          <w:rFonts w:hAnsi="標楷體" w:hint="eastAsia"/>
          <w:color w:val="000000"/>
        </w:rPr>
        <w:t>將臺北市重大建設</w:t>
      </w:r>
      <w:r>
        <w:rPr>
          <w:rFonts w:hAnsi="標楷體" w:hint="eastAsia"/>
          <w:color w:val="000000"/>
        </w:rPr>
        <w:t>大</w:t>
      </w:r>
      <w:r w:rsidRPr="00B86E9B">
        <w:rPr>
          <w:rFonts w:hAnsi="標楷體" w:hint="eastAsia"/>
          <w:color w:val="000000"/>
        </w:rPr>
        <w:t>巨蛋案興建成功，俾維臺北市民基本權利。</w:t>
      </w:r>
    </w:p>
    <w:p w:rsidR="00D50D50" w:rsidRPr="00B86E9B" w:rsidRDefault="00D50D50" w:rsidP="00D50D50">
      <w:pPr>
        <w:pStyle w:val="3"/>
        <w:kinsoku w:val="0"/>
        <w:autoSpaceDE w:val="0"/>
        <w:autoSpaceDN w:val="0"/>
        <w:snapToGrid w:val="0"/>
        <w:spacing w:line="440" w:lineRule="atLeast"/>
        <w:rPr>
          <w:rFonts w:hAnsi="標楷體"/>
          <w:color w:val="000000"/>
        </w:rPr>
      </w:pPr>
      <w:r w:rsidRPr="00B86E9B">
        <w:rPr>
          <w:rFonts w:hAnsi="標楷體" w:hint="eastAsia"/>
          <w:color w:val="000000"/>
        </w:rPr>
        <w:t>綜上所述，臺北市政府未依</w:t>
      </w:r>
      <w:r w:rsidRPr="00B86E9B">
        <w:rPr>
          <w:rFonts w:hAnsi="標楷體"/>
          <w:color w:val="000000"/>
        </w:rPr>
        <w:t>臺北文化體育園區－大型室內體育館開發計畫案興建營運契約</w:t>
      </w:r>
      <w:r w:rsidRPr="00B86E9B">
        <w:rPr>
          <w:rFonts w:hAnsi="標楷體" w:hint="eastAsia"/>
          <w:color w:val="000000"/>
        </w:rPr>
        <w:t>（即BOT契約）之約定，於104年5月14日前之歷次勘驗，均未詳實比對建築圖說與現場差異，殊難謂善盡BOT契約之勘驗責任；又遠雄巨蛋公司違法未按圖施工，對於所衍生公安疑慮，固有無可推卸</w:t>
      </w:r>
      <w:r>
        <w:rPr>
          <w:rFonts w:hAnsi="標楷體" w:hint="eastAsia"/>
          <w:color w:val="000000"/>
        </w:rPr>
        <w:t>之</w:t>
      </w:r>
      <w:r w:rsidRPr="00B86E9B">
        <w:rPr>
          <w:rFonts w:hAnsi="標楷體" w:hint="eastAsia"/>
          <w:color w:val="000000"/>
        </w:rPr>
        <w:t>責任。惟臺北市政府亦僅基於行政高權並未考量與遠雄巨蛋公司具有BOT夥伴關係，其透過媒體忽而解約、忽而換手，致使契約兩造信賴關</w:t>
      </w:r>
      <w:r w:rsidRPr="00B86E9B">
        <w:rPr>
          <w:rFonts w:hAnsi="標楷體" w:hint="eastAsia"/>
          <w:color w:val="000000"/>
        </w:rPr>
        <w:lastRenderedPageBreak/>
        <w:t>係破壞殆盡，亦有未洽之處，臺北市政府允宜依據BOT契約約定，</w:t>
      </w:r>
      <w:r w:rsidRPr="00B86E9B">
        <w:rPr>
          <w:rFonts w:hAnsi="標楷體"/>
          <w:color w:val="000000"/>
        </w:rPr>
        <w:t>本於合作、誠信、公平及合理之精神</w:t>
      </w:r>
      <w:r w:rsidRPr="00B86E9B">
        <w:rPr>
          <w:rFonts w:hAnsi="標楷體" w:hint="eastAsia"/>
          <w:color w:val="000000"/>
        </w:rPr>
        <w:t>協助遠雄巨蛋公司將臺北市重大建設</w:t>
      </w:r>
      <w:r>
        <w:rPr>
          <w:rFonts w:hAnsi="標楷體" w:hint="eastAsia"/>
          <w:color w:val="000000"/>
        </w:rPr>
        <w:t>大</w:t>
      </w:r>
      <w:r w:rsidRPr="00B86E9B">
        <w:rPr>
          <w:rFonts w:hAnsi="標楷體" w:hint="eastAsia"/>
          <w:color w:val="000000"/>
        </w:rPr>
        <w:t>巨蛋案興建成功，俾避免重大危難之發生，並保障臺北市民基本權利。</w:t>
      </w:r>
    </w:p>
    <w:p w:rsidR="00D50D50" w:rsidRPr="00B86E9B" w:rsidRDefault="00D50D50" w:rsidP="00D50D50">
      <w:pPr>
        <w:pStyle w:val="2"/>
        <w:kinsoku w:val="0"/>
        <w:autoSpaceDE w:val="0"/>
        <w:autoSpaceDN w:val="0"/>
        <w:snapToGrid w:val="0"/>
        <w:spacing w:line="440" w:lineRule="atLeast"/>
        <w:rPr>
          <w:rFonts w:hAnsi="標楷體"/>
          <w:b/>
          <w:color w:val="000000"/>
        </w:rPr>
      </w:pPr>
      <w:r w:rsidRPr="00B86E9B">
        <w:rPr>
          <w:rFonts w:hAnsi="標楷體" w:hint="eastAsia"/>
          <w:b/>
          <w:color w:val="000000"/>
        </w:rPr>
        <w:t>臺北市政府廉政透明委員會於未有法律明文規定下行使調查權，且該會之設置法定依據、職掌、人員組成方式與調查權限之範圍</w:t>
      </w:r>
      <w:r w:rsidRPr="00B86E9B">
        <w:rPr>
          <w:rFonts w:ascii="新細明體" w:eastAsia="新細明體" w:hAnsi="新細明體" w:hint="eastAsia"/>
          <w:b/>
          <w:color w:val="000000"/>
        </w:rPr>
        <w:t>，</w:t>
      </w:r>
      <w:r w:rsidRPr="00B86E9B">
        <w:rPr>
          <w:rFonts w:hAnsi="標楷體" w:hint="eastAsia"/>
          <w:b/>
          <w:color w:val="000000"/>
        </w:rPr>
        <w:t>與正當法律程序原則未盡相符，並違反司法院釋字</w:t>
      </w:r>
      <w:r>
        <w:rPr>
          <w:rFonts w:hAnsi="標楷體" w:hint="eastAsia"/>
          <w:b/>
          <w:color w:val="000000"/>
        </w:rPr>
        <w:t>第</w:t>
      </w:r>
      <w:r w:rsidRPr="00B86E9B">
        <w:rPr>
          <w:rFonts w:hAnsi="標楷體" w:hint="eastAsia"/>
          <w:b/>
          <w:color w:val="000000"/>
        </w:rPr>
        <w:t>585號解釋意旨，亟待改進。</w:t>
      </w:r>
    </w:p>
    <w:p w:rsidR="00D50D50" w:rsidRPr="00B86E9B" w:rsidRDefault="00D50D50" w:rsidP="00D50D50">
      <w:pPr>
        <w:pStyle w:val="3"/>
        <w:kinsoku w:val="0"/>
        <w:autoSpaceDE w:val="0"/>
        <w:autoSpaceDN w:val="0"/>
        <w:snapToGrid w:val="0"/>
        <w:spacing w:line="440" w:lineRule="atLeast"/>
        <w:rPr>
          <w:rFonts w:hAnsi="標楷體"/>
          <w:b/>
          <w:color w:val="000000"/>
        </w:rPr>
      </w:pPr>
      <w:r w:rsidRPr="00B86E9B">
        <w:rPr>
          <w:rFonts w:hAnsi="標楷體" w:hint="eastAsia"/>
          <w:b/>
          <w:color w:val="000000"/>
        </w:rPr>
        <w:t>調查權之制定與行使，依據行政程序法與司法院釋字第585號解釋，必須有特別法律依據，該法律授權的範圍、目的、權限、方法、程序、監督符合法律明確性原則，不得違反權力分立原則或侵犯其他機關</w:t>
      </w:r>
      <w:r>
        <w:rPr>
          <w:rFonts w:hAnsi="標楷體" w:hint="eastAsia"/>
          <w:b/>
          <w:color w:val="000000"/>
        </w:rPr>
        <w:t>之</w:t>
      </w:r>
      <w:r w:rsidRPr="00B86E9B">
        <w:rPr>
          <w:rFonts w:hAnsi="標楷體" w:hint="eastAsia"/>
          <w:b/>
          <w:color w:val="000000"/>
        </w:rPr>
        <w:t>權力核心範圍，以符合正當法律程序原則。</w:t>
      </w:r>
    </w:p>
    <w:p w:rsidR="00D50D50" w:rsidRPr="00B86E9B" w:rsidRDefault="00D50D50" w:rsidP="00D50D50">
      <w:pPr>
        <w:pStyle w:val="3"/>
        <w:numPr>
          <w:ilvl w:val="0"/>
          <w:numId w:val="0"/>
        </w:numPr>
        <w:snapToGrid w:val="0"/>
        <w:spacing w:line="440" w:lineRule="atLeast"/>
        <w:ind w:left="1393" w:firstLineChars="215" w:firstLine="731"/>
        <w:rPr>
          <w:rFonts w:hAnsi="標楷體"/>
          <w:color w:val="000000"/>
        </w:rPr>
      </w:pPr>
      <w:r w:rsidRPr="00B86E9B">
        <w:rPr>
          <w:rFonts w:hAnsi="標楷體" w:hint="eastAsia"/>
          <w:color w:val="000000"/>
        </w:rPr>
        <w:t>按行政程序法第1條規定：「</w:t>
      </w:r>
      <w:r w:rsidRPr="00B86E9B">
        <w:rPr>
          <w:rFonts w:hAnsi="標楷體"/>
          <w:color w:val="000000"/>
        </w:rPr>
        <w:t>為使行政行為遵循公正、公開與民主之程序，確保依法行政之原則，以保障人民權益，提高行政效能，增進人民對行政之信賴，特制定本法</w:t>
      </w:r>
      <w:r w:rsidRPr="00B86E9B">
        <w:rPr>
          <w:rFonts w:hAnsi="標楷體" w:hint="eastAsia"/>
          <w:color w:val="000000"/>
        </w:rPr>
        <w:t>。」同法第2條第1項及第3項規定：「</w:t>
      </w:r>
      <w:r w:rsidRPr="00B86E9B">
        <w:rPr>
          <w:rFonts w:hAnsi="標楷體"/>
          <w:color w:val="000000"/>
        </w:rPr>
        <w:t>本法所稱行政程序，係指行政機關作成行政處分、締結行政契約、訂定法規命令與行政規則、確定行政計畫、實施行政指導及處理陳情等行為之程序。</w:t>
      </w:r>
      <w:r w:rsidRPr="00B86E9B">
        <w:rPr>
          <w:rFonts w:hAnsi="標楷體" w:hint="eastAsia"/>
          <w:color w:val="000000"/>
        </w:rPr>
        <w:t>」「</w:t>
      </w:r>
      <w:r w:rsidRPr="00B86E9B">
        <w:rPr>
          <w:rFonts w:hAnsi="標楷體"/>
          <w:color w:val="000000"/>
        </w:rPr>
        <w:t>受託行使公權力之個人或團體，於委託範圍內，視為行政機關</w:t>
      </w:r>
      <w:r w:rsidRPr="00B86E9B">
        <w:rPr>
          <w:rFonts w:hAnsi="標楷體" w:hint="eastAsia"/>
          <w:color w:val="000000"/>
        </w:rPr>
        <w:t>。」同法第11條第1項規定：「</w:t>
      </w:r>
      <w:r w:rsidRPr="00B86E9B">
        <w:rPr>
          <w:rFonts w:hAnsi="標楷體"/>
          <w:color w:val="000000"/>
        </w:rPr>
        <w:t>行政機關之管轄權，依其組織法規或其他行政法規定之。</w:t>
      </w:r>
      <w:r w:rsidRPr="00B86E9B">
        <w:rPr>
          <w:rFonts w:hAnsi="標楷體" w:hint="eastAsia"/>
          <w:color w:val="000000"/>
        </w:rPr>
        <w:t>」復按司法院釋字第585號解釋稱：「立法院調查權行使之方式，並不以要求有關機關就立法院行使職權所涉及事項提供參考資料或向有關機關調閱文件原本之文件調閱權為限，必要時並得經院會決議，</w:t>
      </w:r>
      <w:r w:rsidRPr="00B86E9B">
        <w:rPr>
          <w:rFonts w:hAnsi="標楷體" w:hint="eastAsia"/>
          <w:color w:val="000000"/>
        </w:rPr>
        <w:lastRenderedPageBreak/>
        <w:t>要求與調查事項相關之人民或政府人員，陳述證言或表示意見，並得對違反協助調查義務者，於科處罰鍰之範圍內，施以合理之強制手段，本院釋字第325號解釋應予補充。惟其程序，如調查權之發動及行使調查權之組織、個案調查事項之範圍、各項調查方法所應遵守之程序與司法救濟程序等，應以法律為適當之規範。於特殊例外情形，就特定事項之調查有委任非立法委員之人士協助調查之必要時，則須制定特別法，就委任之目的、委任調查之範圍、受委任人之資格、選任、任期等人事組織事項、特別調查權限、方法與程序等妥為詳細之規定，並藉以為監督之基礎。各該法律規定之組織及議事程序，必須符合民主原則。其個案調查事項之範圍，不能違反權力分立與制衡原則，亦不得侵害其他憲法機關之權力核心範圍，或對其他憲法機關權力之行使造成實質妨礙。如就各項調查方法所規定之程序，有涉及限制人民權利者，必須符合憲法上比例原則、法律明確性原則及正當法律程序之要求」等語。從而依據行政程序法與司法院解釋意旨，臺北市</w:t>
      </w:r>
      <w:r>
        <w:rPr>
          <w:rFonts w:hAnsi="標楷體" w:hint="eastAsia"/>
          <w:color w:val="000000"/>
        </w:rPr>
        <w:t>政府</w:t>
      </w:r>
      <w:r w:rsidRPr="00B86E9B">
        <w:rPr>
          <w:rFonts w:hAnsi="標楷體" w:hint="eastAsia"/>
          <w:color w:val="000000"/>
        </w:rPr>
        <w:t>廉</w:t>
      </w:r>
      <w:r>
        <w:rPr>
          <w:rFonts w:hAnsi="標楷體" w:hint="eastAsia"/>
          <w:color w:val="000000"/>
        </w:rPr>
        <w:t>政透明</w:t>
      </w:r>
      <w:r w:rsidRPr="00B86E9B">
        <w:rPr>
          <w:rFonts w:hAnsi="標楷體" w:hint="eastAsia"/>
          <w:color w:val="000000"/>
        </w:rPr>
        <w:t>委</w:t>
      </w:r>
      <w:r>
        <w:rPr>
          <w:rFonts w:hAnsi="標楷體" w:hint="eastAsia"/>
          <w:color w:val="000000"/>
        </w:rPr>
        <w:t>員</w:t>
      </w:r>
      <w:r w:rsidRPr="00B86E9B">
        <w:rPr>
          <w:rFonts w:hAnsi="標楷體" w:hint="eastAsia"/>
          <w:color w:val="000000"/>
        </w:rPr>
        <w:t>會若需具有調查權必須符合下列法律要件：1.委任非行政機關人員者，須制定特別法律</w:t>
      </w:r>
      <w:r w:rsidRPr="00B86E9B">
        <w:rPr>
          <w:rStyle w:val="af6"/>
          <w:rFonts w:hAnsi="標楷體"/>
          <w:color w:val="000000"/>
        </w:rPr>
        <w:footnoteReference w:id="5"/>
      </w:r>
      <w:r w:rsidRPr="00B86E9B">
        <w:rPr>
          <w:rFonts w:hAnsi="標楷體" w:hint="eastAsia"/>
          <w:color w:val="000000"/>
        </w:rPr>
        <w:t>依據。2.該法律授權</w:t>
      </w:r>
      <w:r>
        <w:rPr>
          <w:rFonts w:hAnsi="標楷體" w:hint="eastAsia"/>
          <w:color w:val="000000"/>
        </w:rPr>
        <w:t>之</w:t>
      </w:r>
      <w:r w:rsidRPr="00B86E9B">
        <w:rPr>
          <w:rFonts w:hAnsi="標楷體" w:hint="eastAsia"/>
          <w:color w:val="000000"/>
        </w:rPr>
        <w:t>範圍、目的、權限、方法、程序、監督等，都必須符合明確性原則。3.該法律不能違反權力分立原則或侵犯其他機關</w:t>
      </w:r>
      <w:r>
        <w:rPr>
          <w:rFonts w:hAnsi="標楷體" w:hint="eastAsia"/>
          <w:color w:val="000000"/>
        </w:rPr>
        <w:t>之</w:t>
      </w:r>
      <w:r w:rsidRPr="00B86E9B">
        <w:rPr>
          <w:rFonts w:hAnsi="標楷體" w:hint="eastAsia"/>
          <w:color w:val="000000"/>
        </w:rPr>
        <w:t>權力核心範圍。4.必須符合比例原則與正當法律程序。</w:t>
      </w:r>
    </w:p>
    <w:p w:rsidR="00D50D50" w:rsidRPr="00B86E9B" w:rsidRDefault="00D50D50" w:rsidP="00D50D50">
      <w:pPr>
        <w:pStyle w:val="3"/>
        <w:kinsoku w:val="0"/>
        <w:autoSpaceDE w:val="0"/>
        <w:autoSpaceDN w:val="0"/>
        <w:snapToGrid w:val="0"/>
        <w:spacing w:line="440" w:lineRule="atLeast"/>
        <w:rPr>
          <w:rFonts w:hAnsi="標楷體"/>
          <w:b/>
          <w:color w:val="000000"/>
        </w:rPr>
      </w:pPr>
      <w:r w:rsidRPr="00B86E9B">
        <w:rPr>
          <w:rFonts w:hAnsi="標楷體" w:hint="eastAsia"/>
          <w:b/>
          <w:color w:val="000000"/>
        </w:rPr>
        <w:t>臺北市政府廉政透明委員會之設置依據、法定職掌、單位及法令沿革、人員組成方式與調查權限，未有法律明文規定，行使調查權，違背正當法</w:t>
      </w:r>
      <w:r w:rsidRPr="00B86E9B">
        <w:rPr>
          <w:rFonts w:hAnsi="標楷體" w:hint="eastAsia"/>
          <w:b/>
          <w:color w:val="000000"/>
        </w:rPr>
        <w:lastRenderedPageBreak/>
        <w:t>律程序原則與前揭司法院釋字</w:t>
      </w:r>
      <w:r>
        <w:rPr>
          <w:rFonts w:hAnsi="標楷體" w:hint="eastAsia"/>
          <w:b/>
          <w:color w:val="000000"/>
        </w:rPr>
        <w:t>第</w:t>
      </w:r>
      <w:r w:rsidRPr="00B86E9B">
        <w:rPr>
          <w:rFonts w:hAnsi="標楷體" w:hint="eastAsia"/>
          <w:b/>
          <w:color w:val="000000"/>
        </w:rPr>
        <w:t>585號解釋未盡相符。</w:t>
      </w:r>
    </w:p>
    <w:p w:rsidR="00D50D50" w:rsidRPr="00B86E9B" w:rsidRDefault="00D50D50" w:rsidP="00D50D50">
      <w:pPr>
        <w:pStyle w:val="4"/>
        <w:autoSpaceDE w:val="0"/>
        <w:autoSpaceDN w:val="0"/>
        <w:snapToGrid w:val="0"/>
        <w:spacing w:line="440" w:lineRule="atLeast"/>
        <w:rPr>
          <w:rFonts w:hAnsi="標楷體"/>
          <w:color w:val="000000"/>
        </w:rPr>
      </w:pPr>
      <w:r w:rsidRPr="00B86E9B">
        <w:rPr>
          <w:rFonts w:hAnsi="標楷體" w:hint="eastAsia"/>
          <w:color w:val="000000"/>
        </w:rPr>
        <w:t>按臺北市政府廉政透明委員會於104年1月成立，係</w:t>
      </w:r>
      <w:r w:rsidRPr="00B86E9B">
        <w:rPr>
          <w:rFonts w:hAnsi="標楷體" w:hint="eastAsia"/>
          <w:bCs/>
          <w:color w:val="000000"/>
        </w:rPr>
        <w:t>依據臺北市政府</w:t>
      </w:r>
      <w:r w:rsidRPr="00B86E9B">
        <w:rPr>
          <w:rFonts w:hAnsi="標楷體" w:hint="eastAsia"/>
          <w:color w:val="000000"/>
        </w:rPr>
        <w:t>組織</w:t>
      </w:r>
      <w:r w:rsidRPr="00B86E9B">
        <w:rPr>
          <w:rFonts w:hAnsi="標楷體" w:hint="eastAsia"/>
          <w:bCs/>
          <w:color w:val="000000"/>
        </w:rPr>
        <w:t>自治條例第9條：「市政府為處理特定事務，得設置各種任務編組，其設置要點另定之。」設置。其</w:t>
      </w:r>
      <w:r w:rsidRPr="00B86E9B">
        <w:rPr>
          <w:rFonts w:hAnsi="標楷體" w:hint="eastAsia"/>
          <w:color w:val="000000"/>
        </w:rPr>
        <w:t>目的為促進全民參與，落實外部監督機制，提升廉政透明效能而設置，主任委員由</w:t>
      </w:r>
      <w:hyperlink r:id="rId9" w:tooltip="臺北市長" w:history="1">
        <w:r w:rsidRPr="00B86E9B">
          <w:rPr>
            <w:rStyle w:val="a9"/>
            <w:rFonts w:hAnsi="標楷體" w:hint="eastAsia"/>
            <w:color w:val="000000"/>
          </w:rPr>
          <w:t>臺北市長</w:t>
        </w:r>
      </w:hyperlink>
      <w:r w:rsidRPr="00B86E9B">
        <w:rPr>
          <w:rFonts w:hAnsi="標楷體" w:hint="eastAsia"/>
          <w:color w:val="000000"/>
        </w:rPr>
        <w:t>兼任，依據原臺北市政府廉政肅貪中心設置要點第3點第5款規定：「涉及貪瀆不法案件之查處與檢討。」均不涉及調查權之行使，僅作為市長幕僚單位。</w:t>
      </w:r>
    </w:p>
    <w:p w:rsidR="00D50D50" w:rsidRPr="00B86E9B" w:rsidRDefault="00D50D50" w:rsidP="00D50D50">
      <w:pPr>
        <w:pStyle w:val="4"/>
        <w:autoSpaceDE w:val="0"/>
        <w:autoSpaceDN w:val="0"/>
        <w:snapToGrid w:val="0"/>
        <w:spacing w:line="440" w:lineRule="atLeast"/>
        <w:rPr>
          <w:rFonts w:hAnsi="標楷體"/>
          <w:color w:val="000000"/>
        </w:rPr>
      </w:pPr>
      <w:r w:rsidRPr="00B86E9B">
        <w:rPr>
          <w:rFonts w:hAnsi="標楷體" w:hint="eastAsia"/>
          <w:bCs/>
          <w:color w:val="000000"/>
        </w:rPr>
        <w:t>依據現行「臺北市政府廉政透明委員會設置要點」</w:t>
      </w:r>
      <w:r w:rsidRPr="00B86E9B">
        <w:rPr>
          <w:rStyle w:val="af6"/>
          <w:rFonts w:hAnsi="標楷體"/>
          <w:bCs/>
          <w:color w:val="000000"/>
        </w:rPr>
        <w:footnoteReference w:id="6"/>
      </w:r>
      <w:r w:rsidRPr="00B86E9B">
        <w:rPr>
          <w:rFonts w:hAnsi="標楷體" w:hint="eastAsia"/>
          <w:bCs/>
          <w:color w:val="000000"/>
        </w:rPr>
        <w:t>第2點規定，該會置委員17至21人，召集人由市長兼任，副召集人一人，由市長指派之副市長兼任，外聘委員由市長就社會公正人士、具有相關專門學術經驗之專家學者聘（派）兼之，且不得低於全體委員總數二分之一，並考量性別比例原則。其目的係透過外部監督機制檢討該府各機關之肅貪、防貪、公務倫理及行政透明措施等各項廉政工作推動情形</w:t>
      </w:r>
      <w:r w:rsidRPr="00B86E9B">
        <w:rPr>
          <w:rFonts w:hAnsi="標楷體" w:hint="eastAsia"/>
          <w:color w:val="000000"/>
        </w:rPr>
        <w:t>，為該府</w:t>
      </w:r>
      <w:r w:rsidRPr="00B86E9B">
        <w:rPr>
          <w:rFonts w:hAnsi="標楷體" w:hint="eastAsia"/>
          <w:bCs/>
          <w:color w:val="000000"/>
        </w:rPr>
        <w:t>府層級之任務編組，非行政組織</w:t>
      </w:r>
      <w:r w:rsidRPr="00B86E9B">
        <w:rPr>
          <w:rFonts w:hAnsi="標楷體" w:hint="eastAsia"/>
          <w:color w:val="000000"/>
        </w:rPr>
        <w:t>，此有臺北市政府104年10月27日府授政三字第10414806400號函可稽。</w:t>
      </w:r>
    </w:p>
    <w:p w:rsidR="00D50D50" w:rsidRPr="00B86E9B" w:rsidRDefault="00D50D50" w:rsidP="00D50D50">
      <w:pPr>
        <w:pStyle w:val="4"/>
        <w:autoSpaceDE w:val="0"/>
        <w:autoSpaceDN w:val="0"/>
        <w:snapToGrid w:val="0"/>
        <w:spacing w:line="440" w:lineRule="atLeast"/>
        <w:rPr>
          <w:color w:val="000000"/>
        </w:rPr>
      </w:pPr>
      <w:r w:rsidRPr="00B86E9B">
        <w:rPr>
          <w:rFonts w:hint="eastAsia"/>
          <w:color w:val="000000"/>
        </w:rPr>
        <w:t>復按</w:t>
      </w:r>
      <w:r w:rsidRPr="00B86E9B">
        <w:rPr>
          <w:rFonts w:ascii="新細明體" w:eastAsia="新細明體" w:hAnsi="新細明體" w:hint="eastAsia"/>
          <w:color w:val="000000"/>
        </w:rPr>
        <w:t>「</w:t>
      </w:r>
      <w:r w:rsidRPr="00B86E9B">
        <w:rPr>
          <w:color w:val="000000"/>
        </w:rPr>
        <w:t>臺北市政府廉政透明委員會作業規定</w:t>
      </w:r>
      <w:r w:rsidRPr="00B86E9B">
        <w:rPr>
          <w:rFonts w:ascii="新細明體" w:eastAsia="新細明體" w:hAnsi="新細明體" w:hint="eastAsia"/>
          <w:color w:val="000000"/>
        </w:rPr>
        <w:t>」</w:t>
      </w:r>
      <w:r w:rsidRPr="00B86E9B">
        <w:rPr>
          <w:rStyle w:val="af6"/>
          <w:rFonts w:hAnsi="標楷體"/>
          <w:bCs/>
          <w:color w:val="000000"/>
        </w:rPr>
        <w:footnoteReference w:id="7"/>
      </w:r>
      <w:r w:rsidRPr="00B86E9B">
        <w:rPr>
          <w:rFonts w:hint="eastAsia"/>
          <w:color w:val="000000"/>
        </w:rPr>
        <w:t>第3點第1款規定：「本會業務執行具體作法如下：（一）個案調查：1.本會得就本府相關案件主動進行調查，本府相關機關應本透明公開之原則提供文書影音資料以利調閱，或指定本</w:t>
      </w:r>
      <w:r w:rsidRPr="00B86E9B">
        <w:rPr>
          <w:rFonts w:hint="eastAsia"/>
          <w:color w:val="000000"/>
        </w:rPr>
        <w:lastRenderedPageBreak/>
        <w:t>府相關機關人員提出報告或說明。2.本會對於檢舉貪瀆不法案件或重大違失案件，得指派委員組成專案小組進行調查，調查結果應提本會審議。」同規定第5點規定：「</w:t>
      </w:r>
      <w:r w:rsidRPr="00B86E9B">
        <w:rPr>
          <w:color w:val="000000"/>
        </w:rPr>
        <w:t>本會專案小組之組成、運作方式、調卷及閱卷作業原則如下：（一）專案小組原則由外聘委員2至4名及內部委員1名共同組成，得視需要邀請相關機關人員加入，組長由成員互推產生，負責協調聯繫、工作分配及報告事項。（二）調查中之案件，如須通知相關人員到會詢問時，應通知於一定場所為之，相關人員陳述時，得予以錄音、錄影及製作紀錄，並由其簽名或蓋章。</w:t>
      </w:r>
      <w:r w:rsidRPr="00B86E9B">
        <w:rPr>
          <w:rFonts w:hint="eastAsia"/>
          <w:color w:val="000000"/>
        </w:rPr>
        <w:t>（下略）」同規定第6點規定：「本會執行業務，各機關應配合辦理以下事項：（一）本會執行稽核、調查、檢核及評估各項業務，包括調卷、訪查、製作訪談或查考（證）紀錄、參與會議或會勘（驗）等，各機關應配合，不得拒絕。（下略）」。上開法令，係依據臺北市政府組織自治條例第9條制定，並未經立法院或臺北市議會立法，其法律定性自屬行政規則，此亦為臺北市政府所自認。然上開行政規則與修正前</w:t>
      </w:r>
      <w:r w:rsidRPr="00B86E9B">
        <w:rPr>
          <w:rFonts w:hAnsi="標楷體" w:hint="eastAsia"/>
          <w:bCs/>
          <w:color w:val="000000"/>
        </w:rPr>
        <w:t>臺北市政府廉政肅貪中心作業規定</w:t>
      </w:r>
      <w:r w:rsidRPr="00B86E9B">
        <w:rPr>
          <w:rStyle w:val="af6"/>
          <w:rFonts w:hAnsi="標楷體"/>
          <w:bCs/>
          <w:color w:val="000000"/>
        </w:rPr>
        <w:footnoteReference w:id="8"/>
      </w:r>
      <w:r w:rsidRPr="00B86E9B">
        <w:rPr>
          <w:rFonts w:hint="eastAsia"/>
          <w:color w:val="000000"/>
        </w:rPr>
        <w:t>有別，將原本</w:t>
      </w:r>
      <w:hyperlink r:id="rId10" w:history="1">
        <w:r w:rsidRPr="00B86E9B">
          <w:rPr>
            <w:rStyle w:val="a9"/>
            <w:rFonts w:hAnsi="標楷體" w:hint="eastAsia"/>
            <w:bCs/>
            <w:color w:val="000000"/>
          </w:rPr>
          <w:t>政風機構人員設置管理條例</w:t>
        </w:r>
      </w:hyperlink>
      <w:r w:rsidRPr="00B86E9B">
        <w:rPr>
          <w:rFonts w:hint="eastAsia"/>
          <w:color w:val="000000"/>
        </w:rPr>
        <w:t>第4條第5</w:t>
      </w:r>
      <w:r>
        <w:rPr>
          <w:rFonts w:hint="eastAsia"/>
          <w:color w:val="000000"/>
        </w:rPr>
        <w:t>款：「機關有關之貪瀆與不法事項之處理。」與同條例</w:t>
      </w:r>
      <w:r w:rsidRPr="00B86E9B">
        <w:rPr>
          <w:rFonts w:hint="eastAsia"/>
          <w:color w:val="000000"/>
        </w:rPr>
        <w:t>施行細則第8條</w:t>
      </w:r>
      <w:r w:rsidRPr="00B86E9B">
        <w:rPr>
          <w:rStyle w:val="af6"/>
          <w:rFonts w:hAnsi="標楷體"/>
          <w:bCs/>
          <w:color w:val="000000"/>
        </w:rPr>
        <w:footnoteReference w:id="9"/>
      </w:r>
      <w:r w:rsidRPr="00B86E9B">
        <w:rPr>
          <w:rFonts w:hint="eastAsia"/>
          <w:color w:val="000000"/>
        </w:rPr>
        <w:t>之政風機構法定權限，委由非政風人員行使，似與行政程序法第11條所定法定管轄原則未盡相符。</w:t>
      </w:r>
    </w:p>
    <w:p w:rsidR="00D50D50" w:rsidRPr="00B86E9B" w:rsidRDefault="00D50D50" w:rsidP="00D50D50">
      <w:pPr>
        <w:pStyle w:val="4"/>
        <w:autoSpaceDE w:val="0"/>
        <w:autoSpaceDN w:val="0"/>
        <w:snapToGrid w:val="0"/>
        <w:spacing w:line="440" w:lineRule="atLeast"/>
        <w:rPr>
          <w:rFonts w:hAnsi="標楷體"/>
          <w:bCs/>
          <w:color w:val="000000"/>
        </w:rPr>
      </w:pPr>
      <w:r w:rsidRPr="00B86E9B">
        <w:rPr>
          <w:rFonts w:hAnsi="標楷體" w:hint="eastAsia"/>
          <w:color w:val="000000"/>
        </w:rPr>
        <w:lastRenderedPageBreak/>
        <w:t>另公務員為全體國民奉仕者，與國家具有特別法律關係，對其行使調查有委任非公務員協助調查時應審慎為之，並應制定特別法，就委任之目的、委任調查之範圍、受委任人之資格、選任、任期等人事組織事項、特別調查權限</w:t>
      </w:r>
      <w:r>
        <w:rPr>
          <w:rFonts w:hAnsi="標楷體" w:hint="eastAsia"/>
          <w:color w:val="000000"/>
        </w:rPr>
        <w:t>、方法與程序等妥為詳細之規定，並藉作為受其監督公務員之依法服從之</w:t>
      </w:r>
      <w:r w:rsidRPr="00B86E9B">
        <w:rPr>
          <w:rFonts w:hAnsi="標楷體" w:hint="eastAsia"/>
          <w:color w:val="000000"/>
        </w:rPr>
        <w:t>基礎，其個案調查事項之範圍，亦不能違反權力分立與制衡原則，亦不得侵害其他機關之權力核心範圍，或造成實質妨礙，對於公務員行使調查方式與權限，必須符合憲法上比例原則、法律明確性原則及正當法律程序之要求，始符合司法院釋字</w:t>
      </w:r>
      <w:r>
        <w:rPr>
          <w:rFonts w:hAnsi="標楷體" w:hint="eastAsia"/>
          <w:color w:val="000000"/>
        </w:rPr>
        <w:t>第</w:t>
      </w:r>
      <w:r w:rsidRPr="00B86E9B">
        <w:rPr>
          <w:rFonts w:hAnsi="標楷體" w:hint="eastAsia"/>
          <w:color w:val="000000"/>
        </w:rPr>
        <w:t>585號解釋要求。</w:t>
      </w:r>
    </w:p>
    <w:p w:rsidR="00D50D50" w:rsidRPr="00D50D50" w:rsidRDefault="00D50D50" w:rsidP="00D50D50">
      <w:pPr>
        <w:pStyle w:val="3"/>
        <w:numPr>
          <w:ilvl w:val="2"/>
          <w:numId w:val="6"/>
        </w:numPr>
        <w:overflowPunct w:val="0"/>
        <w:autoSpaceDE w:val="0"/>
        <w:autoSpaceDN w:val="0"/>
        <w:rPr>
          <w:rFonts w:hAnsi="標楷體"/>
          <w:color w:val="000000" w:themeColor="text1"/>
        </w:rPr>
      </w:pPr>
      <w:r w:rsidRPr="00D50D50">
        <w:rPr>
          <w:rFonts w:hAnsi="標楷體" w:hint="eastAsia"/>
          <w:color w:val="000000"/>
        </w:rPr>
        <w:t>綜上，臺北市政府廉政透明委員會於未有法律明文規定下行使調查權，且該會之設置法定依據、職掌、人員組成方式與調查權限之範圍，與正當法律程序原則未盡相符，並違反司法院釋字第585號解釋意旨，亟待改進。</w:t>
      </w:r>
    </w:p>
    <w:p w:rsidR="00D12D65" w:rsidRPr="00E64DFE" w:rsidRDefault="00D12D65" w:rsidP="00065FCF">
      <w:pPr>
        <w:pStyle w:val="12"/>
        <w:spacing w:beforeLines="20" w:before="91"/>
        <w:ind w:left="680" w:firstLine="680"/>
        <w:rPr>
          <w:color w:val="000000" w:themeColor="text1"/>
        </w:rPr>
      </w:pP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Start w:id="88" w:name="_Toc529222689"/>
      <w:bookmarkStart w:id="89" w:name="_Toc529223111"/>
      <w:bookmarkStart w:id="90" w:name="_Toc529223862"/>
      <w:bookmarkStart w:id="91" w:name="_Toc529228265"/>
    </w:p>
    <w:p w:rsidR="00967E4F" w:rsidRPr="00E64DFE" w:rsidRDefault="00E92480" w:rsidP="00065FCF">
      <w:pPr>
        <w:pStyle w:val="12"/>
        <w:spacing w:beforeLines="20" w:before="91"/>
        <w:ind w:left="680" w:firstLine="680"/>
        <w:rPr>
          <w:bCs/>
          <w:color w:val="000000" w:themeColor="text1"/>
        </w:rPr>
      </w:pPr>
      <w:r w:rsidRPr="00E64DFE">
        <w:rPr>
          <w:rFonts w:hint="eastAsia"/>
          <w:color w:val="000000" w:themeColor="text1"/>
        </w:rPr>
        <w:t>綜上所述，</w:t>
      </w:r>
      <w:r w:rsidR="00065FCF" w:rsidRPr="00E64DFE">
        <w:rPr>
          <w:rFonts w:hint="eastAsia"/>
          <w:color w:val="000000" w:themeColor="text1"/>
        </w:rPr>
        <w:t>臺北市政府未依</w:t>
      </w:r>
      <w:r w:rsidR="00065FCF" w:rsidRPr="00E64DFE">
        <w:rPr>
          <w:color w:val="000000" w:themeColor="text1"/>
        </w:rPr>
        <w:t>臺北文化體育園區－大型室內體育館開發計畫案興建營運契約</w:t>
      </w:r>
      <w:r w:rsidR="00065FCF" w:rsidRPr="00E64DFE">
        <w:rPr>
          <w:rFonts w:hint="eastAsia"/>
          <w:color w:val="000000" w:themeColor="text1"/>
        </w:rPr>
        <w:t>（即BOT契約）之約定，於104年5月14日前之歷次勘驗，均未詳實比對建築圖說與現場差異，殊難謂善盡BOT契約之勘驗責任；又遠雄巨蛋公司違法未按圖施工，對於所衍生公安疑慮，固有無可推卸</w:t>
      </w:r>
      <w:r w:rsidR="00D50D50">
        <w:rPr>
          <w:rFonts w:hint="eastAsia"/>
          <w:color w:val="000000" w:themeColor="text1"/>
        </w:rPr>
        <w:t>之</w:t>
      </w:r>
      <w:r w:rsidR="00065FCF" w:rsidRPr="00E64DFE">
        <w:rPr>
          <w:rFonts w:hint="eastAsia"/>
          <w:color w:val="000000" w:themeColor="text1"/>
        </w:rPr>
        <w:t>責任。惟臺北市政府亦僅基於行政高權並未考量與遠雄巨蛋公司具有BOT夥伴關係，其透過媒體</w:t>
      </w:r>
      <w:r w:rsidR="00065FCF" w:rsidRPr="00E64DFE">
        <w:rPr>
          <w:rFonts w:hint="eastAsia"/>
          <w:bCs/>
          <w:color w:val="000000" w:themeColor="text1"/>
        </w:rPr>
        <w:t>忽而解約、忽而換手，致使契約兩造信賴關係破壞殆盡，亦有未洽之處</w:t>
      </w:r>
      <w:r w:rsidR="00065FCF" w:rsidRPr="00E64DFE">
        <w:rPr>
          <w:rFonts w:hint="eastAsia"/>
          <w:color w:val="000000" w:themeColor="text1"/>
        </w:rPr>
        <w:t>；</w:t>
      </w:r>
      <w:r w:rsidR="00065FCF" w:rsidRPr="00E64DFE">
        <w:rPr>
          <w:rFonts w:hint="eastAsia"/>
          <w:bCs/>
          <w:color w:val="000000" w:themeColor="text1"/>
        </w:rPr>
        <w:t>復</w:t>
      </w:r>
      <w:r w:rsidR="00065FCF" w:rsidRPr="00E64DFE">
        <w:rPr>
          <w:rFonts w:hint="eastAsia"/>
          <w:color w:val="000000" w:themeColor="text1"/>
        </w:rPr>
        <w:t>該府廉政透明委員會於未有法律明文規定下行使調查權，且該會之設置法定依據、職掌、人員組成方式與調查</w:t>
      </w:r>
      <w:r w:rsidR="00065FCF" w:rsidRPr="00E64DFE">
        <w:rPr>
          <w:rFonts w:hint="eastAsia"/>
          <w:color w:val="000000" w:themeColor="text1"/>
        </w:rPr>
        <w:lastRenderedPageBreak/>
        <w:t>權限之範圍，與正當法律程序原則未盡相符，並違反司法院釋字</w:t>
      </w:r>
      <w:r w:rsidR="00322BF7">
        <w:rPr>
          <w:rFonts w:hint="eastAsia"/>
          <w:color w:val="000000" w:themeColor="text1"/>
        </w:rPr>
        <w:t>第</w:t>
      </w:r>
      <w:r w:rsidR="00065FCF" w:rsidRPr="00E64DFE">
        <w:rPr>
          <w:rFonts w:hint="eastAsia"/>
          <w:color w:val="000000" w:themeColor="text1"/>
        </w:rPr>
        <w:t>585號解釋意旨，</w:t>
      </w:r>
      <w:r w:rsidR="00065FCF" w:rsidRPr="00E64DFE">
        <w:rPr>
          <w:rFonts w:hint="eastAsia"/>
          <w:bCs/>
          <w:color w:val="000000" w:themeColor="text1"/>
        </w:rPr>
        <w:t>均涉有</w:t>
      </w:r>
      <w:r w:rsidR="00065FCF" w:rsidRPr="00E64DFE">
        <w:rPr>
          <w:rFonts w:hint="eastAsia"/>
          <w:color w:val="000000" w:themeColor="text1"/>
        </w:rPr>
        <w:t>違失</w:t>
      </w:r>
      <w:r w:rsidRPr="00E64DFE">
        <w:rPr>
          <w:rFonts w:hint="eastAsia"/>
          <w:color w:val="000000" w:themeColor="text1"/>
        </w:rPr>
        <w:t>。</w:t>
      </w:r>
      <w:r w:rsidR="00FF644E" w:rsidRPr="00E64DFE">
        <w:rPr>
          <w:rFonts w:hAnsi="標楷體" w:cs="Helvetica" w:hint="eastAsia"/>
          <w:color w:val="000000" w:themeColor="text1"/>
          <w:szCs w:val="32"/>
        </w:rPr>
        <w:t>爰依監察法第24條提案糾正，移送</w:t>
      </w:r>
      <w:r w:rsidR="003506E5" w:rsidRPr="00E64DFE">
        <w:rPr>
          <w:rFonts w:hAnsi="標楷體" w:cs="Helvetica" w:hint="eastAsia"/>
          <w:color w:val="000000" w:themeColor="text1"/>
          <w:szCs w:val="32"/>
        </w:rPr>
        <w:t>臺北市政府</w:t>
      </w:r>
      <w:r w:rsidR="00FF644E" w:rsidRPr="00E64DFE">
        <w:rPr>
          <w:rFonts w:hAnsi="標楷體" w:cs="Helvetica" w:hint="eastAsia"/>
          <w:color w:val="000000" w:themeColor="text1"/>
          <w:szCs w:val="32"/>
        </w:rPr>
        <w:t>確實檢討改善見復</w:t>
      </w:r>
      <w:r w:rsidR="00FF644E" w:rsidRPr="00E64DFE">
        <w:rPr>
          <w:rFonts w:hint="eastAsia"/>
          <w:color w:val="000000" w:themeColor="text1"/>
        </w:rPr>
        <w:t>。</w:t>
      </w:r>
    </w:p>
    <w:p w:rsidR="00271BE3" w:rsidRPr="00E64DFE" w:rsidRDefault="00271BE3">
      <w:pPr>
        <w:widowControl/>
        <w:rPr>
          <w:rFonts w:ascii="標楷體"/>
          <w:bCs/>
          <w:color w:val="000000" w:themeColor="text1"/>
          <w:spacing w:val="12"/>
          <w:kern w:val="0"/>
          <w:sz w:val="40"/>
        </w:rPr>
      </w:pPr>
      <w:bookmarkStart w:id="92" w:name="_Toc524895649"/>
      <w:bookmarkStart w:id="93" w:name="_Toc524896195"/>
      <w:bookmarkStart w:id="94" w:name="_Toc524896225"/>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C714B0" w:rsidRPr="00E64DFE" w:rsidRDefault="00C714B0">
      <w:pPr>
        <w:widowControl/>
        <w:rPr>
          <w:rFonts w:ascii="標楷體"/>
          <w:bCs/>
          <w:color w:val="000000" w:themeColor="text1"/>
          <w:spacing w:val="12"/>
          <w:kern w:val="0"/>
          <w:sz w:val="40"/>
        </w:rPr>
      </w:pPr>
      <w:r w:rsidRPr="00E64DFE">
        <w:rPr>
          <w:rFonts w:ascii="標楷體"/>
          <w:bCs/>
          <w:color w:val="000000" w:themeColor="text1"/>
          <w:spacing w:val="12"/>
          <w:kern w:val="0"/>
          <w:sz w:val="40"/>
        </w:rPr>
        <w:br w:type="page"/>
      </w:r>
    </w:p>
    <w:p w:rsidR="001C72BF" w:rsidRPr="00E64DFE" w:rsidRDefault="001C72BF">
      <w:pPr>
        <w:widowControl/>
        <w:rPr>
          <w:rFonts w:ascii="標楷體"/>
          <w:bCs/>
          <w:color w:val="000000" w:themeColor="text1"/>
          <w:spacing w:val="12"/>
          <w:kern w:val="0"/>
          <w:sz w:val="40"/>
        </w:rPr>
      </w:pPr>
    </w:p>
    <w:p w:rsidR="00EB29B7" w:rsidRDefault="00B34457">
      <w:pPr>
        <w:pStyle w:val="a6"/>
        <w:spacing w:before="0" w:after="0"/>
        <w:ind w:leftChars="1100" w:left="3742"/>
        <w:jc w:val="both"/>
        <w:rPr>
          <w:rFonts w:hint="eastAsia"/>
          <w:b w:val="0"/>
          <w:bCs/>
          <w:snapToGrid/>
          <w:color w:val="000000" w:themeColor="text1"/>
          <w:spacing w:val="0"/>
          <w:kern w:val="0"/>
          <w:sz w:val="40"/>
        </w:rPr>
      </w:pPr>
      <w:r w:rsidRPr="00E64DFE">
        <w:rPr>
          <w:rFonts w:hint="eastAsia"/>
          <w:b w:val="0"/>
          <w:bCs/>
          <w:snapToGrid/>
          <w:color w:val="000000" w:themeColor="text1"/>
          <w:spacing w:val="12"/>
          <w:kern w:val="0"/>
          <w:sz w:val="40"/>
        </w:rPr>
        <w:t>提案委員：</w:t>
      </w:r>
      <w:r w:rsidR="00503720" w:rsidRPr="00E64DFE">
        <w:rPr>
          <w:b w:val="0"/>
          <w:bCs/>
          <w:snapToGrid/>
          <w:color w:val="000000" w:themeColor="text1"/>
          <w:spacing w:val="0"/>
          <w:kern w:val="0"/>
          <w:sz w:val="40"/>
        </w:rPr>
        <w:t xml:space="preserve"> </w:t>
      </w:r>
    </w:p>
    <w:p w:rsidR="008A4910" w:rsidRPr="00E64DFE" w:rsidRDefault="00EB29B7">
      <w:pPr>
        <w:pStyle w:val="a6"/>
        <w:spacing w:before="0" w:after="0"/>
        <w:ind w:leftChars="1100" w:left="3742"/>
        <w:jc w:val="both"/>
        <w:rPr>
          <w:b w:val="0"/>
          <w:bCs/>
          <w:snapToGrid/>
          <w:color w:val="000000" w:themeColor="text1"/>
          <w:spacing w:val="0"/>
          <w:kern w:val="0"/>
          <w:sz w:val="40"/>
        </w:rPr>
      </w:pPr>
      <w:r>
        <w:rPr>
          <w:rFonts w:hint="eastAsia"/>
          <w:b w:val="0"/>
          <w:bCs/>
          <w:snapToGrid/>
          <w:color w:val="000000" w:themeColor="text1"/>
          <w:spacing w:val="0"/>
          <w:kern w:val="0"/>
          <w:sz w:val="40"/>
        </w:rPr>
        <w:t>王美玉</w:t>
      </w:r>
    </w:p>
    <w:p w:rsidR="00EB29B7" w:rsidRDefault="00EB29B7" w:rsidP="00EB29B7">
      <w:pPr>
        <w:pStyle w:val="a6"/>
        <w:spacing w:before="0" w:after="0"/>
        <w:ind w:leftChars="1100" w:left="3742"/>
        <w:jc w:val="both"/>
        <w:rPr>
          <w:rFonts w:hint="eastAsia"/>
          <w:b w:val="0"/>
          <w:bCs/>
          <w:snapToGrid/>
          <w:color w:val="000000" w:themeColor="text1"/>
          <w:spacing w:val="0"/>
          <w:kern w:val="0"/>
          <w:sz w:val="40"/>
        </w:rPr>
      </w:pPr>
      <w:r w:rsidRPr="00EB29B7">
        <w:rPr>
          <w:rFonts w:hint="eastAsia"/>
          <w:b w:val="0"/>
          <w:bCs/>
          <w:snapToGrid/>
          <w:color w:val="000000" w:themeColor="text1"/>
          <w:spacing w:val="0"/>
          <w:kern w:val="0"/>
          <w:sz w:val="40"/>
        </w:rPr>
        <w:t>仉桂美</w:t>
      </w:r>
    </w:p>
    <w:p w:rsidR="009C17E5" w:rsidRPr="00EB29B7" w:rsidRDefault="00EB29B7" w:rsidP="00EB29B7">
      <w:pPr>
        <w:pStyle w:val="a6"/>
        <w:spacing w:before="0" w:after="0"/>
        <w:ind w:leftChars="1100" w:left="3742"/>
        <w:jc w:val="both"/>
        <w:rPr>
          <w:b w:val="0"/>
          <w:bCs/>
          <w:snapToGrid/>
          <w:color w:val="000000" w:themeColor="text1"/>
          <w:spacing w:val="0"/>
          <w:kern w:val="0"/>
          <w:sz w:val="40"/>
        </w:rPr>
      </w:pPr>
      <w:r>
        <w:rPr>
          <w:rFonts w:hint="eastAsia"/>
          <w:b w:val="0"/>
          <w:bCs/>
          <w:snapToGrid/>
          <w:color w:val="000000" w:themeColor="text1"/>
          <w:spacing w:val="0"/>
          <w:kern w:val="0"/>
          <w:sz w:val="40"/>
        </w:rPr>
        <w:t>包宗和</w:t>
      </w:r>
    </w:p>
    <w:p w:rsidR="009C17E5" w:rsidRPr="00E64DFE" w:rsidRDefault="009C17E5" w:rsidP="009C17E5">
      <w:pPr>
        <w:pStyle w:val="a6"/>
        <w:spacing w:before="0" w:after="0" w:line="240" w:lineRule="exact"/>
        <w:ind w:leftChars="1100" w:left="3742" w:firstLineChars="500" w:firstLine="1901"/>
        <w:jc w:val="both"/>
        <w:rPr>
          <w:b w:val="0"/>
          <w:bCs/>
          <w:snapToGrid/>
          <w:color w:val="000000" w:themeColor="text1"/>
          <w:spacing w:val="0"/>
          <w:kern w:val="0"/>
        </w:rPr>
      </w:pPr>
    </w:p>
    <w:p w:rsidR="00503720" w:rsidRPr="00E64DFE" w:rsidRDefault="00503720" w:rsidP="009C17E5">
      <w:pPr>
        <w:pStyle w:val="a6"/>
        <w:spacing w:before="0" w:after="0" w:line="240" w:lineRule="exact"/>
        <w:ind w:leftChars="1100" w:left="3742" w:firstLineChars="500" w:firstLine="1901"/>
        <w:jc w:val="both"/>
        <w:rPr>
          <w:b w:val="0"/>
          <w:bCs/>
          <w:snapToGrid/>
          <w:color w:val="000000" w:themeColor="text1"/>
          <w:spacing w:val="0"/>
          <w:kern w:val="0"/>
        </w:rPr>
      </w:pPr>
    </w:p>
    <w:p w:rsidR="00503720" w:rsidRPr="00E64DFE" w:rsidRDefault="00503720" w:rsidP="009C17E5">
      <w:pPr>
        <w:pStyle w:val="a6"/>
        <w:spacing w:before="0" w:after="0" w:line="240" w:lineRule="exact"/>
        <w:ind w:leftChars="1100" w:left="3742" w:firstLineChars="500" w:firstLine="1901"/>
        <w:jc w:val="both"/>
        <w:rPr>
          <w:b w:val="0"/>
          <w:bCs/>
          <w:snapToGrid/>
          <w:color w:val="000000" w:themeColor="text1"/>
          <w:spacing w:val="0"/>
          <w:kern w:val="0"/>
        </w:rPr>
      </w:pPr>
    </w:p>
    <w:p w:rsidR="00503720" w:rsidRPr="00E64DFE" w:rsidRDefault="00503720" w:rsidP="009C17E5">
      <w:pPr>
        <w:pStyle w:val="a6"/>
        <w:spacing w:before="0" w:after="0" w:line="240" w:lineRule="exact"/>
        <w:ind w:leftChars="1100" w:left="3742" w:firstLineChars="500" w:firstLine="1901"/>
        <w:jc w:val="both"/>
        <w:rPr>
          <w:b w:val="0"/>
          <w:bCs/>
          <w:snapToGrid/>
          <w:color w:val="000000" w:themeColor="text1"/>
          <w:spacing w:val="0"/>
          <w:kern w:val="0"/>
        </w:rPr>
      </w:pPr>
    </w:p>
    <w:p w:rsidR="009C17E5" w:rsidRPr="00E64DFE" w:rsidRDefault="009C17E5" w:rsidP="009C17E5">
      <w:pPr>
        <w:pStyle w:val="a6"/>
        <w:spacing w:before="0" w:after="0" w:line="240" w:lineRule="exact"/>
        <w:ind w:leftChars="1100" w:left="3742" w:firstLineChars="500" w:firstLine="1901"/>
        <w:jc w:val="both"/>
        <w:rPr>
          <w:b w:val="0"/>
          <w:bCs/>
          <w:snapToGrid/>
          <w:color w:val="000000" w:themeColor="text1"/>
          <w:spacing w:val="0"/>
          <w:kern w:val="0"/>
        </w:rPr>
      </w:pPr>
    </w:p>
    <w:p w:rsidR="009C17E5" w:rsidRPr="00E64DFE" w:rsidRDefault="009C17E5" w:rsidP="009C17E5">
      <w:pPr>
        <w:pStyle w:val="a6"/>
        <w:spacing w:before="0" w:after="0" w:line="240" w:lineRule="exact"/>
        <w:ind w:leftChars="1100" w:left="3742" w:firstLineChars="500" w:firstLine="1901"/>
        <w:jc w:val="both"/>
        <w:rPr>
          <w:b w:val="0"/>
          <w:bCs/>
          <w:snapToGrid/>
          <w:color w:val="000000" w:themeColor="text1"/>
          <w:spacing w:val="0"/>
          <w:kern w:val="0"/>
        </w:rPr>
      </w:pPr>
    </w:p>
    <w:p w:rsidR="001D42B9" w:rsidRPr="00E64DFE" w:rsidRDefault="00B34457" w:rsidP="005A6476">
      <w:pPr>
        <w:pStyle w:val="ae"/>
        <w:rPr>
          <w:color w:val="000000" w:themeColor="text1"/>
        </w:rPr>
      </w:pPr>
      <w:r w:rsidRPr="00E64DFE">
        <w:rPr>
          <w:rFonts w:hint="eastAsia"/>
          <w:bCs/>
          <w:color w:val="000000" w:themeColor="text1"/>
        </w:rPr>
        <w:t>中</w:t>
      </w:r>
      <w:r w:rsidRPr="00E64DFE">
        <w:rPr>
          <w:rFonts w:hint="eastAsia"/>
          <w:bCs/>
          <w:color w:val="000000" w:themeColor="text1"/>
        </w:rPr>
        <w:t xml:space="preserve">    </w:t>
      </w:r>
      <w:r w:rsidRPr="00E64DFE">
        <w:rPr>
          <w:rFonts w:hint="eastAsia"/>
          <w:bCs/>
          <w:color w:val="000000" w:themeColor="text1"/>
        </w:rPr>
        <w:t>華</w:t>
      </w:r>
      <w:r w:rsidRPr="00E64DFE">
        <w:rPr>
          <w:rFonts w:hint="eastAsia"/>
          <w:bCs/>
          <w:color w:val="000000" w:themeColor="text1"/>
        </w:rPr>
        <w:t xml:space="preserve">    </w:t>
      </w:r>
      <w:r w:rsidRPr="00E64DFE">
        <w:rPr>
          <w:rFonts w:hint="eastAsia"/>
          <w:bCs/>
          <w:color w:val="000000" w:themeColor="text1"/>
        </w:rPr>
        <w:t>民</w:t>
      </w:r>
      <w:r w:rsidRPr="00E64DFE">
        <w:rPr>
          <w:rFonts w:hint="eastAsia"/>
          <w:bCs/>
          <w:color w:val="000000" w:themeColor="text1"/>
        </w:rPr>
        <w:t xml:space="preserve">    </w:t>
      </w:r>
      <w:r w:rsidRPr="00E64DFE">
        <w:rPr>
          <w:rFonts w:hint="eastAsia"/>
          <w:bCs/>
          <w:color w:val="000000" w:themeColor="text1"/>
        </w:rPr>
        <w:t>國</w:t>
      </w:r>
      <w:r w:rsidRPr="00E64DFE">
        <w:rPr>
          <w:rFonts w:hint="eastAsia"/>
          <w:bCs/>
          <w:color w:val="000000" w:themeColor="text1"/>
        </w:rPr>
        <w:t xml:space="preserve"> </w:t>
      </w:r>
      <w:r w:rsidR="00233027" w:rsidRPr="00E64DFE">
        <w:rPr>
          <w:rFonts w:hint="eastAsia"/>
          <w:bCs/>
          <w:color w:val="000000" w:themeColor="text1"/>
        </w:rPr>
        <w:t xml:space="preserve">  10</w:t>
      </w:r>
      <w:r w:rsidR="00E52AE7" w:rsidRPr="00E64DFE">
        <w:rPr>
          <w:rFonts w:hint="eastAsia"/>
          <w:bCs/>
          <w:color w:val="000000" w:themeColor="text1"/>
        </w:rPr>
        <w:t>5</w:t>
      </w:r>
      <w:r w:rsidRPr="00E64DFE">
        <w:rPr>
          <w:rFonts w:hint="eastAsia"/>
          <w:bCs/>
          <w:color w:val="000000" w:themeColor="text1"/>
        </w:rPr>
        <w:t xml:space="preserve">   </w:t>
      </w:r>
      <w:r w:rsidRPr="00E64DFE">
        <w:rPr>
          <w:rFonts w:hint="eastAsia"/>
          <w:bCs/>
          <w:color w:val="000000" w:themeColor="text1"/>
        </w:rPr>
        <w:t>年</w:t>
      </w:r>
      <w:r w:rsidR="00134D7B" w:rsidRPr="00E64DFE">
        <w:rPr>
          <w:rFonts w:hint="eastAsia"/>
          <w:bCs/>
          <w:color w:val="000000" w:themeColor="text1"/>
        </w:rPr>
        <w:t xml:space="preserve">  </w:t>
      </w:r>
      <w:r w:rsidR="00E52AE7" w:rsidRPr="00E64DFE">
        <w:rPr>
          <w:rFonts w:hint="eastAsia"/>
          <w:bCs/>
          <w:color w:val="000000" w:themeColor="text1"/>
        </w:rPr>
        <w:t>8</w:t>
      </w:r>
      <w:r w:rsidRPr="00E64DFE">
        <w:rPr>
          <w:rFonts w:hint="eastAsia"/>
          <w:bCs/>
          <w:color w:val="000000" w:themeColor="text1"/>
        </w:rPr>
        <w:t xml:space="preserve">  </w:t>
      </w:r>
      <w:r w:rsidRPr="00E64DFE">
        <w:rPr>
          <w:rFonts w:hint="eastAsia"/>
          <w:bCs/>
          <w:color w:val="000000" w:themeColor="text1"/>
        </w:rPr>
        <w:t>月</w:t>
      </w:r>
      <w:r w:rsidRPr="00E64DFE">
        <w:rPr>
          <w:rFonts w:hint="eastAsia"/>
          <w:bCs/>
          <w:color w:val="000000" w:themeColor="text1"/>
        </w:rPr>
        <w:t xml:space="preserve"> </w:t>
      </w:r>
      <w:r w:rsidR="00EB29B7">
        <w:rPr>
          <w:rFonts w:hint="eastAsia"/>
          <w:bCs/>
          <w:color w:val="000000" w:themeColor="text1"/>
        </w:rPr>
        <w:t xml:space="preserve">8 </w:t>
      </w:r>
      <w:bookmarkStart w:id="95" w:name="_GoBack"/>
      <w:bookmarkEnd w:id="95"/>
      <w:r w:rsidRPr="00E64DFE">
        <w:rPr>
          <w:rFonts w:hint="eastAsia"/>
          <w:bCs/>
          <w:color w:val="000000" w:themeColor="text1"/>
        </w:rPr>
        <w:t xml:space="preserve"> </w:t>
      </w:r>
      <w:r w:rsidRPr="00E64DFE">
        <w:rPr>
          <w:rFonts w:hint="eastAsia"/>
          <w:bCs/>
          <w:color w:val="000000" w:themeColor="text1"/>
        </w:rPr>
        <w:t>日</w:t>
      </w:r>
    </w:p>
    <w:sectPr w:rsidR="001D42B9" w:rsidRPr="00E64DFE" w:rsidSect="00A91E37">
      <w:footerReference w:type="even" r:id="rId11"/>
      <w:footerReference w:type="default" r:id="rId12"/>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6CE" w:rsidRDefault="00F266CE" w:rsidP="00F77505">
      <w:r>
        <w:separator/>
      </w:r>
    </w:p>
  </w:endnote>
  <w:endnote w:type="continuationSeparator" w:id="0">
    <w:p w:rsidR="00F266CE" w:rsidRDefault="00F266CE" w:rsidP="00F7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華康楷書體W3">
    <w:altName w:val="新細明體"/>
    <w:charset w:val="01"/>
    <w:family w:val="roman"/>
    <w:pitch w:val="variable"/>
    <w:sig w:usb0="20003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зũ">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10" w:rsidRDefault="003A3C3B">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10" w:rsidRDefault="003A3C3B">
    <w:pPr>
      <w:pStyle w:val="ac"/>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EB29B7">
      <w:rPr>
        <w:rStyle w:val="a8"/>
        <w:noProof/>
        <w:sz w:val="24"/>
      </w:rPr>
      <w:t>16</w:t>
    </w:r>
    <w:r>
      <w:rPr>
        <w:rStyle w:val="a8"/>
        <w:sz w:val="24"/>
      </w:rPr>
      <w:fldChar w:fldCharType="end"/>
    </w:r>
  </w:p>
  <w:p w:rsidR="008A4910" w:rsidRDefault="008A4910">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6CE" w:rsidRDefault="00F266CE" w:rsidP="00F77505">
      <w:r>
        <w:separator/>
      </w:r>
    </w:p>
  </w:footnote>
  <w:footnote w:type="continuationSeparator" w:id="0">
    <w:p w:rsidR="00F266CE" w:rsidRDefault="00F266CE" w:rsidP="00F77505">
      <w:r>
        <w:continuationSeparator/>
      </w:r>
    </w:p>
  </w:footnote>
  <w:footnote w:id="1">
    <w:p w:rsidR="00065FCF" w:rsidRPr="001539E8" w:rsidRDefault="00065FCF" w:rsidP="00065FCF">
      <w:pPr>
        <w:pStyle w:val="af4"/>
        <w:tabs>
          <w:tab w:val="right" w:pos="8844"/>
        </w:tabs>
        <w:rPr>
          <w:rFonts w:ascii="新細明體" w:hAnsi="新細明體"/>
        </w:rPr>
      </w:pPr>
      <w:r w:rsidRPr="001539E8">
        <w:rPr>
          <w:rStyle w:val="af6"/>
          <w:rFonts w:ascii="新細明體" w:hAnsi="新細明體"/>
        </w:rPr>
        <w:footnoteRef/>
      </w:r>
      <w:r w:rsidRPr="001539E8">
        <w:rPr>
          <w:rFonts w:ascii="新細明體" w:hAnsi="新細明體"/>
        </w:rPr>
        <w:t xml:space="preserve"> </w:t>
      </w:r>
      <w:r w:rsidRPr="001539E8">
        <w:rPr>
          <w:rFonts w:ascii="新細明體" w:hAnsi="新細明體" w:hint="eastAsia"/>
        </w:rPr>
        <w:t>臺北市政府</w:t>
      </w:r>
      <w:r w:rsidRPr="001539E8">
        <w:rPr>
          <w:rFonts w:ascii="新細明體" w:hAnsi="新細明體"/>
        </w:rPr>
        <w:t>104</w:t>
      </w:r>
      <w:r w:rsidRPr="001539E8">
        <w:rPr>
          <w:rFonts w:ascii="新細明體" w:hAnsi="新細明體" w:hint="eastAsia"/>
        </w:rPr>
        <w:t>年</w:t>
      </w:r>
      <w:r w:rsidRPr="001539E8">
        <w:rPr>
          <w:rFonts w:ascii="新細明體" w:hAnsi="新細明體"/>
        </w:rPr>
        <w:t>10</w:t>
      </w:r>
      <w:r w:rsidRPr="001539E8">
        <w:rPr>
          <w:rFonts w:ascii="新細明體" w:hAnsi="新細明體" w:hint="eastAsia"/>
        </w:rPr>
        <w:t>月</w:t>
      </w:r>
      <w:r w:rsidRPr="001539E8">
        <w:rPr>
          <w:rFonts w:ascii="新細明體" w:hAnsi="新細明體"/>
        </w:rPr>
        <w:t>12</w:t>
      </w:r>
      <w:r w:rsidRPr="001539E8">
        <w:rPr>
          <w:rFonts w:ascii="新細明體" w:hAnsi="新細明體" w:hint="eastAsia"/>
        </w:rPr>
        <w:t>日府授體設字第</w:t>
      </w:r>
      <w:r w:rsidRPr="001539E8">
        <w:rPr>
          <w:rFonts w:ascii="新細明體" w:hAnsi="新細明體"/>
        </w:rPr>
        <w:t>10414866500</w:t>
      </w:r>
      <w:r w:rsidRPr="001539E8">
        <w:rPr>
          <w:rFonts w:ascii="新細明體" w:hAnsi="新細明體" w:hint="eastAsia"/>
        </w:rPr>
        <w:t>號函、臺北市政府</w:t>
      </w:r>
      <w:r w:rsidRPr="001539E8">
        <w:rPr>
          <w:rFonts w:ascii="新細明體" w:hAnsi="新細明體"/>
        </w:rPr>
        <w:t>104</w:t>
      </w:r>
      <w:r w:rsidRPr="001539E8">
        <w:rPr>
          <w:rFonts w:ascii="新細明體" w:hAnsi="新細明體" w:hint="eastAsia"/>
        </w:rPr>
        <w:t>年</w:t>
      </w:r>
      <w:r w:rsidRPr="001539E8">
        <w:rPr>
          <w:rFonts w:ascii="新細明體" w:hAnsi="新細明體"/>
        </w:rPr>
        <w:t>10</w:t>
      </w:r>
      <w:r w:rsidRPr="001539E8">
        <w:rPr>
          <w:rFonts w:ascii="新細明體" w:hAnsi="新細明體" w:hint="eastAsia"/>
        </w:rPr>
        <w:t>月</w:t>
      </w:r>
      <w:r w:rsidRPr="001539E8">
        <w:rPr>
          <w:rFonts w:ascii="新細明體" w:hAnsi="新細明體"/>
        </w:rPr>
        <w:t>27</w:t>
      </w:r>
      <w:r w:rsidRPr="001539E8">
        <w:rPr>
          <w:rFonts w:ascii="新細明體" w:hAnsi="新細明體" w:hint="eastAsia"/>
        </w:rPr>
        <w:t>日府授政三字第</w:t>
      </w:r>
      <w:r w:rsidRPr="001539E8">
        <w:rPr>
          <w:rFonts w:ascii="新細明體" w:hAnsi="新細明體"/>
        </w:rPr>
        <w:t>10414806400</w:t>
      </w:r>
      <w:r w:rsidRPr="001539E8">
        <w:rPr>
          <w:rFonts w:ascii="新細明體" w:hAnsi="新細明體" w:hint="eastAsia"/>
        </w:rPr>
        <w:t>號函、臺北市政府</w:t>
      </w:r>
      <w:r w:rsidRPr="001539E8">
        <w:rPr>
          <w:rFonts w:ascii="新細明體" w:hAnsi="新細明體"/>
        </w:rPr>
        <w:t>104</w:t>
      </w:r>
      <w:r w:rsidRPr="001539E8">
        <w:rPr>
          <w:rFonts w:ascii="新細明體" w:hAnsi="新細明體" w:hint="eastAsia"/>
        </w:rPr>
        <w:t>年</w:t>
      </w:r>
      <w:r w:rsidRPr="001539E8">
        <w:rPr>
          <w:rFonts w:ascii="新細明體" w:hAnsi="新細明體"/>
        </w:rPr>
        <w:t>10</w:t>
      </w:r>
      <w:r w:rsidRPr="001539E8">
        <w:rPr>
          <w:rFonts w:ascii="新細明體" w:hAnsi="新細明體" w:hint="eastAsia"/>
        </w:rPr>
        <w:t>月</w:t>
      </w:r>
      <w:r w:rsidRPr="001539E8">
        <w:rPr>
          <w:rFonts w:ascii="新細明體" w:hAnsi="新細明體"/>
        </w:rPr>
        <w:t>27</w:t>
      </w:r>
      <w:r w:rsidRPr="001539E8">
        <w:rPr>
          <w:rFonts w:ascii="新細明體" w:hAnsi="新細明體" w:hint="eastAsia"/>
        </w:rPr>
        <w:t>日府體設字第</w:t>
      </w:r>
      <w:r w:rsidRPr="001539E8">
        <w:rPr>
          <w:rFonts w:ascii="新細明體" w:hAnsi="新細明體"/>
        </w:rPr>
        <w:t>10433382600</w:t>
      </w:r>
      <w:r w:rsidRPr="001539E8">
        <w:rPr>
          <w:rFonts w:ascii="新細明體" w:hAnsi="新細明體" w:hint="eastAsia"/>
        </w:rPr>
        <w:t>號函、臺北市政府</w:t>
      </w:r>
      <w:r w:rsidRPr="001539E8">
        <w:rPr>
          <w:rFonts w:ascii="新細明體" w:hAnsi="新細明體"/>
        </w:rPr>
        <w:t>104</w:t>
      </w:r>
      <w:r w:rsidRPr="001539E8">
        <w:rPr>
          <w:rFonts w:ascii="新細明體" w:hAnsi="新細明體" w:hint="eastAsia"/>
        </w:rPr>
        <w:t>年</w:t>
      </w:r>
      <w:r w:rsidRPr="001539E8">
        <w:rPr>
          <w:rFonts w:ascii="新細明體" w:hAnsi="新細明體"/>
        </w:rPr>
        <w:t>12</w:t>
      </w:r>
      <w:r w:rsidRPr="001539E8">
        <w:rPr>
          <w:rFonts w:ascii="新細明體" w:hAnsi="新細明體" w:hint="eastAsia"/>
        </w:rPr>
        <w:t>月</w:t>
      </w:r>
      <w:r w:rsidRPr="001539E8">
        <w:rPr>
          <w:rFonts w:ascii="新細明體" w:hAnsi="新細明體"/>
        </w:rPr>
        <w:t>15</w:t>
      </w:r>
      <w:r w:rsidRPr="001539E8">
        <w:rPr>
          <w:rFonts w:ascii="新細明體" w:hAnsi="新細明體" w:hint="eastAsia"/>
        </w:rPr>
        <w:t>日府都字第</w:t>
      </w:r>
      <w:r w:rsidRPr="001539E8">
        <w:rPr>
          <w:rFonts w:ascii="新細明體" w:hAnsi="新細明體"/>
        </w:rPr>
        <w:t>10463003900</w:t>
      </w:r>
      <w:r w:rsidRPr="001539E8">
        <w:rPr>
          <w:rFonts w:ascii="新細明體" w:hAnsi="新細明體" w:hint="eastAsia"/>
        </w:rPr>
        <w:t>號函、臺北市政府</w:t>
      </w:r>
      <w:r w:rsidRPr="001539E8">
        <w:rPr>
          <w:rFonts w:ascii="新細明體" w:hAnsi="新細明體"/>
        </w:rPr>
        <w:t>105</w:t>
      </w:r>
      <w:r w:rsidRPr="001539E8">
        <w:rPr>
          <w:rFonts w:ascii="新細明體" w:hAnsi="新細明體" w:hint="eastAsia"/>
        </w:rPr>
        <w:t>年</w:t>
      </w:r>
      <w:r w:rsidRPr="001539E8">
        <w:rPr>
          <w:rFonts w:ascii="新細明體" w:hAnsi="新細明體"/>
        </w:rPr>
        <w:t>1</w:t>
      </w:r>
      <w:r w:rsidRPr="001539E8">
        <w:rPr>
          <w:rFonts w:ascii="新細明體" w:hAnsi="新細明體" w:hint="eastAsia"/>
        </w:rPr>
        <w:t>月</w:t>
      </w:r>
      <w:r w:rsidRPr="001539E8">
        <w:rPr>
          <w:rFonts w:ascii="新細明體" w:hAnsi="新細明體"/>
        </w:rPr>
        <w:t>26</w:t>
      </w:r>
      <w:r w:rsidRPr="001539E8">
        <w:rPr>
          <w:rFonts w:ascii="新細明體" w:hAnsi="新細明體" w:hint="eastAsia"/>
        </w:rPr>
        <w:t>日府都建字第</w:t>
      </w:r>
      <w:r w:rsidRPr="001539E8">
        <w:rPr>
          <w:rFonts w:ascii="新細明體" w:hAnsi="新細明體"/>
        </w:rPr>
        <w:t>10510383200</w:t>
      </w:r>
      <w:r w:rsidRPr="001539E8">
        <w:rPr>
          <w:rFonts w:ascii="新細明體" w:hAnsi="新細明體" w:hint="eastAsia"/>
        </w:rPr>
        <w:t>號函、臺北市政府體育局</w:t>
      </w:r>
      <w:r w:rsidRPr="001539E8">
        <w:rPr>
          <w:rFonts w:ascii="新細明體" w:hAnsi="新細明體"/>
        </w:rPr>
        <w:t>105</w:t>
      </w:r>
      <w:r w:rsidRPr="001539E8">
        <w:rPr>
          <w:rFonts w:ascii="新細明體" w:hAnsi="新細明體" w:hint="eastAsia"/>
        </w:rPr>
        <w:t>年</w:t>
      </w:r>
      <w:r w:rsidRPr="001539E8">
        <w:rPr>
          <w:rFonts w:ascii="新細明體" w:hAnsi="新細明體"/>
        </w:rPr>
        <w:t>4</w:t>
      </w:r>
      <w:r w:rsidRPr="001539E8">
        <w:rPr>
          <w:rFonts w:ascii="新細明體" w:hAnsi="新細明體" w:hint="eastAsia"/>
        </w:rPr>
        <w:t>月</w:t>
      </w:r>
      <w:r w:rsidRPr="001539E8">
        <w:rPr>
          <w:rFonts w:ascii="新細明體" w:hAnsi="新細明體"/>
        </w:rPr>
        <w:t>11</w:t>
      </w:r>
      <w:r w:rsidRPr="001539E8">
        <w:rPr>
          <w:rFonts w:ascii="新細明體" w:hAnsi="新細明體" w:hint="eastAsia"/>
        </w:rPr>
        <w:t>日北市體設字地</w:t>
      </w:r>
      <w:r w:rsidRPr="001539E8">
        <w:rPr>
          <w:rFonts w:ascii="新細明體" w:hAnsi="新細明體"/>
        </w:rPr>
        <w:t>10511549000</w:t>
      </w:r>
      <w:r w:rsidRPr="001539E8">
        <w:rPr>
          <w:rFonts w:ascii="新細明體" w:hAnsi="新細明體" w:hint="eastAsia"/>
        </w:rPr>
        <w:t>號函、臺北市政府</w:t>
      </w:r>
      <w:r w:rsidRPr="001539E8">
        <w:rPr>
          <w:rFonts w:ascii="新細明體" w:hAnsi="新細明體"/>
        </w:rPr>
        <w:t>105</w:t>
      </w:r>
      <w:r w:rsidRPr="001539E8">
        <w:rPr>
          <w:rFonts w:ascii="新細明體" w:hAnsi="新細明體" w:hint="eastAsia"/>
        </w:rPr>
        <w:t>年</w:t>
      </w:r>
      <w:r w:rsidRPr="001539E8">
        <w:rPr>
          <w:rFonts w:ascii="新細明體" w:hAnsi="新細明體"/>
        </w:rPr>
        <w:t>5</w:t>
      </w:r>
      <w:r w:rsidRPr="001539E8">
        <w:rPr>
          <w:rFonts w:ascii="新細明體" w:hAnsi="新細明體" w:hint="eastAsia"/>
        </w:rPr>
        <w:t>月</w:t>
      </w:r>
      <w:r w:rsidRPr="001539E8">
        <w:rPr>
          <w:rFonts w:ascii="新細明體" w:hAnsi="新細明體"/>
        </w:rPr>
        <w:t>27</w:t>
      </w:r>
      <w:r w:rsidRPr="001539E8">
        <w:rPr>
          <w:rFonts w:ascii="新細明體" w:hAnsi="新細明體" w:hint="eastAsia"/>
        </w:rPr>
        <w:t>日府都建字第</w:t>
      </w:r>
      <w:r w:rsidRPr="001539E8">
        <w:rPr>
          <w:rFonts w:ascii="新細明體" w:hAnsi="新細明體"/>
        </w:rPr>
        <w:t>10512143500</w:t>
      </w:r>
      <w:r w:rsidRPr="001539E8">
        <w:rPr>
          <w:rFonts w:ascii="新細明體" w:hAnsi="新細明體" w:hint="eastAsia"/>
        </w:rPr>
        <w:t>號函、臺北市政府</w:t>
      </w:r>
      <w:r w:rsidRPr="001539E8">
        <w:rPr>
          <w:rFonts w:ascii="新細明體" w:hAnsi="新細明體"/>
        </w:rPr>
        <w:t>105</w:t>
      </w:r>
      <w:r w:rsidRPr="001539E8">
        <w:rPr>
          <w:rFonts w:ascii="新細明體" w:hAnsi="新細明體" w:hint="eastAsia"/>
        </w:rPr>
        <w:t>年</w:t>
      </w:r>
      <w:r w:rsidRPr="001539E8">
        <w:rPr>
          <w:rFonts w:ascii="新細明體" w:hAnsi="新細明體"/>
        </w:rPr>
        <w:t>6</w:t>
      </w:r>
      <w:r w:rsidRPr="001539E8">
        <w:rPr>
          <w:rFonts w:ascii="新細明體" w:hAnsi="新細明體" w:hint="eastAsia"/>
        </w:rPr>
        <w:t>月</w:t>
      </w:r>
      <w:r w:rsidRPr="001539E8">
        <w:rPr>
          <w:rFonts w:ascii="新細明體" w:hAnsi="新細明體"/>
        </w:rPr>
        <w:t>29</w:t>
      </w:r>
      <w:r w:rsidRPr="001539E8">
        <w:rPr>
          <w:rFonts w:ascii="新細明體" w:hAnsi="新細明體" w:hint="eastAsia"/>
        </w:rPr>
        <w:t>日府授都建字第</w:t>
      </w:r>
      <w:r w:rsidRPr="001539E8">
        <w:rPr>
          <w:rFonts w:ascii="新細明體" w:hAnsi="新細明體"/>
        </w:rPr>
        <w:t>10512716600</w:t>
      </w:r>
      <w:r w:rsidRPr="001539E8">
        <w:rPr>
          <w:rFonts w:ascii="新細明體" w:hAnsi="新細明體" w:hint="eastAsia"/>
        </w:rPr>
        <w:t>號函，及內政部營建署</w:t>
      </w:r>
      <w:r w:rsidRPr="001539E8">
        <w:rPr>
          <w:rFonts w:ascii="新細明體" w:hAnsi="新細明體"/>
        </w:rPr>
        <w:t>105</w:t>
      </w:r>
      <w:r w:rsidRPr="001539E8">
        <w:rPr>
          <w:rFonts w:ascii="新細明體" w:hAnsi="新細明體" w:hint="eastAsia"/>
        </w:rPr>
        <w:t>年</w:t>
      </w:r>
      <w:r w:rsidRPr="001539E8">
        <w:rPr>
          <w:rFonts w:ascii="新細明體" w:hAnsi="新細明體"/>
        </w:rPr>
        <w:t>5</w:t>
      </w:r>
      <w:r w:rsidRPr="001539E8">
        <w:rPr>
          <w:rFonts w:ascii="新細明體" w:hAnsi="新細明體" w:hint="eastAsia"/>
        </w:rPr>
        <w:t>月</w:t>
      </w:r>
      <w:r w:rsidRPr="001539E8">
        <w:rPr>
          <w:rFonts w:ascii="新細明體" w:hAnsi="新細明體"/>
        </w:rPr>
        <w:t>30</w:t>
      </w:r>
      <w:r w:rsidRPr="001539E8">
        <w:rPr>
          <w:rFonts w:ascii="新細明體" w:hAnsi="新細明體" w:hint="eastAsia"/>
        </w:rPr>
        <w:t>日營署建管字第</w:t>
      </w:r>
      <w:r w:rsidRPr="001539E8">
        <w:rPr>
          <w:rFonts w:ascii="新細明體" w:hAnsi="新細明體"/>
        </w:rPr>
        <w:t>1052907875</w:t>
      </w:r>
      <w:r w:rsidRPr="001539E8">
        <w:rPr>
          <w:rFonts w:ascii="新細明體" w:hAnsi="新細明體" w:hint="eastAsia"/>
        </w:rPr>
        <w:t>號函</w:t>
      </w:r>
      <w:r>
        <w:rPr>
          <w:rFonts w:ascii="新細明體" w:hAnsi="新細明體" w:hint="eastAsia"/>
        </w:rPr>
        <w:t>。</w:t>
      </w:r>
    </w:p>
  </w:footnote>
  <w:footnote w:id="2">
    <w:p w:rsidR="00D50D50" w:rsidRPr="001539E8" w:rsidRDefault="00D50D50" w:rsidP="00D50D50">
      <w:pPr>
        <w:pStyle w:val="af4"/>
        <w:tabs>
          <w:tab w:val="right" w:pos="8844"/>
        </w:tabs>
        <w:rPr>
          <w:rFonts w:ascii="新細明體" w:hAnsi="新細明體"/>
        </w:rPr>
      </w:pPr>
      <w:r w:rsidRPr="001539E8">
        <w:rPr>
          <w:rStyle w:val="af6"/>
          <w:rFonts w:ascii="新細明體" w:hAnsi="新細明體"/>
        </w:rPr>
        <w:footnoteRef/>
      </w:r>
      <w:r w:rsidRPr="001539E8">
        <w:rPr>
          <w:rFonts w:ascii="新細明體" w:hAnsi="新細明體"/>
        </w:rPr>
        <w:t xml:space="preserve"> </w:t>
      </w:r>
      <w:r w:rsidRPr="001539E8">
        <w:rPr>
          <w:rFonts w:ascii="新細明體" w:hAnsi="新細明體" w:hint="eastAsia"/>
        </w:rPr>
        <w:t>陳敏，行政法總論，自刊，</w:t>
      </w:r>
      <w:r w:rsidRPr="001539E8">
        <w:rPr>
          <w:rFonts w:ascii="新細明體" w:hAnsi="新細明體" w:hint="eastAsia"/>
        </w:rPr>
        <w:t>92</w:t>
      </w:r>
      <w:r w:rsidRPr="001539E8">
        <w:rPr>
          <w:rFonts w:ascii="新細明體" w:hAnsi="新細明體" w:hint="eastAsia"/>
        </w:rPr>
        <w:t>年</w:t>
      </w:r>
      <w:r w:rsidRPr="001539E8">
        <w:rPr>
          <w:rFonts w:ascii="新細明體" w:hAnsi="新細明體" w:hint="eastAsia"/>
        </w:rPr>
        <w:t>1</w:t>
      </w:r>
      <w:r w:rsidRPr="001539E8">
        <w:rPr>
          <w:rFonts w:ascii="新細明體" w:hAnsi="新細明體" w:hint="eastAsia"/>
        </w:rPr>
        <w:t>月</w:t>
      </w:r>
      <w:r w:rsidRPr="001539E8">
        <w:rPr>
          <w:rFonts w:ascii="新細明體" w:hAnsi="新細明體" w:hint="eastAsia"/>
        </w:rPr>
        <w:t>3</w:t>
      </w:r>
      <w:r w:rsidRPr="001539E8">
        <w:rPr>
          <w:rFonts w:ascii="新細明體" w:hAnsi="新細明體" w:hint="eastAsia"/>
        </w:rPr>
        <w:t>版，頁</w:t>
      </w:r>
      <w:r w:rsidRPr="001539E8">
        <w:rPr>
          <w:rFonts w:ascii="新細明體" w:hAnsi="新細明體" w:hint="eastAsia"/>
        </w:rPr>
        <w:t>16</w:t>
      </w:r>
      <w:r>
        <w:rPr>
          <w:rFonts w:ascii="新細明體" w:hAnsi="新細明體" w:hint="eastAsia"/>
        </w:rPr>
        <w:t>。</w:t>
      </w:r>
      <w:r w:rsidRPr="001539E8">
        <w:rPr>
          <w:rFonts w:ascii="新細明體" w:hAnsi="新細明體"/>
        </w:rPr>
        <w:tab/>
      </w:r>
    </w:p>
  </w:footnote>
  <w:footnote w:id="3">
    <w:p w:rsidR="00D50D50" w:rsidRPr="001539E8" w:rsidRDefault="00D50D50" w:rsidP="00D50D50">
      <w:pPr>
        <w:pStyle w:val="af4"/>
        <w:rPr>
          <w:rFonts w:ascii="新細明體" w:hAnsi="新細明體"/>
        </w:rPr>
      </w:pPr>
      <w:r w:rsidRPr="001539E8">
        <w:rPr>
          <w:rStyle w:val="af6"/>
          <w:rFonts w:ascii="新細明體" w:hAnsi="新細明體"/>
        </w:rPr>
        <w:footnoteRef/>
      </w:r>
      <w:r w:rsidRPr="001539E8">
        <w:rPr>
          <w:rFonts w:ascii="新細明體" w:hAnsi="新細明體"/>
        </w:rPr>
        <w:t xml:space="preserve"> </w:t>
      </w:r>
      <w:r w:rsidRPr="001539E8">
        <w:rPr>
          <w:rFonts w:ascii="新細明體" w:hAnsi="新細明體" w:hint="eastAsia"/>
        </w:rPr>
        <w:t>據市府說明建管處僅就商場棟</w:t>
      </w:r>
      <w:r w:rsidRPr="001539E8">
        <w:rPr>
          <w:rFonts w:ascii="新細明體" w:hAnsi="新細明體" w:hint="eastAsia"/>
        </w:rPr>
        <w:t>2</w:t>
      </w:r>
      <w:r w:rsidRPr="001539E8">
        <w:rPr>
          <w:rFonts w:ascii="新細明體" w:hAnsi="新細明體" w:hint="eastAsia"/>
        </w:rPr>
        <w:t>樓版及影城棟</w:t>
      </w:r>
      <w:r w:rsidRPr="001539E8">
        <w:rPr>
          <w:rFonts w:ascii="新細明體" w:hAnsi="新細明體" w:hint="eastAsia"/>
        </w:rPr>
        <w:t>2</w:t>
      </w:r>
      <w:r w:rsidRPr="001539E8">
        <w:rPr>
          <w:rFonts w:ascii="新細明體" w:hAnsi="新細明體" w:hint="eastAsia"/>
        </w:rPr>
        <w:t>樓版計</w:t>
      </w:r>
      <w:r w:rsidRPr="001539E8">
        <w:rPr>
          <w:rFonts w:ascii="新細明體" w:hAnsi="新細明體" w:hint="eastAsia"/>
        </w:rPr>
        <w:t>2</w:t>
      </w:r>
      <w:r w:rsidRPr="001539E8">
        <w:rPr>
          <w:rFonts w:ascii="新細明體" w:hAnsi="新細明體" w:hint="eastAsia"/>
        </w:rPr>
        <w:t>次報驗，並僅就行政管理部分依規定按勘驗表查進度、圍籬、鷹架等安全防護措施，並不涉施工圖說項目。</w:t>
      </w:r>
    </w:p>
  </w:footnote>
  <w:footnote w:id="4">
    <w:p w:rsidR="00D50D50" w:rsidRPr="001539E8" w:rsidRDefault="00D50D50" w:rsidP="00D50D50">
      <w:pPr>
        <w:pStyle w:val="af4"/>
        <w:rPr>
          <w:rFonts w:ascii="新細明體" w:hAnsi="新細明體"/>
        </w:rPr>
      </w:pPr>
      <w:r w:rsidRPr="001539E8">
        <w:rPr>
          <w:rStyle w:val="af6"/>
          <w:rFonts w:ascii="新細明體" w:hAnsi="新細明體"/>
        </w:rPr>
        <w:footnoteRef/>
      </w:r>
      <w:r w:rsidRPr="001539E8">
        <w:rPr>
          <w:rFonts w:ascii="新細明體" w:hAnsi="新細明體"/>
        </w:rPr>
        <w:t xml:space="preserve"> </w:t>
      </w:r>
      <w:r w:rsidRPr="001539E8">
        <w:rPr>
          <w:rFonts w:ascii="新細明體" w:hAnsi="新細明體" w:hint="eastAsia"/>
        </w:rPr>
        <w:t>舉例言之，一般民眾若購買物品豈有不檢查物品之理，購買成屋豈有不丈量大小確認坪數之理。</w:t>
      </w:r>
    </w:p>
  </w:footnote>
  <w:footnote w:id="5">
    <w:p w:rsidR="00D50D50" w:rsidRPr="001539E8" w:rsidRDefault="00D50D50" w:rsidP="00D50D50">
      <w:pPr>
        <w:pStyle w:val="af4"/>
        <w:rPr>
          <w:rFonts w:ascii="新細明體" w:hAnsi="新細明體"/>
        </w:rPr>
      </w:pPr>
      <w:r w:rsidRPr="001539E8">
        <w:rPr>
          <w:rStyle w:val="af6"/>
          <w:rFonts w:ascii="新細明體" w:hAnsi="新細明體"/>
        </w:rPr>
        <w:footnoteRef/>
      </w:r>
      <w:r w:rsidRPr="001539E8">
        <w:rPr>
          <w:rFonts w:ascii="新細明體" w:hAnsi="新細明體"/>
        </w:rPr>
        <w:t xml:space="preserve"> </w:t>
      </w:r>
      <w:r w:rsidRPr="001539E8">
        <w:rPr>
          <w:rFonts w:ascii="新細明體" w:hAnsi="新細明體" w:hint="eastAsia"/>
        </w:rPr>
        <w:t>最低限度應依據地方制度法規定制定自治條例，始符合依法行政原則。</w:t>
      </w:r>
    </w:p>
  </w:footnote>
  <w:footnote w:id="6">
    <w:p w:rsidR="00D50D50" w:rsidRPr="001539E8" w:rsidRDefault="00D50D50" w:rsidP="00D50D50">
      <w:pPr>
        <w:pStyle w:val="af4"/>
      </w:pPr>
      <w:r w:rsidRPr="001539E8">
        <w:rPr>
          <w:rStyle w:val="af6"/>
        </w:rPr>
        <w:footnoteRef/>
      </w:r>
      <w:r w:rsidRPr="001539E8">
        <w:rPr>
          <w:rFonts w:hint="eastAsia"/>
          <w:bCs/>
        </w:rPr>
        <w:t>104</w:t>
      </w:r>
      <w:r w:rsidRPr="001539E8">
        <w:rPr>
          <w:rFonts w:hint="eastAsia"/>
          <w:bCs/>
        </w:rPr>
        <w:t>年</w:t>
      </w:r>
      <w:r w:rsidRPr="001539E8">
        <w:rPr>
          <w:rFonts w:hint="eastAsia"/>
          <w:bCs/>
        </w:rPr>
        <w:t>9</w:t>
      </w:r>
      <w:r w:rsidRPr="001539E8">
        <w:rPr>
          <w:rFonts w:hint="eastAsia"/>
          <w:bCs/>
        </w:rPr>
        <w:t>月</w:t>
      </w:r>
      <w:r w:rsidRPr="001539E8">
        <w:rPr>
          <w:rFonts w:hint="eastAsia"/>
          <w:bCs/>
        </w:rPr>
        <w:t>30</w:t>
      </w:r>
      <w:r w:rsidRPr="001539E8">
        <w:rPr>
          <w:rFonts w:hint="eastAsia"/>
          <w:bCs/>
        </w:rPr>
        <w:t>日府授人管第</w:t>
      </w:r>
      <w:r w:rsidRPr="001539E8">
        <w:rPr>
          <w:rFonts w:hint="eastAsia"/>
          <w:bCs/>
        </w:rPr>
        <w:t>10431222400</w:t>
      </w:r>
      <w:r w:rsidRPr="001539E8">
        <w:rPr>
          <w:rFonts w:hint="eastAsia"/>
          <w:bCs/>
        </w:rPr>
        <w:t>號</w:t>
      </w:r>
      <w:r>
        <w:rPr>
          <w:rFonts w:hint="eastAsia"/>
          <w:bCs/>
        </w:rPr>
        <w:t>函</w:t>
      </w:r>
      <w:r w:rsidRPr="001539E8">
        <w:rPr>
          <w:rFonts w:hint="eastAsia"/>
          <w:bCs/>
        </w:rPr>
        <w:t>核定修正</w:t>
      </w:r>
      <w:r>
        <w:rPr>
          <w:rFonts w:hint="eastAsia"/>
          <w:bCs/>
        </w:rPr>
        <w:t>發布</w:t>
      </w:r>
      <w:r w:rsidRPr="001539E8">
        <w:rPr>
          <w:rFonts w:ascii="新細明體" w:hAnsi="新細明體" w:hint="eastAsia"/>
          <w:bCs/>
        </w:rPr>
        <w:t>。</w:t>
      </w:r>
    </w:p>
  </w:footnote>
  <w:footnote w:id="7">
    <w:p w:rsidR="00D50D50" w:rsidRPr="001539E8" w:rsidRDefault="00D50D50" w:rsidP="00D50D50">
      <w:pPr>
        <w:pStyle w:val="af4"/>
      </w:pPr>
      <w:r w:rsidRPr="001539E8">
        <w:rPr>
          <w:rStyle w:val="af6"/>
        </w:rPr>
        <w:footnoteRef/>
      </w:r>
      <w:r w:rsidRPr="001539E8">
        <w:rPr>
          <w:rFonts w:hint="eastAsia"/>
          <w:bCs/>
        </w:rPr>
        <w:t>104</w:t>
      </w:r>
      <w:r w:rsidRPr="001539E8">
        <w:rPr>
          <w:rFonts w:hint="eastAsia"/>
          <w:bCs/>
        </w:rPr>
        <w:t>年</w:t>
      </w:r>
      <w:r w:rsidRPr="001539E8">
        <w:rPr>
          <w:rFonts w:hint="eastAsia"/>
          <w:bCs/>
        </w:rPr>
        <w:t>8</w:t>
      </w:r>
      <w:r w:rsidRPr="001539E8">
        <w:rPr>
          <w:rFonts w:hint="eastAsia"/>
          <w:bCs/>
        </w:rPr>
        <w:t>月</w:t>
      </w:r>
      <w:r w:rsidRPr="001539E8">
        <w:rPr>
          <w:rFonts w:hint="eastAsia"/>
          <w:bCs/>
        </w:rPr>
        <w:t>7</w:t>
      </w:r>
      <w:r w:rsidRPr="001539E8">
        <w:rPr>
          <w:rFonts w:hint="eastAsia"/>
          <w:bCs/>
        </w:rPr>
        <w:t>日臺北市政府（</w:t>
      </w:r>
      <w:r w:rsidRPr="001539E8">
        <w:rPr>
          <w:rFonts w:hint="eastAsia"/>
          <w:bCs/>
        </w:rPr>
        <w:t>104</w:t>
      </w:r>
      <w:r w:rsidRPr="001539E8">
        <w:rPr>
          <w:rFonts w:hint="eastAsia"/>
          <w:bCs/>
        </w:rPr>
        <w:t>）府授政廉字第</w:t>
      </w:r>
      <w:r w:rsidRPr="001539E8">
        <w:rPr>
          <w:rFonts w:hint="eastAsia"/>
          <w:bCs/>
        </w:rPr>
        <w:t>10431033800</w:t>
      </w:r>
      <w:r w:rsidRPr="001539E8">
        <w:rPr>
          <w:rFonts w:hint="eastAsia"/>
          <w:bCs/>
        </w:rPr>
        <w:t>號函修正</w:t>
      </w:r>
      <w:r>
        <w:rPr>
          <w:rFonts w:hint="eastAsia"/>
          <w:bCs/>
        </w:rPr>
        <w:t>。</w:t>
      </w:r>
    </w:p>
  </w:footnote>
  <w:footnote w:id="8">
    <w:p w:rsidR="00D50D50" w:rsidRPr="001539E8" w:rsidRDefault="00D50D50" w:rsidP="00D50D50">
      <w:pPr>
        <w:pStyle w:val="af4"/>
      </w:pPr>
      <w:r w:rsidRPr="001539E8">
        <w:rPr>
          <w:rStyle w:val="af6"/>
        </w:rPr>
        <w:footnoteRef/>
      </w:r>
      <w:r w:rsidRPr="001539E8">
        <w:rPr>
          <w:rFonts w:hint="eastAsia"/>
          <w:bCs/>
        </w:rPr>
        <w:t>102</w:t>
      </w:r>
      <w:r w:rsidRPr="001539E8">
        <w:rPr>
          <w:rFonts w:hint="eastAsia"/>
          <w:bCs/>
        </w:rPr>
        <w:t>年</w:t>
      </w:r>
      <w:r w:rsidRPr="001539E8">
        <w:rPr>
          <w:rFonts w:hint="eastAsia"/>
          <w:bCs/>
        </w:rPr>
        <w:t>9</w:t>
      </w:r>
      <w:r w:rsidRPr="001539E8">
        <w:rPr>
          <w:rFonts w:hint="eastAsia"/>
          <w:bCs/>
        </w:rPr>
        <w:t>月</w:t>
      </w:r>
      <w:r w:rsidRPr="001539E8">
        <w:rPr>
          <w:rFonts w:hint="eastAsia"/>
          <w:bCs/>
        </w:rPr>
        <w:t>11</w:t>
      </w:r>
      <w:r w:rsidRPr="001539E8">
        <w:rPr>
          <w:rFonts w:hint="eastAsia"/>
          <w:bCs/>
        </w:rPr>
        <w:t>日臺北市政府政風處（</w:t>
      </w:r>
      <w:r w:rsidRPr="001539E8">
        <w:rPr>
          <w:rFonts w:hint="eastAsia"/>
          <w:bCs/>
        </w:rPr>
        <w:t>102</w:t>
      </w:r>
      <w:r w:rsidRPr="001539E8">
        <w:rPr>
          <w:rFonts w:hint="eastAsia"/>
          <w:bCs/>
        </w:rPr>
        <w:t>）北市政三字第</w:t>
      </w:r>
      <w:r w:rsidRPr="001539E8">
        <w:rPr>
          <w:rFonts w:hint="eastAsia"/>
          <w:bCs/>
        </w:rPr>
        <w:t>10231097200</w:t>
      </w:r>
      <w:r w:rsidRPr="001539E8">
        <w:rPr>
          <w:rFonts w:hint="eastAsia"/>
          <w:bCs/>
        </w:rPr>
        <w:t>號核定修正</w:t>
      </w:r>
      <w:r w:rsidRPr="001539E8">
        <w:rPr>
          <w:rFonts w:ascii="新細明體" w:hAnsi="新細明體" w:hint="eastAsia"/>
          <w:bCs/>
        </w:rPr>
        <w:t>。</w:t>
      </w:r>
    </w:p>
  </w:footnote>
  <w:footnote w:id="9">
    <w:p w:rsidR="00D50D50" w:rsidRPr="001539E8" w:rsidRDefault="00D50D50" w:rsidP="00D50D50">
      <w:pPr>
        <w:pStyle w:val="af4"/>
        <w:rPr>
          <w:rFonts w:ascii="新細明體" w:hAnsi="新細明體"/>
        </w:rPr>
      </w:pPr>
      <w:r w:rsidRPr="001539E8">
        <w:rPr>
          <w:rStyle w:val="af6"/>
          <w:rFonts w:ascii="新細明體" w:hAnsi="新細明體"/>
        </w:rPr>
        <w:footnoteRef/>
      </w:r>
      <w:r w:rsidRPr="001539E8">
        <w:rPr>
          <w:rFonts w:ascii="新細明體" w:hAnsi="新細明體" w:hint="eastAsia"/>
        </w:rPr>
        <w:t>本條例第四條第五款關於機關有關之貪瀆與不法事項之處理事項，例示如下：一、查察作業違常單位及生活違常人員。二、調查民眾檢舉及媒體報導有關機關之弊端。三、執行機關首長、法務部廉政署及上級政風機構交查有關調閱文書、訪談及其他調查蒐證。四、辦理行政肅貪。五、設置機關檢舉貪瀆信箱及電話，鼓勵勇於檢舉。</w:t>
      </w:r>
    </w:p>
    <w:p w:rsidR="00D50D50" w:rsidRPr="001539E8" w:rsidRDefault="00D50D50" w:rsidP="00D50D50">
      <w:pPr>
        <w:pStyle w:val="af4"/>
        <w:rPr>
          <w:rFonts w:ascii="新細明體" w:hAnsi="新細明體"/>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4E029C1"/>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DB6143"/>
    <w:multiLevelType w:val="hybridMultilevel"/>
    <w:tmpl w:val="17A6A836"/>
    <w:lvl w:ilvl="0" w:tplc="A240ED16">
      <w:start w:val="1"/>
      <w:numFmt w:val="bullet"/>
      <w:lvlText w:val=""/>
      <w:lvlJc w:val="left"/>
      <w:pPr>
        <w:tabs>
          <w:tab w:val="num" w:pos="720"/>
        </w:tabs>
        <w:ind w:left="720" w:hanging="360"/>
      </w:pPr>
      <w:rPr>
        <w:rFonts w:ascii="Wingdings" w:hAnsi="Wingdings" w:hint="default"/>
      </w:rPr>
    </w:lvl>
    <w:lvl w:ilvl="1" w:tplc="F6AE3C64" w:tentative="1">
      <w:start w:val="1"/>
      <w:numFmt w:val="bullet"/>
      <w:lvlText w:val=""/>
      <w:lvlJc w:val="left"/>
      <w:pPr>
        <w:tabs>
          <w:tab w:val="num" w:pos="1440"/>
        </w:tabs>
        <w:ind w:left="1440" w:hanging="360"/>
      </w:pPr>
      <w:rPr>
        <w:rFonts w:ascii="Wingdings" w:hAnsi="Wingdings" w:hint="default"/>
      </w:rPr>
    </w:lvl>
    <w:lvl w:ilvl="2" w:tplc="57EA0160" w:tentative="1">
      <w:start w:val="1"/>
      <w:numFmt w:val="bullet"/>
      <w:lvlText w:val=""/>
      <w:lvlJc w:val="left"/>
      <w:pPr>
        <w:tabs>
          <w:tab w:val="num" w:pos="2160"/>
        </w:tabs>
        <w:ind w:left="2160" w:hanging="360"/>
      </w:pPr>
      <w:rPr>
        <w:rFonts w:ascii="Wingdings" w:hAnsi="Wingdings" w:hint="default"/>
      </w:rPr>
    </w:lvl>
    <w:lvl w:ilvl="3" w:tplc="FE5814E4" w:tentative="1">
      <w:start w:val="1"/>
      <w:numFmt w:val="bullet"/>
      <w:lvlText w:val=""/>
      <w:lvlJc w:val="left"/>
      <w:pPr>
        <w:tabs>
          <w:tab w:val="num" w:pos="2880"/>
        </w:tabs>
        <w:ind w:left="2880" w:hanging="360"/>
      </w:pPr>
      <w:rPr>
        <w:rFonts w:ascii="Wingdings" w:hAnsi="Wingdings" w:hint="default"/>
      </w:rPr>
    </w:lvl>
    <w:lvl w:ilvl="4" w:tplc="B55612B4" w:tentative="1">
      <w:start w:val="1"/>
      <w:numFmt w:val="bullet"/>
      <w:lvlText w:val=""/>
      <w:lvlJc w:val="left"/>
      <w:pPr>
        <w:tabs>
          <w:tab w:val="num" w:pos="3600"/>
        </w:tabs>
        <w:ind w:left="3600" w:hanging="360"/>
      </w:pPr>
      <w:rPr>
        <w:rFonts w:ascii="Wingdings" w:hAnsi="Wingdings" w:hint="default"/>
      </w:rPr>
    </w:lvl>
    <w:lvl w:ilvl="5" w:tplc="F364F490" w:tentative="1">
      <w:start w:val="1"/>
      <w:numFmt w:val="bullet"/>
      <w:lvlText w:val=""/>
      <w:lvlJc w:val="left"/>
      <w:pPr>
        <w:tabs>
          <w:tab w:val="num" w:pos="4320"/>
        </w:tabs>
        <w:ind w:left="4320" w:hanging="360"/>
      </w:pPr>
      <w:rPr>
        <w:rFonts w:ascii="Wingdings" w:hAnsi="Wingdings" w:hint="default"/>
      </w:rPr>
    </w:lvl>
    <w:lvl w:ilvl="6" w:tplc="CDA84A12" w:tentative="1">
      <w:start w:val="1"/>
      <w:numFmt w:val="bullet"/>
      <w:lvlText w:val=""/>
      <w:lvlJc w:val="left"/>
      <w:pPr>
        <w:tabs>
          <w:tab w:val="num" w:pos="5040"/>
        </w:tabs>
        <w:ind w:left="5040" w:hanging="360"/>
      </w:pPr>
      <w:rPr>
        <w:rFonts w:ascii="Wingdings" w:hAnsi="Wingdings" w:hint="default"/>
      </w:rPr>
    </w:lvl>
    <w:lvl w:ilvl="7" w:tplc="19BEF43E" w:tentative="1">
      <w:start w:val="1"/>
      <w:numFmt w:val="bullet"/>
      <w:lvlText w:val=""/>
      <w:lvlJc w:val="left"/>
      <w:pPr>
        <w:tabs>
          <w:tab w:val="num" w:pos="5760"/>
        </w:tabs>
        <w:ind w:left="5760" w:hanging="360"/>
      </w:pPr>
      <w:rPr>
        <w:rFonts w:ascii="Wingdings" w:hAnsi="Wingdings" w:hint="default"/>
      </w:rPr>
    </w:lvl>
    <w:lvl w:ilvl="8" w:tplc="94121BEE" w:tentative="1">
      <w:start w:val="1"/>
      <w:numFmt w:val="bullet"/>
      <w:lvlText w:val=""/>
      <w:lvlJc w:val="left"/>
      <w:pPr>
        <w:tabs>
          <w:tab w:val="num" w:pos="6480"/>
        </w:tabs>
        <w:ind w:left="6480" w:hanging="360"/>
      </w:pPr>
      <w:rPr>
        <w:rFonts w:ascii="Wingdings" w:hAnsi="Wingdings" w:hint="default"/>
      </w:rPr>
    </w:lvl>
  </w:abstractNum>
  <w:abstractNum w:abstractNumId="3">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F9167C"/>
    <w:multiLevelType w:val="hybridMultilevel"/>
    <w:tmpl w:val="739C9DC4"/>
    <w:lvl w:ilvl="0" w:tplc="01A46CB2">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611DCF"/>
    <w:multiLevelType w:val="hybridMultilevel"/>
    <w:tmpl w:val="E71CA73E"/>
    <w:lvl w:ilvl="0" w:tplc="35D478F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14BD3F41"/>
    <w:multiLevelType w:val="multilevel"/>
    <w:tmpl w:val="CBA2BA62"/>
    <w:lvl w:ilvl="0">
      <w:start w:val="1"/>
      <w:numFmt w:val="decimal"/>
      <w:lvlText w:val="%1.0"/>
      <w:lvlJc w:val="left"/>
      <w:pPr>
        <w:tabs>
          <w:tab w:val="num" w:pos="851"/>
        </w:tabs>
        <w:ind w:left="851" w:hanging="851"/>
      </w:pPr>
      <w:rPr>
        <w:rFonts w:ascii="Times New Roman" w:eastAsia="標楷體" w:hAnsi="Times New Roman" w:hint="default"/>
        <w:b/>
        <w:i w:val="0"/>
        <w:sz w:val="24"/>
      </w:rPr>
    </w:lvl>
    <w:lvl w:ilvl="1">
      <w:start w:val="1"/>
      <w:numFmt w:val="decimal"/>
      <w:pStyle w:val="HSR2"/>
      <w:lvlText w:val="%1.%2"/>
      <w:lvlJc w:val="left"/>
      <w:pPr>
        <w:tabs>
          <w:tab w:val="num" w:pos="851"/>
        </w:tabs>
        <w:ind w:left="851" w:hanging="851"/>
      </w:pPr>
      <w:rPr>
        <w:rFonts w:ascii="Times New Roman" w:eastAsia="標楷體" w:hAnsi="Times New Roman" w:hint="default"/>
        <w:b w:val="0"/>
        <w:i w:val="0"/>
        <w:sz w:val="24"/>
      </w:rPr>
    </w:lvl>
    <w:lvl w:ilvl="2">
      <w:start w:val="1"/>
      <w:numFmt w:val="decimal"/>
      <w:lvlText w:val="%1.%2.%3"/>
      <w:lvlJc w:val="left"/>
      <w:pPr>
        <w:tabs>
          <w:tab w:val="num" w:pos="851"/>
        </w:tabs>
        <w:ind w:left="851" w:hanging="851"/>
      </w:pPr>
      <w:rPr>
        <w:rFonts w:ascii="Times New Roman" w:eastAsia="標楷體" w:hAnsi="Times New Roman" w:hint="default"/>
        <w:b w:val="0"/>
        <w:i w:val="0"/>
        <w:sz w:val="24"/>
      </w:rPr>
    </w:lvl>
    <w:lvl w:ilvl="3">
      <w:start w:val="1"/>
      <w:numFmt w:val="decimal"/>
      <w:lvlText w:val="%1.%2.%3.%4"/>
      <w:lvlJc w:val="left"/>
      <w:pPr>
        <w:tabs>
          <w:tab w:val="num" w:pos="851"/>
        </w:tabs>
        <w:ind w:left="851" w:hanging="851"/>
      </w:pPr>
      <w:rPr>
        <w:rFonts w:ascii="Times New Roman" w:eastAsia="標楷體" w:hAnsi="Times New Roman" w:hint="default"/>
        <w:b w:val="0"/>
        <w:i w:val="0"/>
        <w:color w:val="auto"/>
        <w:sz w:val="24"/>
      </w:rPr>
    </w:lvl>
    <w:lvl w:ilvl="4">
      <w:start w:val="1"/>
      <w:numFmt w:val="lowerLetter"/>
      <w:lvlText w:val="%5)"/>
      <w:lvlJc w:val="left"/>
      <w:pPr>
        <w:tabs>
          <w:tab w:val="num" w:pos="1276"/>
        </w:tabs>
        <w:ind w:left="1276" w:hanging="425"/>
      </w:pPr>
      <w:rPr>
        <w:rFonts w:ascii="Times New Roman" w:eastAsia="標楷體" w:hAnsi="Times New Roman" w:hint="default"/>
        <w:b w:val="0"/>
        <w:i w:val="0"/>
        <w:color w:val="auto"/>
        <w:sz w:val="24"/>
      </w:rPr>
    </w:lvl>
    <w:lvl w:ilvl="5">
      <w:start w:val="1"/>
      <w:numFmt w:val="lowerRoman"/>
      <w:lvlText w:val="%6)"/>
      <w:lvlJc w:val="left"/>
      <w:pPr>
        <w:tabs>
          <w:tab w:val="num" w:pos="1985"/>
        </w:tabs>
        <w:ind w:left="1985" w:hanging="709"/>
      </w:pPr>
      <w:rPr>
        <w:rFonts w:hint="default"/>
        <w:b w:val="0"/>
        <w:i w:val="0"/>
        <w:sz w:val="24"/>
      </w:rPr>
    </w:lvl>
    <w:lvl w:ilvl="6">
      <w:start w:val="1"/>
      <w:numFmt w:val="decimal"/>
      <w:lvlText w:val="(%7)"/>
      <w:lvlJc w:val="left"/>
      <w:pPr>
        <w:tabs>
          <w:tab w:val="num" w:pos="2410"/>
        </w:tabs>
        <w:ind w:left="2410" w:hanging="425"/>
      </w:pPr>
      <w:rPr>
        <w:rFonts w:ascii="Times New Roman" w:eastAsia="標楷體" w:hAnsi="Times New Roman" w:hint="default"/>
      </w:rPr>
    </w:lvl>
    <w:lvl w:ilvl="7">
      <w:start w:val="1"/>
      <w:numFmt w:val="bullet"/>
      <w:lvlText w:val=""/>
      <w:lvlJc w:val="left"/>
      <w:pPr>
        <w:tabs>
          <w:tab w:val="num" w:pos="2835"/>
        </w:tabs>
        <w:ind w:left="2835" w:hanging="425"/>
      </w:pPr>
      <w:rPr>
        <w:rFonts w:ascii="Symbol" w:hAnsi="Symbol" w:hint="default"/>
        <w:color w:val="auto"/>
      </w:rPr>
    </w:lvl>
    <w:lvl w:ilvl="8">
      <w:start w:val="1"/>
      <w:numFmt w:val="none"/>
      <w:lvlText w:val=""/>
      <w:lvlJc w:val="left"/>
      <w:pPr>
        <w:tabs>
          <w:tab w:val="num" w:pos="2770"/>
        </w:tabs>
        <w:ind w:left="2410" w:firstLine="0"/>
      </w:pPr>
      <w:rPr>
        <w:rFonts w:ascii="Wingdings" w:hAnsi="Wingdings" w:hint="default"/>
      </w:rPr>
    </w:lvl>
  </w:abstractNum>
  <w:abstractNum w:abstractNumId="8">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DC430E9"/>
    <w:multiLevelType w:val="hybridMultilevel"/>
    <w:tmpl w:val="C096C644"/>
    <w:lvl w:ilvl="0" w:tplc="71BE1E1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nsid w:val="1F27476D"/>
    <w:multiLevelType w:val="hybridMultilevel"/>
    <w:tmpl w:val="244030E0"/>
    <w:lvl w:ilvl="0" w:tplc="603444AE">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0D76CD9"/>
    <w:multiLevelType w:val="hybridMultilevel"/>
    <w:tmpl w:val="39C80018"/>
    <w:lvl w:ilvl="0" w:tplc="22C65410">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DA533F3"/>
    <w:multiLevelType w:val="hybridMultilevel"/>
    <w:tmpl w:val="5F62A7CA"/>
    <w:lvl w:ilvl="0" w:tplc="8CF8A8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3294DD3"/>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5C54C34"/>
    <w:multiLevelType w:val="hybridMultilevel"/>
    <w:tmpl w:val="39C80018"/>
    <w:lvl w:ilvl="0" w:tplc="22C65410">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3FA5CE1"/>
    <w:multiLevelType w:val="hybridMultilevel"/>
    <w:tmpl w:val="79B0CCC2"/>
    <w:lvl w:ilvl="0" w:tplc="777423D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F16675"/>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2C533C"/>
    <w:multiLevelType w:val="hybridMultilevel"/>
    <w:tmpl w:val="739C9DC4"/>
    <w:lvl w:ilvl="0" w:tplc="01A46CB2">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C2D7CA9"/>
    <w:multiLevelType w:val="hybridMultilevel"/>
    <w:tmpl w:val="EEC20BA0"/>
    <w:lvl w:ilvl="0" w:tplc="13282B5C">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AC4143"/>
    <w:multiLevelType w:val="hybridMultilevel"/>
    <w:tmpl w:val="EEC20BA0"/>
    <w:lvl w:ilvl="0" w:tplc="13282B5C">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378355E"/>
    <w:multiLevelType w:val="hybridMultilevel"/>
    <w:tmpl w:val="41A83254"/>
    <w:lvl w:ilvl="0" w:tplc="ADAE716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43A3E78"/>
    <w:multiLevelType w:val="hybridMultilevel"/>
    <w:tmpl w:val="9C3E6A8C"/>
    <w:lvl w:ilvl="0" w:tplc="151ADC78">
      <w:start w:val="1"/>
      <w:numFmt w:val="bullet"/>
      <w:lvlText w:val="–"/>
      <w:lvlJc w:val="left"/>
      <w:pPr>
        <w:tabs>
          <w:tab w:val="num" w:pos="720"/>
        </w:tabs>
        <w:ind w:left="720" w:hanging="360"/>
      </w:pPr>
      <w:rPr>
        <w:rFonts w:ascii="新細明體" w:hAnsi="新細明體" w:hint="default"/>
      </w:rPr>
    </w:lvl>
    <w:lvl w:ilvl="1" w:tplc="A90CB8DE">
      <w:start w:val="1"/>
      <w:numFmt w:val="bullet"/>
      <w:lvlText w:val="–"/>
      <w:lvlJc w:val="left"/>
      <w:pPr>
        <w:tabs>
          <w:tab w:val="num" w:pos="1440"/>
        </w:tabs>
        <w:ind w:left="1440" w:hanging="360"/>
      </w:pPr>
      <w:rPr>
        <w:rFonts w:ascii="新細明體" w:hAnsi="新細明體" w:hint="default"/>
      </w:rPr>
    </w:lvl>
    <w:lvl w:ilvl="2" w:tplc="9252C826" w:tentative="1">
      <w:start w:val="1"/>
      <w:numFmt w:val="bullet"/>
      <w:lvlText w:val="–"/>
      <w:lvlJc w:val="left"/>
      <w:pPr>
        <w:tabs>
          <w:tab w:val="num" w:pos="2160"/>
        </w:tabs>
        <w:ind w:left="2160" w:hanging="360"/>
      </w:pPr>
      <w:rPr>
        <w:rFonts w:ascii="新細明體" w:hAnsi="新細明體" w:hint="default"/>
      </w:rPr>
    </w:lvl>
    <w:lvl w:ilvl="3" w:tplc="D5F84D96" w:tentative="1">
      <w:start w:val="1"/>
      <w:numFmt w:val="bullet"/>
      <w:lvlText w:val="–"/>
      <w:lvlJc w:val="left"/>
      <w:pPr>
        <w:tabs>
          <w:tab w:val="num" w:pos="2880"/>
        </w:tabs>
        <w:ind w:left="2880" w:hanging="360"/>
      </w:pPr>
      <w:rPr>
        <w:rFonts w:ascii="新細明體" w:hAnsi="新細明體" w:hint="default"/>
      </w:rPr>
    </w:lvl>
    <w:lvl w:ilvl="4" w:tplc="D7E636CA" w:tentative="1">
      <w:start w:val="1"/>
      <w:numFmt w:val="bullet"/>
      <w:lvlText w:val="–"/>
      <w:lvlJc w:val="left"/>
      <w:pPr>
        <w:tabs>
          <w:tab w:val="num" w:pos="3600"/>
        </w:tabs>
        <w:ind w:left="3600" w:hanging="360"/>
      </w:pPr>
      <w:rPr>
        <w:rFonts w:ascii="新細明體" w:hAnsi="新細明體" w:hint="default"/>
      </w:rPr>
    </w:lvl>
    <w:lvl w:ilvl="5" w:tplc="4C32AF84" w:tentative="1">
      <w:start w:val="1"/>
      <w:numFmt w:val="bullet"/>
      <w:lvlText w:val="–"/>
      <w:lvlJc w:val="left"/>
      <w:pPr>
        <w:tabs>
          <w:tab w:val="num" w:pos="4320"/>
        </w:tabs>
        <w:ind w:left="4320" w:hanging="360"/>
      </w:pPr>
      <w:rPr>
        <w:rFonts w:ascii="新細明體" w:hAnsi="新細明體" w:hint="default"/>
      </w:rPr>
    </w:lvl>
    <w:lvl w:ilvl="6" w:tplc="E06ACE58" w:tentative="1">
      <w:start w:val="1"/>
      <w:numFmt w:val="bullet"/>
      <w:lvlText w:val="–"/>
      <w:lvlJc w:val="left"/>
      <w:pPr>
        <w:tabs>
          <w:tab w:val="num" w:pos="5040"/>
        </w:tabs>
        <w:ind w:left="5040" w:hanging="360"/>
      </w:pPr>
      <w:rPr>
        <w:rFonts w:ascii="新細明體" w:hAnsi="新細明體" w:hint="default"/>
      </w:rPr>
    </w:lvl>
    <w:lvl w:ilvl="7" w:tplc="C42410B6" w:tentative="1">
      <w:start w:val="1"/>
      <w:numFmt w:val="bullet"/>
      <w:lvlText w:val="–"/>
      <w:lvlJc w:val="left"/>
      <w:pPr>
        <w:tabs>
          <w:tab w:val="num" w:pos="5760"/>
        </w:tabs>
        <w:ind w:left="5760" w:hanging="360"/>
      </w:pPr>
      <w:rPr>
        <w:rFonts w:ascii="新細明體" w:hAnsi="新細明體" w:hint="default"/>
      </w:rPr>
    </w:lvl>
    <w:lvl w:ilvl="8" w:tplc="9742608E" w:tentative="1">
      <w:start w:val="1"/>
      <w:numFmt w:val="bullet"/>
      <w:lvlText w:val="–"/>
      <w:lvlJc w:val="left"/>
      <w:pPr>
        <w:tabs>
          <w:tab w:val="num" w:pos="6480"/>
        </w:tabs>
        <w:ind w:left="6480" w:hanging="360"/>
      </w:pPr>
      <w:rPr>
        <w:rFonts w:ascii="新細明體" w:hAnsi="新細明體" w:hint="default"/>
      </w:rPr>
    </w:lvl>
  </w:abstractNum>
  <w:abstractNum w:abstractNumId="22">
    <w:nsid w:val="644C773B"/>
    <w:multiLevelType w:val="hybridMultilevel"/>
    <w:tmpl w:val="E88E283C"/>
    <w:lvl w:ilvl="0" w:tplc="037C0C2E">
      <w:start w:val="1"/>
      <w:numFmt w:val="bullet"/>
      <w:lvlText w:val="•"/>
      <w:lvlJc w:val="left"/>
      <w:pPr>
        <w:tabs>
          <w:tab w:val="num" w:pos="720"/>
        </w:tabs>
        <w:ind w:left="720" w:hanging="360"/>
      </w:pPr>
      <w:rPr>
        <w:rFonts w:ascii="新細明體" w:hAnsi="新細明體" w:hint="default"/>
      </w:rPr>
    </w:lvl>
    <w:lvl w:ilvl="1" w:tplc="80302E48" w:tentative="1">
      <w:start w:val="1"/>
      <w:numFmt w:val="bullet"/>
      <w:lvlText w:val="•"/>
      <w:lvlJc w:val="left"/>
      <w:pPr>
        <w:tabs>
          <w:tab w:val="num" w:pos="1440"/>
        </w:tabs>
        <w:ind w:left="1440" w:hanging="360"/>
      </w:pPr>
      <w:rPr>
        <w:rFonts w:ascii="新細明體" w:hAnsi="新細明體" w:hint="default"/>
      </w:rPr>
    </w:lvl>
    <w:lvl w:ilvl="2" w:tplc="D63C5D06" w:tentative="1">
      <w:start w:val="1"/>
      <w:numFmt w:val="bullet"/>
      <w:lvlText w:val="•"/>
      <w:lvlJc w:val="left"/>
      <w:pPr>
        <w:tabs>
          <w:tab w:val="num" w:pos="2160"/>
        </w:tabs>
        <w:ind w:left="2160" w:hanging="360"/>
      </w:pPr>
      <w:rPr>
        <w:rFonts w:ascii="新細明體" w:hAnsi="新細明體" w:hint="default"/>
      </w:rPr>
    </w:lvl>
    <w:lvl w:ilvl="3" w:tplc="11B6E3F8" w:tentative="1">
      <w:start w:val="1"/>
      <w:numFmt w:val="bullet"/>
      <w:lvlText w:val="•"/>
      <w:lvlJc w:val="left"/>
      <w:pPr>
        <w:tabs>
          <w:tab w:val="num" w:pos="2880"/>
        </w:tabs>
        <w:ind w:left="2880" w:hanging="360"/>
      </w:pPr>
      <w:rPr>
        <w:rFonts w:ascii="新細明體" w:hAnsi="新細明體" w:hint="default"/>
      </w:rPr>
    </w:lvl>
    <w:lvl w:ilvl="4" w:tplc="28325D52" w:tentative="1">
      <w:start w:val="1"/>
      <w:numFmt w:val="bullet"/>
      <w:lvlText w:val="•"/>
      <w:lvlJc w:val="left"/>
      <w:pPr>
        <w:tabs>
          <w:tab w:val="num" w:pos="3600"/>
        </w:tabs>
        <w:ind w:left="3600" w:hanging="360"/>
      </w:pPr>
      <w:rPr>
        <w:rFonts w:ascii="新細明體" w:hAnsi="新細明體" w:hint="default"/>
      </w:rPr>
    </w:lvl>
    <w:lvl w:ilvl="5" w:tplc="959C00B8" w:tentative="1">
      <w:start w:val="1"/>
      <w:numFmt w:val="bullet"/>
      <w:lvlText w:val="•"/>
      <w:lvlJc w:val="left"/>
      <w:pPr>
        <w:tabs>
          <w:tab w:val="num" w:pos="4320"/>
        </w:tabs>
        <w:ind w:left="4320" w:hanging="360"/>
      </w:pPr>
      <w:rPr>
        <w:rFonts w:ascii="新細明體" w:hAnsi="新細明體" w:hint="default"/>
      </w:rPr>
    </w:lvl>
    <w:lvl w:ilvl="6" w:tplc="CE88D684" w:tentative="1">
      <w:start w:val="1"/>
      <w:numFmt w:val="bullet"/>
      <w:lvlText w:val="•"/>
      <w:lvlJc w:val="left"/>
      <w:pPr>
        <w:tabs>
          <w:tab w:val="num" w:pos="5040"/>
        </w:tabs>
        <w:ind w:left="5040" w:hanging="360"/>
      </w:pPr>
      <w:rPr>
        <w:rFonts w:ascii="新細明體" w:hAnsi="新細明體" w:hint="default"/>
      </w:rPr>
    </w:lvl>
    <w:lvl w:ilvl="7" w:tplc="1EF040AC" w:tentative="1">
      <w:start w:val="1"/>
      <w:numFmt w:val="bullet"/>
      <w:lvlText w:val="•"/>
      <w:lvlJc w:val="left"/>
      <w:pPr>
        <w:tabs>
          <w:tab w:val="num" w:pos="5760"/>
        </w:tabs>
        <w:ind w:left="5760" w:hanging="360"/>
      </w:pPr>
      <w:rPr>
        <w:rFonts w:ascii="新細明體" w:hAnsi="新細明體" w:hint="default"/>
      </w:rPr>
    </w:lvl>
    <w:lvl w:ilvl="8" w:tplc="6654437C" w:tentative="1">
      <w:start w:val="1"/>
      <w:numFmt w:val="bullet"/>
      <w:lvlText w:val="•"/>
      <w:lvlJc w:val="left"/>
      <w:pPr>
        <w:tabs>
          <w:tab w:val="num" w:pos="6480"/>
        </w:tabs>
        <w:ind w:left="6480" w:hanging="360"/>
      </w:pPr>
      <w:rPr>
        <w:rFonts w:ascii="新細明體" w:hAnsi="新細明體" w:hint="default"/>
      </w:rPr>
    </w:lvl>
  </w:abstractNum>
  <w:abstractNum w:abstractNumId="23">
    <w:nsid w:val="65BC24F2"/>
    <w:multiLevelType w:val="hybridMultilevel"/>
    <w:tmpl w:val="538469A4"/>
    <w:lvl w:ilvl="0" w:tplc="397CA9BC">
      <w:start w:val="1"/>
      <w:numFmt w:val="bullet"/>
      <w:lvlText w:val=""/>
      <w:lvlJc w:val="left"/>
      <w:pPr>
        <w:tabs>
          <w:tab w:val="num" w:pos="720"/>
        </w:tabs>
        <w:ind w:left="720" w:hanging="360"/>
      </w:pPr>
      <w:rPr>
        <w:rFonts w:ascii="Wingdings" w:hAnsi="Wingdings" w:hint="default"/>
      </w:rPr>
    </w:lvl>
    <w:lvl w:ilvl="1" w:tplc="3C2CB7D6" w:tentative="1">
      <w:start w:val="1"/>
      <w:numFmt w:val="bullet"/>
      <w:lvlText w:val=""/>
      <w:lvlJc w:val="left"/>
      <w:pPr>
        <w:tabs>
          <w:tab w:val="num" w:pos="1440"/>
        </w:tabs>
        <w:ind w:left="1440" w:hanging="360"/>
      </w:pPr>
      <w:rPr>
        <w:rFonts w:ascii="Wingdings" w:hAnsi="Wingdings" w:hint="default"/>
      </w:rPr>
    </w:lvl>
    <w:lvl w:ilvl="2" w:tplc="3544FA2A" w:tentative="1">
      <w:start w:val="1"/>
      <w:numFmt w:val="bullet"/>
      <w:lvlText w:val=""/>
      <w:lvlJc w:val="left"/>
      <w:pPr>
        <w:tabs>
          <w:tab w:val="num" w:pos="2160"/>
        </w:tabs>
        <w:ind w:left="2160" w:hanging="360"/>
      </w:pPr>
      <w:rPr>
        <w:rFonts w:ascii="Wingdings" w:hAnsi="Wingdings" w:hint="default"/>
      </w:rPr>
    </w:lvl>
    <w:lvl w:ilvl="3" w:tplc="CCC63C78" w:tentative="1">
      <w:start w:val="1"/>
      <w:numFmt w:val="bullet"/>
      <w:lvlText w:val=""/>
      <w:lvlJc w:val="left"/>
      <w:pPr>
        <w:tabs>
          <w:tab w:val="num" w:pos="2880"/>
        </w:tabs>
        <w:ind w:left="2880" w:hanging="360"/>
      </w:pPr>
      <w:rPr>
        <w:rFonts w:ascii="Wingdings" w:hAnsi="Wingdings" w:hint="default"/>
      </w:rPr>
    </w:lvl>
    <w:lvl w:ilvl="4" w:tplc="4B9625C2" w:tentative="1">
      <w:start w:val="1"/>
      <w:numFmt w:val="bullet"/>
      <w:lvlText w:val=""/>
      <w:lvlJc w:val="left"/>
      <w:pPr>
        <w:tabs>
          <w:tab w:val="num" w:pos="3600"/>
        </w:tabs>
        <w:ind w:left="3600" w:hanging="360"/>
      </w:pPr>
      <w:rPr>
        <w:rFonts w:ascii="Wingdings" w:hAnsi="Wingdings" w:hint="default"/>
      </w:rPr>
    </w:lvl>
    <w:lvl w:ilvl="5" w:tplc="FA7AC96C" w:tentative="1">
      <w:start w:val="1"/>
      <w:numFmt w:val="bullet"/>
      <w:lvlText w:val=""/>
      <w:lvlJc w:val="left"/>
      <w:pPr>
        <w:tabs>
          <w:tab w:val="num" w:pos="4320"/>
        </w:tabs>
        <w:ind w:left="4320" w:hanging="360"/>
      </w:pPr>
      <w:rPr>
        <w:rFonts w:ascii="Wingdings" w:hAnsi="Wingdings" w:hint="default"/>
      </w:rPr>
    </w:lvl>
    <w:lvl w:ilvl="6" w:tplc="D77A0814" w:tentative="1">
      <w:start w:val="1"/>
      <w:numFmt w:val="bullet"/>
      <w:lvlText w:val=""/>
      <w:lvlJc w:val="left"/>
      <w:pPr>
        <w:tabs>
          <w:tab w:val="num" w:pos="5040"/>
        </w:tabs>
        <w:ind w:left="5040" w:hanging="360"/>
      </w:pPr>
      <w:rPr>
        <w:rFonts w:ascii="Wingdings" w:hAnsi="Wingdings" w:hint="default"/>
      </w:rPr>
    </w:lvl>
    <w:lvl w:ilvl="7" w:tplc="67B4C61A" w:tentative="1">
      <w:start w:val="1"/>
      <w:numFmt w:val="bullet"/>
      <w:lvlText w:val=""/>
      <w:lvlJc w:val="left"/>
      <w:pPr>
        <w:tabs>
          <w:tab w:val="num" w:pos="5760"/>
        </w:tabs>
        <w:ind w:left="5760" w:hanging="360"/>
      </w:pPr>
      <w:rPr>
        <w:rFonts w:ascii="Wingdings" w:hAnsi="Wingdings" w:hint="default"/>
      </w:rPr>
    </w:lvl>
    <w:lvl w:ilvl="8" w:tplc="6C3A70D0" w:tentative="1">
      <w:start w:val="1"/>
      <w:numFmt w:val="bullet"/>
      <w:lvlText w:val=""/>
      <w:lvlJc w:val="left"/>
      <w:pPr>
        <w:tabs>
          <w:tab w:val="num" w:pos="6480"/>
        </w:tabs>
        <w:ind w:left="6480" w:hanging="360"/>
      </w:pPr>
      <w:rPr>
        <w:rFonts w:ascii="Wingdings" w:hAnsi="Wingdings" w:hint="default"/>
      </w:rPr>
    </w:lvl>
  </w:abstractNum>
  <w:abstractNum w:abstractNumId="24">
    <w:nsid w:val="735D7DE6"/>
    <w:multiLevelType w:val="hybridMultilevel"/>
    <w:tmpl w:val="5470DC0A"/>
    <w:lvl w:ilvl="0" w:tplc="05B8A116">
      <w:start w:val="1"/>
      <w:numFmt w:val="bullet"/>
      <w:lvlText w:val="•"/>
      <w:lvlJc w:val="left"/>
      <w:pPr>
        <w:tabs>
          <w:tab w:val="num" w:pos="720"/>
        </w:tabs>
        <w:ind w:left="720" w:hanging="360"/>
      </w:pPr>
      <w:rPr>
        <w:rFonts w:ascii="新細明體" w:hAnsi="新細明體" w:hint="default"/>
      </w:rPr>
    </w:lvl>
    <w:lvl w:ilvl="1" w:tplc="6208427C" w:tentative="1">
      <w:start w:val="1"/>
      <w:numFmt w:val="bullet"/>
      <w:lvlText w:val="•"/>
      <w:lvlJc w:val="left"/>
      <w:pPr>
        <w:tabs>
          <w:tab w:val="num" w:pos="1440"/>
        </w:tabs>
        <w:ind w:left="1440" w:hanging="360"/>
      </w:pPr>
      <w:rPr>
        <w:rFonts w:ascii="新細明體" w:hAnsi="新細明體" w:hint="default"/>
      </w:rPr>
    </w:lvl>
    <w:lvl w:ilvl="2" w:tplc="09D0DEC2" w:tentative="1">
      <w:start w:val="1"/>
      <w:numFmt w:val="bullet"/>
      <w:lvlText w:val="•"/>
      <w:lvlJc w:val="left"/>
      <w:pPr>
        <w:tabs>
          <w:tab w:val="num" w:pos="2160"/>
        </w:tabs>
        <w:ind w:left="2160" w:hanging="360"/>
      </w:pPr>
      <w:rPr>
        <w:rFonts w:ascii="新細明體" w:hAnsi="新細明體" w:hint="default"/>
      </w:rPr>
    </w:lvl>
    <w:lvl w:ilvl="3" w:tplc="4148FBB0" w:tentative="1">
      <w:start w:val="1"/>
      <w:numFmt w:val="bullet"/>
      <w:lvlText w:val="•"/>
      <w:lvlJc w:val="left"/>
      <w:pPr>
        <w:tabs>
          <w:tab w:val="num" w:pos="2880"/>
        </w:tabs>
        <w:ind w:left="2880" w:hanging="360"/>
      </w:pPr>
      <w:rPr>
        <w:rFonts w:ascii="新細明體" w:hAnsi="新細明體" w:hint="default"/>
      </w:rPr>
    </w:lvl>
    <w:lvl w:ilvl="4" w:tplc="2CCABE54" w:tentative="1">
      <w:start w:val="1"/>
      <w:numFmt w:val="bullet"/>
      <w:lvlText w:val="•"/>
      <w:lvlJc w:val="left"/>
      <w:pPr>
        <w:tabs>
          <w:tab w:val="num" w:pos="3600"/>
        </w:tabs>
        <w:ind w:left="3600" w:hanging="360"/>
      </w:pPr>
      <w:rPr>
        <w:rFonts w:ascii="新細明體" w:hAnsi="新細明體" w:hint="default"/>
      </w:rPr>
    </w:lvl>
    <w:lvl w:ilvl="5" w:tplc="2CDC641E" w:tentative="1">
      <w:start w:val="1"/>
      <w:numFmt w:val="bullet"/>
      <w:lvlText w:val="•"/>
      <w:lvlJc w:val="left"/>
      <w:pPr>
        <w:tabs>
          <w:tab w:val="num" w:pos="4320"/>
        </w:tabs>
        <w:ind w:left="4320" w:hanging="360"/>
      </w:pPr>
      <w:rPr>
        <w:rFonts w:ascii="新細明體" w:hAnsi="新細明體" w:hint="default"/>
      </w:rPr>
    </w:lvl>
    <w:lvl w:ilvl="6" w:tplc="2C38C21E" w:tentative="1">
      <w:start w:val="1"/>
      <w:numFmt w:val="bullet"/>
      <w:lvlText w:val="•"/>
      <w:lvlJc w:val="left"/>
      <w:pPr>
        <w:tabs>
          <w:tab w:val="num" w:pos="5040"/>
        </w:tabs>
        <w:ind w:left="5040" w:hanging="360"/>
      </w:pPr>
      <w:rPr>
        <w:rFonts w:ascii="新細明體" w:hAnsi="新細明體" w:hint="default"/>
      </w:rPr>
    </w:lvl>
    <w:lvl w:ilvl="7" w:tplc="B2D40B6A" w:tentative="1">
      <w:start w:val="1"/>
      <w:numFmt w:val="bullet"/>
      <w:lvlText w:val="•"/>
      <w:lvlJc w:val="left"/>
      <w:pPr>
        <w:tabs>
          <w:tab w:val="num" w:pos="5760"/>
        </w:tabs>
        <w:ind w:left="5760" w:hanging="360"/>
      </w:pPr>
      <w:rPr>
        <w:rFonts w:ascii="新細明體" w:hAnsi="新細明體" w:hint="default"/>
      </w:rPr>
    </w:lvl>
    <w:lvl w:ilvl="8" w:tplc="3D540F10" w:tentative="1">
      <w:start w:val="1"/>
      <w:numFmt w:val="bullet"/>
      <w:lvlText w:val="•"/>
      <w:lvlJc w:val="left"/>
      <w:pPr>
        <w:tabs>
          <w:tab w:val="num" w:pos="6480"/>
        </w:tabs>
        <w:ind w:left="6480" w:hanging="360"/>
      </w:pPr>
      <w:rPr>
        <w:rFonts w:ascii="新細明體" w:hAnsi="新細明體" w:hint="default"/>
      </w:rPr>
    </w:lvl>
  </w:abstractNum>
  <w:abstractNum w:abstractNumId="25">
    <w:nsid w:val="74104F62"/>
    <w:multiLevelType w:val="hybridMultilevel"/>
    <w:tmpl w:val="244030E0"/>
    <w:lvl w:ilvl="0" w:tplc="603444AE">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64C22EC"/>
    <w:multiLevelType w:val="hybridMultilevel"/>
    <w:tmpl w:val="5CB4C22E"/>
    <w:lvl w:ilvl="0" w:tplc="0DF610CC">
      <w:start w:val="1"/>
      <w:numFmt w:val="decimal"/>
      <w:lvlText w:val="%1."/>
      <w:lvlJc w:val="left"/>
      <w:pPr>
        <w:tabs>
          <w:tab w:val="num" w:pos="1700"/>
        </w:tabs>
        <w:ind w:left="1700" w:hanging="720"/>
      </w:pPr>
      <w:rPr>
        <w:rFonts w:hint="eastAsia"/>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1940"/>
        </w:tabs>
        <w:ind w:left="1940" w:hanging="480"/>
      </w:pPr>
    </w:lvl>
    <w:lvl w:ilvl="2" w:tplc="0409001B" w:tentative="1">
      <w:start w:val="1"/>
      <w:numFmt w:val="lowerRoman"/>
      <w:lvlText w:val="%3."/>
      <w:lvlJc w:val="right"/>
      <w:pPr>
        <w:tabs>
          <w:tab w:val="num" w:pos="2420"/>
        </w:tabs>
        <w:ind w:left="2420" w:hanging="480"/>
      </w:pPr>
    </w:lvl>
    <w:lvl w:ilvl="3" w:tplc="0409000F" w:tentative="1">
      <w:start w:val="1"/>
      <w:numFmt w:val="decimal"/>
      <w:lvlText w:val="%4."/>
      <w:lvlJc w:val="left"/>
      <w:pPr>
        <w:tabs>
          <w:tab w:val="num" w:pos="2900"/>
        </w:tabs>
        <w:ind w:left="2900" w:hanging="480"/>
      </w:pPr>
    </w:lvl>
    <w:lvl w:ilvl="4" w:tplc="04090019" w:tentative="1">
      <w:start w:val="1"/>
      <w:numFmt w:val="ideographTraditional"/>
      <w:lvlText w:val="%5、"/>
      <w:lvlJc w:val="left"/>
      <w:pPr>
        <w:tabs>
          <w:tab w:val="num" w:pos="3380"/>
        </w:tabs>
        <w:ind w:left="3380" w:hanging="480"/>
      </w:pPr>
    </w:lvl>
    <w:lvl w:ilvl="5" w:tplc="0409001B" w:tentative="1">
      <w:start w:val="1"/>
      <w:numFmt w:val="lowerRoman"/>
      <w:lvlText w:val="%6."/>
      <w:lvlJc w:val="right"/>
      <w:pPr>
        <w:tabs>
          <w:tab w:val="num" w:pos="3860"/>
        </w:tabs>
        <w:ind w:left="3860" w:hanging="480"/>
      </w:pPr>
    </w:lvl>
    <w:lvl w:ilvl="6" w:tplc="0409000F" w:tentative="1">
      <w:start w:val="1"/>
      <w:numFmt w:val="decimal"/>
      <w:lvlText w:val="%7."/>
      <w:lvlJc w:val="left"/>
      <w:pPr>
        <w:tabs>
          <w:tab w:val="num" w:pos="4340"/>
        </w:tabs>
        <w:ind w:left="4340" w:hanging="480"/>
      </w:pPr>
    </w:lvl>
    <w:lvl w:ilvl="7" w:tplc="04090019" w:tentative="1">
      <w:start w:val="1"/>
      <w:numFmt w:val="ideographTraditional"/>
      <w:lvlText w:val="%8、"/>
      <w:lvlJc w:val="left"/>
      <w:pPr>
        <w:tabs>
          <w:tab w:val="num" w:pos="4820"/>
        </w:tabs>
        <w:ind w:left="4820" w:hanging="480"/>
      </w:pPr>
    </w:lvl>
    <w:lvl w:ilvl="8" w:tplc="0409001B" w:tentative="1">
      <w:start w:val="1"/>
      <w:numFmt w:val="lowerRoman"/>
      <w:lvlText w:val="%9."/>
      <w:lvlJc w:val="right"/>
      <w:pPr>
        <w:tabs>
          <w:tab w:val="num" w:pos="5300"/>
        </w:tabs>
        <w:ind w:left="5300" w:hanging="480"/>
      </w:pPr>
    </w:lvl>
  </w:abstractNum>
  <w:abstractNum w:abstractNumId="27">
    <w:nsid w:val="76CF311C"/>
    <w:multiLevelType w:val="hybridMultilevel"/>
    <w:tmpl w:val="79B0CCC2"/>
    <w:lvl w:ilvl="0" w:tplc="777423D8">
      <w:start w:val="1"/>
      <w:numFmt w:val="decimal"/>
      <w:lvlText w:val="%1."/>
      <w:lvlJc w:val="left"/>
      <w:pPr>
        <w:ind w:left="405" w:hanging="405"/>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3"/>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23"/>
  </w:num>
  <w:num w:numId="10">
    <w:abstractNumId w:val="2"/>
  </w:num>
  <w:num w:numId="11">
    <w:abstractNumId w:val="7"/>
  </w:num>
  <w:num w:numId="12">
    <w:abstractNumId w:val="5"/>
  </w:num>
  <w:num w:numId="13">
    <w:abstractNumId w:val="16"/>
  </w:num>
  <w:num w:numId="14">
    <w:abstractNumId w:val="17"/>
  </w:num>
  <w:num w:numId="15">
    <w:abstractNumId w:val="27"/>
  </w:num>
  <w:num w:numId="16">
    <w:abstractNumId w:val="19"/>
  </w:num>
  <w:num w:numId="17">
    <w:abstractNumId w:val="11"/>
  </w:num>
  <w:num w:numId="18">
    <w:abstractNumId w:val="25"/>
  </w:num>
  <w:num w:numId="19">
    <w:abstractNumId w:val="1"/>
  </w:num>
  <w:num w:numId="20">
    <w:abstractNumId w:val="26"/>
  </w:num>
  <w:num w:numId="21">
    <w:abstractNumId w:val="21"/>
  </w:num>
  <w:num w:numId="22">
    <w:abstractNumId w:val="24"/>
  </w:num>
  <w:num w:numId="23">
    <w:abstractNumId w:val="22"/>
  </w:num>
  <w:num w:numId="24">
    <w:abstractNumId w:val="13"/>
  </w:num>
  <w:num w:numId="25">
    <w:abstractNumId w:val="20"/>
  </w:num>
  <w:num w:numId="26">
    <w:abstractNumId w:val="4"/>
  </w:num>
  <w:num w:numId="27">
    <w:abstractNumId w:val="15"/>
  </w:num>
  <w:num w:numId="28">
    <w:abstractNumId w:val="18"/>
  </w:num>
  <w:num w:numId="29">
    <w:abstractNumId w:val="14"/>
  </w:num>
  <w:num w:numId="30">
    <w:abstractNumId w:val="10"/>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61"/>
    <w:rsid w:val="0000448C"/>
    <w:rsid w:val="000079A4"/>
    <w:rsid w:val="00011CE0"/>
    <w:rsid w:val="00013A04"/>
    <w:rsid w:val="0002643F"/>
    <w:rsid w:val="00027086"/>
    <w:rsid w:val="00031AC5"/>
    <w:rsid w:val="00032356"/>
    <w:rsid w:val="00040BE3"/>
    <w:rsid w:val="00053AC5"/>
    <w:rsid w:val="00057583"/>
    <w:rsid w:val="000618AF"/>
    <w:rsid w:val="00065FCF"/>
    <w:rsid w:val="0008265D"/>
    <w:rsid w:val="00083C9B"/>
    <w:rsid w:val="000846BA"/>
    <w:rsid w:val="000B65C1"/>
    <w:rsid w:val="000C6EF8"/>
    <w:rsid w:val="000F19F2"/>
    <w:rsid w:val="0011494F"/>
    <w:rsid w:val="001275BE"/>
    <w:rsid w:val="0013345D"/>
    <w:rsid w:val="00134D7B"/>
    <w:rsid w:val="00134E94"/>
    <w:rsid w:val="001539EA"/>
    <w:rsid w:val="00154160"/>
    <w:rsid w:val="00155B70"/>
    <w:rsid w:val="00162DD6"/>
    <w:rsid w:val="00163AC7"/>
    <w:rsid w:val="0016725E"/>
    <w:rsid w:val="00171277"/>
    <w:rsid w:val="00171BE2"/>
    <w:rsid w:val="00171E16"/>
    <w:rsid w:val="0017298B"/>
    <w:rsid w:val="00191F16"/>
    <w:rsid w:val="00195EE3"/>
    <w:rsid w:val="001A246F"/>
    <w:rsid w:val="001C72BF"/>
    <w:rsid w:val="001D42B9"/>
    <w:rsid w:val="001D67BE"/>
    <w:rsid w:val="001E7863"/>
    <w:rsid w:val="001F1792"/>
    <w:rsid w:val="001F670F"/>
    <w:rsid w:val="0021052B"/>
    <w:rsid w:val="00215D5A"/>
    <w:rsid w:val="002238A7"/>
    <w:rsid w:val="00224DE0"/>
    <w:rsid w:val="00233027"/>
    <w:rsid w:val="00233ACA"/>
    <w:rsid w:val="00271BE3"/>
    <w:rsid w:val="00276269"/>
    <w:rsid w:val="00277656"/>
    <w:rsid w:val="00283D1A"/>
    <w:rsid w:val="00295C63"/>
    <w:rsid w:val="002A39C7"/>
    <w:rsid w:val="002A5CCB"/>
    <w:rsid w:val="002B3A3D"/>
    <w:rsid w:val="002D0766"/>
    <w:rsid w:val="002D4772"/>
    <w:rsid w:val="002E5261"/>
    <w:rsid w:val="003015C1"/>
    <w:rsid w:val="00302E29"/>
    <w:rsid w:val="00303455"/>
    <w:rsid w:val="00317BBF"/>
    <w:rsid w:val="00322BF7"/>
    <w:rsid w:val="00331D15"/>
    <w:rsid w:val="0033342B"/>
    <w:rsid w:val="00333F1A"/>
    <w:rsid w:val="00337FE3"/>
    <w:rsid w:val="003506E5"/>
    <w:rsid w:val="00350F85"/>
    <w:rsid w:val="003552C5"/>
    <w:rsid w:val="00385967"/>
    <w:rsid w:val="003879EF"/>
    <w:rsid w:val="003931D1"/>
    <w:rsid w:val="00393B88"/>
    <w:rsid w:val="003978F1"/>
    <w:rsid w:val="003A3C3B"/>
    <w:rsid w:val="003B3B29"/>
    <w:rsid w:val="003B4B98"/>
    <w:rsid w:val="003C767A"/>
    <w:rsid w:val="003D4436"/>
    <w:rsid w:val="003E4550"/>
    <w:rsid w:val="003E7A7D"/>
    <w:rsid w:val="003F46B7"/>
    <w:rsid w:val="003F5373"/>
    <w:rsid w:val="00404168"/>
    <w:rsid w:val="004053EB"/>
    <w:rsid w:val="00426E7C"/>
    <w:rsid w:val="0043248C"/>
    <w:rsid w:val="00477498"/>
    <w:rsid w:val="0049102E"/>
    <w:rsid w:val="004952D9"/>
    <w:rsid w:val="004B132B"/>
    <w:rsid w:val="004C3C89"/>
    <w:rsid w:val="004D5C25"/>
    <w:rsid w:val="004D613C"/>
    <w:rsid w:val="004F6E49"/>
    <w:rsid w:val="00503720"/>
    <w:rsid w:val="00504C74"/>
    <w:rsid w:val="005217EC"/>
    <w:rsid w:val="00526B3D"/>
    <w:rsid w:val="00532C48"/>
    <w:rsid w:val="00536F4F"/>
    <w:rsid w:val="00546734"/>
    <w:rsid w:val="00550ADE"/>
    <w:rsid w:val="00553F69"/>
    <w:rsid w:val="00557134"/>
    <w:rsid w:val="00560A63"/>
    <w:rsid w:val="0056516B"/>
    <w:rsid w:val="005673DB"/>
    <w:rsid w:val="00576B8D"/>
    <w:rsid w:val="005922CA"/>
    <w:rsid w:val="005A6476"/>
    <w:rsid w:val="005E19DD"/>
    <w:rsid w:val="00600583"/>
    <w:rsid w:val="00613C69"/>
    <w:rsid w:val="00623D8A"/>
    <w:rsid w:val="00624250"/>
    <w:rsid w:val="00637FF4"/>
    <w:rsid w:val="00643639"/>
    <w:rsid w:val="00645A0F"/>
    <w:rsid w:val="00652B0F"/>
    <w:rsid w:val="006605A5"/>
    <w:rsid w:val="00680206"/>
    <w:rsid w:val="00687E4A"/>
    <w:rsid w:val="006928E2"/>
    <w:rsid w:val="00692EAC"/>
    <w:rsid w:val="0069479A"/>
    <w:rsid w:val="00696FAD"/>
    <w:rsid w:val="006B1988"/>
    <w:rsid w:val="006C1298"/>
    <w:rsid w:val="006E59CE"/>
    <w:rsid w:val="006F4607"/>
    <w:rsid w:val="007019A7"/>
    <w:rsid w:val="00710A90"/>
    <w:rsid w:val="00711B51"/>
    <w:rsid w:val="007127CF"/>
    <w:rsid w:val="0071516D"/>
    <w:rsid w:val="00716FC7"/>
    <w:rsid w:val="00725CEC"/>
    <w:rsid w:val="0073019F"/>
    <w:rsid w:val="007430BA"/>
    <w:rsid w:val="00745C63"/>
    <w:rsid w:val="00751547"/>
    <w:rsid w:val="0075491B"/>
    <w:rsid w:val="007624BD"/>
    <w:rsid w:val="00767A02"/>
    <w:rsid w:val="00770E4E"/>
    <w:rsid w:val="007741BB"/>
    <w:rsid w:val="007809D4"/>
    <w:rsid w:val="0078372F"/>
    <w:rsid w:val="0078607C"/>
    <w:rsid w:val="00796212"/>
    <w:rsid w:val="007A4A21"/>
    <w:rsid w:val="007B4710"/>
    <w:rsid w:val="007C206B"/>
    <w:rsid w:val="007C485F"/>
    <w:rsid w:val="007F48C3"/>
    <w:rsid w:val="008067BA"/>
    <w:rsid w:val="00821392"/>
    <w:rsid w:val="008222B1"/>
    <w:rsid w:val="00826FB5"/>
    <w:rsid w:val="00846776"/>
    <w:rsid w:val="00851745"/>
    <w:rsid w:val="00852A32"/>
    <w:rsid w:val="00877E11"/>
    <w:rsid w:val="00880F16"/>
    <w:rsid w:val="008919E3"/>
    <w:rsid w:val="0089320F"/>
    <w:rsid w:val="008972AA"/>
    <w:rsid w:val="008A4910"/>
    <w:rsid w:val="008D687C"/>
    <w:rsid w:val="008F7350"/>
    <w:rsid w:val="008F7BC3"/>
    <w:rsid w:val="009116E1"/>
    <w:rsid w:val="00914210"/>
    <w:rsid w:val="00914453"/>
    <w:rsid w:val="00922E5B"/>
    <w:rsid w:val="00924A8B"/>
    <w:rsid w:val="009310D7"/>
    <w:rsid w:val="009354F1"/>
    <w:rsid w:val="009377BE"/>
    <w:rsid w:val="00952310"/>
    <w:rsid w:val="00967E4F"/>
    <w:rsid w:val="009778A7"/>
    <w:rsid w:val="00994DC6"/>
    <w:rsid w:val="00995CBA"/>
    <w:rsid w:val="009A4BE0"/>
    <w:rsid w:val="009A5248"/>
    <w:rsid w:val="009A57DA"/>
    <w:rsid w:val="009A6B97"/>
    <w:rsid w:val="009C17E5"/>
    <w:rsid w:val="009D1F93"/>
    <w:rsid w:val="009E2334"/>
    <w:rsid w:val="009F6C96"/>
    <w:rsid w:val="00A06B11"/>
    <w:rsid w:val="00A1504A"/>
    <w:rsid w:val="00A207AB"/>
    <w:rsid w:val="00A35D6C"/>
    <w:rsid w:val="00A3609B"/>
    <w:rsid w:val="00A5267F"/>
    <w:rsid w:val="00A550F7"/>
    <w:rsid w:val="00A62EA9"/>
    <w:rsid w:val="00A91E37"/>
    <w:rsid w:val="00A9287E"/>
    <w:rsid w:val="00AA10EF"/>
    <w:rsid w:val="00AC09C7"/>
    <w:rsid w:val="00AD103B"/>
    <w:rsid w:val="00AE1A87"/>
    <w:rsid w:val="00AF7F00"/>
    <w:rsid w:val="00B25A17"/>
    <w:rsid w:val="00B30155"/>
    <w:rsid w:val="00B34457"/>
    <w:rsid w:val="00B47230"/>
    <w:rsid w:val="00B47299"/>
    <w:rsid w:val="00B5792D"/>
    <w:rsid w:val="00B65A44"/>
    <w:rsid w:val="00B7432C"/>
    <w:rsid w:val="00B85955"/>
    <w:rsid w:val="00B96E55"/>
    <w:rsid w:val="00BA30C8"/>
    <w:rsid w:val="00BA340E"/>
    <w:rsid w:val="00BA5355"/>
    <w:rsid w:val="00BC5CDA"/>
    <w:rsid w:val="00BC6267"/>
    <w:rsid w:val="00BE08FE"/>
    <w:rsid w:val="00BF22A7"/>
    <w:rsid w:val="00BF4583"/>
    <w:rsid w:val="00C01732"/>
    <w:rsid w:val="00C0298D"/>
    <w:rsid w:val="00C115E5"/>
    <w:rsid w:val="00C11A0D"/>
    <w:rsid w:val="00C352F9"/>
    <w:rsid w:val="00C44794"/>
    <w:rsid w:val="00C574DB"/>
    <w:rsid w:val="00C61DDD"/>
    <w:rsid w:val="00C6240E"/>
    <w:rsid w:val="00C6618D"/>
    <w:rsid w:val="00C67B96"/>
    <w:rsid w:val="00C714B0"/>
    <w:rsid w:val="00C75AE4"/>
    <w:rsid w:val="00C828FF"/>
    <w:rsid w:val="00C915E8"/>
    <w:rsid w:val="00C95301"/>
    <w:rsid w:val="00CA3E46"/>
    <w:rsid w:val="00CB0E93"/>
    <w:rsid w:val="00CB17C4"/>
    <w:rsid w:val="00CC07E1"/>
    <w:rsid w:val="00CE2053"/>
    <w:rsid w:val="00CE4DF2"/>
    <w:rsid w:val="00D00C28"/>
    <w:rsid w:val="00D01AD2"/>
    <w:rsid w:val="00D04FD8"/>
    <w:rsid w:val="00D12D65"/>
    <w:rsid w:val="00D15015"/>
    <w:rsid w:val="00D251BB"/>
    <w:rsid w:val="00D34F6E"/>
    <w:rsid w:val="00D452CE"/>
    <w:rsid w:val="00D45508"/>
    <w:rsid w:val="00D46CC3"/>
    <w:rsid w:val="00D500B8"/>
    <w:rsid w:val="00D50D50"/>
    <w:rsid w:val="00D749D8"/>
    <w:rsid w:val="00D76874"/>
    <w:rsid w:val="00D96D80"/>
    <w:rsid w:val="00DB5439"/>
    <w:rsid w:val="00DB7DDD"/>
    <w:rsid w:val="00DC2BF1"/>
    <w:rsid w:val="00DD08B4"/>
    <w:rsid w:val="00DE07B3"/>
    <w:rsid w:val="00DE5245"/>
    <w:rsid w:val="00DE71D8"/>
    <w:rsid w:val="00DF78A6"/>
    <w:rsid w:val="00E07A39"/>
    <w:rsid w:val="00E20938"/>
    <w:rsid w:val="00E410BD"/>
    <w:rsid w:val="00E44FDE"/>
    <w:rsid w:val="00E51B85"/>
    <w:rsid w:val="00E52AE7"/>
    <w:rsid w:val="00E64DFE"/>
    <w:rsid w:val="00E74F4F"/>
    <w:rsid w:val="00E851C5"/>
    <w:rsid w:val="00E90848"/>
    <w:rsid w:val="00E91011"/>
    <w:rsid w:val="00E92480"/>
    <w:rsid w:val="00EB29B7"/>
    <w:rsid w:val="00EB548C"/>
    <w:rsid w:val="00EE0A82"/>
    <w:rsid w:val="00EE618D"/>
    <w:rsid w:val="00EE630F"/>
    <w:rsid w:val="00EF4312"/>
    <w:rsid w:val="00EF444E"/>
    <w:rsid w:val="00EF615B"/>
    <w:rsid w:val="00F1614F"/>
    <w:rsid w:val="00F20E45"/>
    <w:rsid w:val="00F23B72"/>
    <w:rsid w:val="00F25C9D"/>
    <w:rsid w:val="00F266CE"/>
    <w:rsid w:val="00F50630"/>
    <w:rsid w:val="00F52A42"/>
    <w:rsid w:val="00F542F8"/>
    <w:rsid w:val="00F62A42"/>
    <w:rsid w:val="00F64FE7"/>
    <w:rsid w:val="00F65E68"/>
    <w:rsid w:val="00F74708"/>
    <w:rsid w:val="00F812AA"/>
    <w:rsid w:val="00F82FA0"/>
    <w:rsid w:val="00FB15E9"/>
    <w:rsid w:val="00FB194E"/>
    <w:rsid w:val="00FB3840"/>
    <w:rsid w:val="00FC57BD"/>
    <w:rsid w:val="00FC6D38"/>
    <w:rsid w:val="00FD0321"/>
    <w:rsid w:val="00FD431B"/>
    <w:rsid w:val="00FD791F"/>
    <w:rsid w:val="00FF3C17"/>
    <w:rsid w:val="00FF644E"/>
    <w:rsid w:val="00FF74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aliases w:val="題號1,壹"/>
    <w:basedOn w:val="a2"/>
    <w:link w:val="10"/>
    <w:qFormat/>
    <w:rsid w:val="008A4910"/>
    <w:pPr>
      <w:numPr>
        <w:numId w:val="1"/>
      </w:numPr>
      <w:kinsoku w:val="0"/>
      <w:jc w:val="both"/>
      <w:outlineLvl w:val="0"/>
    </w:pPr>
    <w:rPr>
      <w:rFonts w:ascii="標楷體" w:hAnsi="Arial"/>
      <w:bCs/>
      <w:kern w:val="0"/>
      <w:szCs w:val="52"/>
    </w:rPr>
  </w:style>
  <w:style w:type="paragraph" w:styleId="2">
    <w:name w:val="heading 2"/>
    <w:aliases w:val="標題110/111,節,節1,一."/>
    <w:basedOn w:val="a2"/>
    <w:link w:val="20"/>
    <w:qFormat/>
    <w:rsid w:val="008A4910"/>
    <w:pPr>
      <w:numPr>
        <w:ilvl w:val="1"/>
        <w:numId w:val="1"/>
      </w:numPr>
      <w:jc w:val="both"/>
      <w:outlineLvl w:val="1"/>
    </w:pPr>
    <w:rPr>
      <w:rFonts w:ascii="標楷體" w:hAnsi="Arial"/>
      <w:bCs/>
      <w:kern w:val="0"/>
      <w:szCs w:val="48"/>
    </w:rPr>
  </w:style>
  <w:style w:type="paragraph" w:styleId="3">
    <w:name w:val="heading 3"/>
    <w:basedOn w:val="a2"/>
    <w:link w:val="30"/>
    <w:qFormat/>
    <w:rsid w:val="008A4910"/>
    <w:pPr>
      <w:numPr>
        <w:ilvl w:val="2"/>
        <w:numId w:val="1"/>
      </w:numPr>
      <w:jc w:val="both"/>
      <w:outlineLvl w:val="2"/>
    </w:pPr>
    <w:rPr>
      <w:rFonts w:ascii="標楷體" w:hAnsi="Arial"/>
      <w:bCs/>
      <w:kern w:val="0"/>
      <w:szCs w:val="36"/>
    </w:rPr>
  </w:style>
  <w:style w:type="paragraph" w:styleId="4">
    <w:name w:val="heading 4"/>
    <w:aliases w:val="一,表格,1."/>
    <w:basedOn w:val="a2"/>
    <w:link w:val="40"/>
    <w:qFormat/>
    <w:rsid w:val="008A4910"/>
    <w:pPr>
      <w:numPr>
        <w:ilvl w:val="3"/>
        <w:numId w:val="1"/>
      </w:numPr>
      <w:jc w:val="both"/>
      <w:outlineLvl w:val="3"/>
    </w:pPr>
    <w:rPr>
      <w:rFonts w:ascii="標楷體" w:hAnsi="Arial"/>
      <w:szCs w:val="36"/>
    </w:rPr>
  </w:style>
  <w:style w:type="paragraph" w:styleId="5">
    <w:name w:val="heading 5"/>
    <w:aliases w:val="(一),標題 5 字元"/>
    <w:basedOn w:val="a2"/>
    <w:qFormat/>
    <w:rsid w:val="008A4910"/>
    <w:pPr>
      <w:numPr>
        <w:ilvl w:val="4"/>
        <w:numId w:val="1"/>
      </w:numPr>
      <w:jc w:val="both"/>
      <w:outlineLvl w:val="4"/>
    </w:pPr>
    <w:rPr>
      <w:rFonts w:ascii="標楷體" w:hAnsi="Arial"/>
      <w:bCs/>
      <w:szCs w:val="36"/>
    </w:rPr>
  </w:style>
  <w:style w:type="paragraph" w:styleId="6">
    <w:name w:val="heading 6"/>
    <w:aliases w:val="1"/>
    <w:basedOn w:val="a2"/>
    <w:link w:val="60"/>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rsid w:val="008A4910"/>
    <w:pPr>
      <w:numPr>
        <w:ilvl w:val="6"/>
        <w:numId w:val="1"/>
      </w:numPr>
      <w:jc w:val="both"/>
      <w:outlineLvl w:val="6"/>
    </w:pPr>
    <w:rPr>
      <w:rFonts w:ascii="標楷體" w:hAnsi="Arial"/>
      <w:bCs/>
      <w:szCs w:val="36"/>
    </w:rPr>
  </w:style>
  <w:style w:type="paragraph" w:styleId="8">
    <w:name w:val="heading 8"/>
    <w:basedOn w:val="a2"/>
    <w:link w:val="80"/>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2">
    <w:name w:val="toc 6"/>
    <w:basedOn w:val="a2"/>
    <w:next w:val="a2"/>
    <w:autoRedefine/>
    <w:uiPriority w:val="39"/>
    <w:rsid w:val="008A4910"/>
    <w:pPr>
      <w:ind w:leftChars="500" w:left="700" w:hangingChars="200" w:hanging="200"/>
    </w:pPr>
    <w:rPr>
      <w:rFonts w:ascii="標楷體"/>
    </w:rPr>
  </w:style>
  <w:style w:type="paragraph" w:styleId="72">
    <w:name w:val="toc 7"/>
    <w:basedOn w:val="a2"/>
    <w:next w:val="a2"/>
    <w:autoRedefine/>
    <w:uiPriority w:val="39"/>
    <w:rsid w:val="008A4910"/>
    <w:pPr>
      <w:ind w:leftChars="600" w:left="700" w:hangingChars="100" w:hanging="100"/>
    </w:pPr>
    <w:rPr>
      <w:rFonts w:ascii="標楷體"/>
    </w:rPr>
  </w:style>
  <w:style w:type="paragraph" w:styleId="82">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uiPriority w:val="99"/>
    <w:rsid w:val="008A4910"/>
    <w:pPr>
      <w:tabs>
        <w:tab w:val="center" w:pos="4153"/>
        <w:tab w:val="right" w:pos="8306"/>
      </w:tabs>
      <w:snapToGrid w:val="0"/>
    </w:pPr>
    <w:rPr>
      <w:sz w:val="20"/>
    </w:rPr>
  </w:style>
  <w:style w:type="paragraph" w:styleId="ac">
    <w:name w:val="footer"/>
    <w:basedOn w:val="a2"/>
    <w:link w:val="ad"/>
    <w:uiPriority w:val="99"/>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aliases w:val="標題110/111 字元,節 字元,節1 字元,一.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rsid w:val="002E5261"/>
    <w:pPr>
      <w:ind w:left="400" w:hangingChars="400" w:hanging="400"/>
    </w:pPr>
  </w:style>
  <w:style w:type="character" w:customStyle="1" w:styleId="40">
    <w:name w:val="標題 4 字元"/>
    <w:aliases w:val="一 字元,表格 字元,1. 字元"/>
    <w:basedOn w:val="a3"/>
    <w:link w:val="4"/>
    <w:rsid w:val="002E5261"/>
    <w:rPr>
      <w:rFonts w:ascii="標楷體" w:eastAsia="標楷體" w:hAnsi="Arial"/>
      <w:kern w:val="2"/>
      <w:sz w:val="32"/>
      <w:szCs w:val="36"/>
    </w:rPr>
  </w:style>
  <w:style w:type="paragraph" w:styleId="af4">
    <w:name w:val="footnote text"/>
    <w:basedOn w:val="a2"/>
    <w:link w:val="af5"/>
    <w:unhideWhenUsed/>
    <w:rsid w:val="002E5261"/>
    <w:pPr>
      <w:snapToGrid w:val="0"/>
    </w:pPr>
    <w:rPr>
      <w:sz w:val="20"/>
    </w:rPr>
  </w:style>
  <w:style w:type="character" w:customStyle="1" w:styleId="af5">
    <w:name w:val="註腳文字 字元"/>
    <w:basedOn w:val="a3"/>
    <w:link w:val="af4"/>
    <w:rsid w:val="002E5261"/>
    <w:rPr>
      <w:rFonts w:eastAsia="標楷體"/>
      <w:kern w:val="2"/>
    </w:rPr>
  </w:style>
  <w:style w:type="character" w:styleId="af6">
    <w:name w:val="footnote reference"/>
    <w:basedOn w:val="a3"/>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rsid w:val="002E5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uiPriority w:val="20"/>
    <w:qFormat/>
    <w:rsid w:val="002E5261"/>
    <w:rPr>
      <w:b w:val="0"/>
      <w:bCs w:val="0"/>
      <w:i w:val="0"/>
      <w:iCs w:val="0"/>
      <w:color w:val="CC0033"/>
    </w:rPr>
  </w:style>
  <w:style w:type="character" w:customStyle="1" w:styleId="10">
    <w:name w:val="標題 1 字元"/>
    <w:aliases w:val="題號1 字元,壹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34"/>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uiPriority w:val="99"/>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uiPriority w:val="99"/>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uiPriority w:val="99"/>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uiPriority w:val="99"/>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uiPriority w:val="22"/>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iPriority w:val="99"/>
    <w:semiHidden/>
    <w:unhideWhenUsed/>
    <w:rsid w:val="00134D7B"/>
    <w:rPr>
      <w:color w:val="800080"/>
      <w:u w:val="single"/>
    </w:rPr>
  </w:style>
  <w:style w:type="paragraph" w:styleId="HTML">
    <w:name w:val="HTML Preformatted"/>
    <w:basedOn w:val="a2"/>
    <w:link w:val="HTML0"/>
    <w:uiPriority w:val="99"/>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uiPriority w:val="99"/>
    <w:rsid w:val="00134D7B"/>
    <w:rPr>
      <w:rFonts w:ascii="細明體" w:eastAsia="細明體" w:hAnsi="細明體" w:cs="細明體"/>
      <w:sz w:val="24"/>
      <w:szCs w:val="24"/>
    </w:rPr>
  </w:style>
  <w:style w:type="character" w:customStyle="1" w:styleId="ab">
    <w:name w:val="頁首 字元"/>
    <w:basedOn w:val="a3"/>
    <w:link w:val="aa"/>
    <w:uiPriority w:val="99"/>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F50630"/>
    <w:pPr>
      <w:widowControl/>
      <w:spacing w:after="160" w:line="240" w:lineRule="exact"/>
    </w:pPr>
    <w:rPr>
      <w:rFonts w:ascii="Verdana" w:eastAsia="新細明體" w:hAnsi="Verdana"/>
      <w:kern w:val="0"/>
      <w:sz w:val="20"/>
      <w:lang w:val="en-GB" w:eastAsia="en-US"/>
    </w:rPr>
  </w:style>
  <w:style w:type="paragraph" w:customStyle="1" w:styleId="14">
    <w:name w:val="字元 字元1 字元 字元 字元 字元 字元"/>
    <w:basedOn w:val="a2"/>
    <w:semiHidden/>
    <w:rsid w:val="00F50630"/>
    <w:pPr>
      <w:widowControl/>
      <w:spacing w:after="160" w:line="240" w:lineRule="exact"/>
    </w:pPr>
    <w:rPr>
      <w:rFonts w:ascii="Verdana" w:eastAsia="Times New Roman" w:hAnsi="Verdana" w:cs="Mangal"/>
      <w:sz w:val="20"/>
      <w:szCs w:val="24"/>
      <w:lang w:eastAsia="en-US" w:bidi="hi-IN"/>
    </w:rPr>
  </w:style>
  <w:style w:type="paragraph" w:customStyle="1" w:styleId="affb">
    <w:name w:val="字元 字元"/>
    <w:basedOn w:val="a2"/>
    <w:rsid w:val="00952310"/>
    <w:pPr>
      <w:widowControl/>
      <w:spacing w:after="160" w:line="240" w:lineRule="exact"/>
    </w:pPr>
    <w:rPr>
      <w:rFonts w:ascii="Verdana" w:eastAsia="新細明體" w:hAnsi="Verdana"/>
      <w:kern w:val="0"/>
      <w:sz w:val="20"/>
      <w:lang w:val="en-GB" w:eastAsia="en-US"/>
    </w:rPr>
  </w:style>
  <w:style w:type="paragraph" w:customStyle="1" w:styleId="15">
    <w:name w:val="字元 字元1 字元 字元 字元 字元 字元"/>
    <w:basedOn w:val="a2"/>
    <w:semiHidden/>
    <w:rsid w:val="00952310"/>
    <w:pPr>
      <w:widowControl/>
      <w:spacing w:after="160" w:line="240" w:lineRule="exact"/>
    </w:pPr>
    <w:rPr>
      <w:rFonts w:ascii="Verdana" w:eastAsia="Times New Roman" w:hAnsi="Verdana" w:cs="Mangal"/>
      <w:sz w:val="20"/>
      <w:szCs w:val="24"/>
      <w:lang w:eastAsia="en-US" w:bidi="hi-IN"/>
    </w:rPr>
  </w:style>
  <w:style w:type="character" w:customStyle="1" w:styleId="txthead11">
    <w:name w:val="txthead11"/>
    <w:basedOn w:val="a3"/>
    <w:rsid w:val="00952310"/>
    <w:rPr>
      <w:rFonts w:ascii="Verdana" w:hAnsi="Verdana" w:hint="default"/>
      <w:b w:val="0"/>
      <w:bCs w:val="0"/>
      <w:i w:val="0"/>
      <w:iCs w:val="0"/>
      <w:color w:val="848484"/>
      <w:sz w:val="16"/>
      <w:szCs w:val="16"/>
    </w:rPr>
  </w:style>
  <w:style w:type="paragraph" w:customStyle="1" w:styleId="Default">
    <w:name w:val="Default"/>
    <w:rsid w:val="00952310"/>
    <w:pPr>
      <w:widowControl w:val="0"/>
      <w:autoSpaceDE w:val="0"/>
      <w:autoSpaceDN w:val="0"/>
      <w:adjustRightInd w:val="0"/>
    </w:pPr>
    <w:rPr>
      <w:rFonts w:ascii="標楷體" w:eastAsia="標楷體" w:cs="標楷體"/>
      <w:color w:val="000000"/>
      <w:sz w:val="24"/>
      <w:szCs w:val="24"/>
    </w:rPr>
  </w:style>
  <w:style w:type="paragraph" w:customStyle="1" w:styleId="52">
    <w:name w:val="內文+5"/>
    <w:basedOn w:val="Default"/>
    <w:next w:val="Default"/>
    <w:uiPriority w:val="99"/>
    <w:rsid w:val="00952310"/>
    <w:rPr>
      <w:rFonts w:cs="Times New Roman"/>
      <w:color w:val="auto"/>
    </w:rPr>
  </w:style>
  <w:style w:type="character" w:customStyle="1" w:styleId="firstword1">
    <w:name w:val="firstword1"/>
    <w:basedOn w:val="a3"/>
    <w:rsid w:val="009A4BE0"/>
    <w:rPr>
      <w:rFonts w:ascii="зũ" w:hAnsi="зũ" w:hint="default"/>
      <w:color w:val="0000FF"/>
      <w:sz w:val="25"/>
      <w:szCs w:val="25"/>
    </w:rPr>
  </w:style>
  <w:style w:type="paragraph" w:customStyle="1" w:styleId="HSR2">
    <w:name w:val="HSR.標題.2"/>
    <w:basedOn w:val="2"/>
    <w:rsid w:val="009A4BE0"/>
    <w:pPr>
      <w:numPr>
        <w:numId w:val="11"/>
      </w:numPr>
      <w:adjustRightInd w:val="0"/>
      <w:spacing w:before="120" w:after="120"/>
      <w:textAlignment w:val="baseline"/>
    </w:pPr>
    <w:rPr>
      <w:rFonts w:ascii="Times New Roman" w:hAnsi="Times New Roman"/>
      <w:bCs w:val="0"/>
      <w:kern w:val="52"/>
      <w:sz w:val="24"/>
      <w:szCs w:val="20"/>
    </w:rPr>
  </w:style>
  <w:style w:type="paragraph" w:customStyle="1" w:styleId="16">
    <w:name w:val="清單段落1"/>
    <w:basedOn w:val="a2"/>
    <w:rsid w:val="009A4BE0"/>
    <w:pPr>
      <w:ind w:leftChars="200" w:left="480"/>
    </w:pPr>
    <w:rPr>
      <w:rFonts w:ascii="Calibri" w:eastAsia="新細明體" w:hAnsi="Calibri"/>
      <w:sz w:val="24"/>
      <w:szCs w:val="22"/>
    </w:rPr>
  </w:style>
  <w:style w:type="paragraph" w:customStyle="1" w:styleId="affc">
    <w:name w:val="表內文"/>
    <w:basedOn w:val="a2"/>
    <w:rsid w:val="009A4BE0"/>
    <w:pPr>
      <w:framePr w:hSpace="180" w:wrap="around" w:vAnchor="text" w:hAnchor="margin" w:xAlign="center" w:y="402"/>
      <w:jc w:val="both"/>
    </w:pPr>
    <w:rPr>
      <w:rFonts w:ascii="Arial" w:hAnsi="Arial" w:cs="Arial"/>
      <w:sz w:val="28"/>
      <w:szCs w:val="28"/>
    </w:rPr>
  </w:style>
  <w:style w:type="character" w:customStyle="1" w:styleId="langwithname">
    <w:name w:val="langwithname"/>
    <w:basedOn w:val="a3"/>
    <w:rsid w:val="009A4BE0"/>
  </w:style>
  <w:style w:type="paragraph" w:customStyle="1" w:styleId="25">
    <w:name w:val="清單段落2"/>
    <w:basedOn w:val="a2"/>
    <w:rsid w:val="00DB5439"/>
    <w:pPr>
      <w:ind w:leftChars="200" w:left="480"/>
    </w:pPr>
    <w:rPr>
      <w:rFonts w:ascii="Calibri" w:eastAsia="新細明體" w:hAnsi="Calibri"/>
      <w:sz w:val="24"/>
      <w:szCs w:val="22"/>
    </w:rPr>
  </w:style>
  <w:style w:type="character" w:customStyle="1" w:styleId="bk15">
    <w:name w:val="bk15"/>
    <w:basedOn w:val="a3"/>
    <w:rsid w:val="00DB5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aliases w:val="題號1,壹"/>
    <w:basedOn w:val="a2"/>
    <w:link w:val="10"/>
    <w:qFormat/>
    <w:rsid w:val="008A4910"/>
    <w:pPr>
      <w:numPr>
        <w:numId w:val="1"/>
      </w:numPr>
      <w:kinsoku w:val="0"/>
      <w:jc w:val="both"/>
      <w:outlineLvl w:val="0"/>
    </w:pPr>
    <w:rPr>
      <w:rFonts w:ascii="標楷體" w:hAnsi="Arial"/>
      <w:bCs/>
      <w:kern w:val="0"/>
      <w:szCs w:val="52"/>
    </w:rPr>
  </w:style>
  <w:style w:type="paragraph" w:styleId="2">
    <w:name w:val="heading 2"/>
    <w:aliases w:val="標題110/111,節,節1,一."/>
    <w:basedOn w:val="a2"/>
    <w:link w:val="20"/>
    <w:qFormat/>
    <w:rsid w:val="008A4910"/>
    <w:pPr>
      <w:numPr>
        <w:ilvl w:val="1"/>
        <w:numId w:val="1"/>
      </w:numPr>
      <w:jc w:val="both"/>
      <w:outlineLvl w:val="1"/>
    </w:pPr>
    <w:rPr>
      <w:rFonts w:ascii="標楷體" w:hAnsi="Arial"/>
      <w:bCs/>
      <w:kern w:val="0"/>
      <w:szCs w:val="48"/>
    </w:rPr>
  </w:style>
  <w:style w:type="paragraph" w:styleId="3">
    <w:name w:val="heading 3"/>
    <w:basedOn w:val="a2"/>
    <w:link w:val="30"/>
    <w:qFormat/>
    <w:rsid w:val="008A4910"/>
    <w:pPr>
      <w:numPr>
        <w:ilvl w:val="2"/>
        <w:numId w:val="1"/>
      </w:numPr>
      <w:jc w:val="both"/>
      <w:outlineLvl w:val="2"/>
    </w:pPr>
    <w:rPr>
      <w:rFonts w:ascii="標楷體" w:hAnsi="Arial"/>
      <w:bCs/>
      <w:kern w:val="0"/>
      <w:szCs w:val="36"/>
    </w:rPr>
  </w:style>
  <w:style w:type="paragraph" w:styleId="4">
    <w:name w:val="heading 4"/>
    <w:aliases w:val="一,表格,1."/>
    <w:basedOn w:val="a2"/>
    <w:link w:val="40"/>
    <w:qFormat/>
    <w:rsid w:val="008A4910"/>
    <w:pPr>
      <w:numPr>
        <w:ilvl w:val="3"/>
        <w:numId w:val="1"/>
      </w:numPr>
      <w:jc w:val="both"/>
      <w:outlineLvl w:val="3"/>
    </w:pPr>
    <w:rPr>
      <w:rFonts w:ascii="標楷體" w:hAnsi="Arial"/>
      <w:szCs w:val="36"/>
    </w:rPr>
  </w:style>
  <w:style w:type="paragraph" w:styleId="5">
    <w:name w:val="heading 5"/>
    <w:aliases w:val="(一),標題 5 字元"/>
    <w:basedOn w:val="a2"/>
    <w:qFormat/>
    <w:rsid w:val="008A4910"/>
    <w:pPr>
      <w:numPr>
        <w:ilvl w:val="4"/>
        <w:numId w:val="1"/>
      </w:numPr>
      <w:jc w:val="both"/>
      <w:outlineLvl w:val="4"/>
    </w:pPr>
    <w:rPr>
      <w:rFonts w:ascii="標楷體" w:hAnsi="Arial"/>
      <w:bCs/>
      <w:szCs w:val="36"/>
    </w:rPr>
  </w:style>
  <w:style w:type="paragraph" w:styleId="6">
    <w:name w:val="heading 6"/>
    <w:aliases w:val="1"/>
    <w:basedOn w:val="a2"/>
    <w:link w:val="60"/>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rsid w:val="008A4910"/>
    <w:pPr>
      <w:numPr>
        <w:ilvl w:val="6"/>
        <w:numId w:val="1"/>
      </w:numPr>
      <w:jc w:val="both"/>
      <w:outlineLvl w:val="6"/>
    </w:pPr>
    <w:rPr>
      <w:rFonts w:ascii="標楷體" w:hAnsi="Arial"/>
      <w:bCs/>
      <w:szCs w:val="36"/>
    </w:rPr>
  </w:style>
  <w:style w:type="paragraph" w:styleId="8">
    <w:name w:val="heading 8"/>
    <w:basedOn w:val="a2"/>
    <w:link w:val="80"/>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2">
    <w:name w:val="toc 6"/>
    <w:basedOn w:val="a2"/>
    <w:next w:val="a2"/>
    <w:autoRedefine/>
    <w:uiPriority w:val="39"/>
    <w:rsid w:val="008A4910"/>
    <w:pPr>
      <w:ind w:leftChars="500" w:left="700" w:hangingChars="200" w:hanging="200"/>
    </w:pPr>
    <w:rPr>
      <w:rFonts w:ascii="標楷體"/>
    </w:rPr>
  </w:style>
  <w:style w:type="paragraph" w:styleId="72">
    <w:name w:val="toc 7"/>
    <w:basedOn w:val="a2"/>
    <w:next w:val="a2"/>
    <w:autoRedefine/>
    <w:uiPriority w:val="39"/>
    <w:rsid w:val="008A4910"/>
    <w:pPr>
      <w:ind w:leftChars="600" w:left="700" w:hangingChars="100" w:hanging="100"/>
    </w:pPr>
    <w:rPr>
      <w:rFonts w:ascii="標楷體"/>
    </w:rPr>
  </w:style>
  <w:style w:type="paragraph" w:styleId="82">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uiPriority w:val="99"/>
    <w:rsid w:val="008A4910"/>
    <w:pPr>
      <w:tabs>
        <w:tab w:val="center" w:pos="4153"/>
        <w:tab w:val="right" w:pos="8306"/>
      </w:tabs>
      <w:snapToGrid w:val="0"/>
    </w:pPr>
    <w:rPr>
      <w:sz w:val="20"/>
    </w:rPr>
  </w:style>
  <w:style w:type="paragraph" w:styleId="ac">
    <w:name w:val="footer"/>
    <w:basedOn w:val="a2"/>
    <w:link w:val="ad"/>
    <w:uiPriority w:val="99"/>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aliases w:val="標題110/111 字元,節 字元,節1 字元,一.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rsid w:val="002E5261"/>
    <w:pPr>
      <w:ind w:left="400" w:hangingChars="400" w:hanging="400"/>
    </w:pPr>
  </w:style>
  <w:style w:type="character" w:customStyle="1" w:styleId="40">
    <w:name w:val="標題 4 字元"/>
    <w:aliases w:val="一 字元,表格 字元,1. 字元"/>
    <w:basedOn w:val="a3"/>
    <w:link w:val="4"/>
    <w:rsid w:val="002E5261"/>
    <w:rPr>
      <w:rFonts w:ascii="標楷體" w:eastAsia="標楷體" w:hAnsi="Arial"/>
      <w:kern w:val="2"/>
      <w:sz w:val="32"/>
      <w:szCs w:val="36"/>
    </w:rPr>
  </w:style>
  <w:style w:type="paragraph" w:styleId="af4">
    <w:name w:val="footnote text"/>
    <w:basedOn w:val="a2"/>
    <w:link w:val="af5"/>
    <w:unhideWhenUsed/>
    <w:rsid w:val="002E5261"/>
    <w:pPr>
      <w:snapToGrid w:val="0"/>
    </w:pPr>
    <w:rPr>
      <w:sz w:val="20"/>
    </w:rPr>
  </w:style>
  <w:style w:type="character" w:customStyle="1" w:styleId="af5">
    <w:name w:val="註腳文字 字元"/>
    <w:basedOn w:val="a3"/>
    <w:link w:val="af4"/>
    <w:rsid w:val="002E5261"/>
    <w:rPr>
      <w:rFonts w:eastAsia="標楷體"/>
      <w:kern w:val="2"/>
    </w:rPr>
  </w:style>
  <w:style w:type="character" w:styleId="af6">
    <w:name w:val="footnote reference"/>
    <w:basedOn w:val="a3"/>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rsid w:val="002E52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uiPriority w:val="20"/>
    <w:qFormat/>
    <w:rsid w:val="002E5261"/>
    <w:rPr>
      <w:b w:val="0"/>
      <w:bCs w:val="0"/>
      <w:i w:val="0"/>
      <w:iCs w:val="0"/>
      <w:color w:val="CC0033"/>
    </w:rPr>
  </w:style>
  <w:style w:type="character" w:customStyle="1" w:styleId="10">
    <w:name w:val="標題 1 字元"/>
    <w:aliases w:val="題號1 字元,壹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34"/>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uiPriority w:val="99"/>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uiPriority w:val="99"/>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uiPriority w:val="99"/>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uiPriority w:val="99"/>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uiPriority w:val="22"/>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iPriority w:val="99"/>
    <w:semiHidden/>
    <w:unhideWhenUsed/>
    <w:rsid w:val="00134D7B"/>
    <w:rPr>
      <w:color w:val="800080"/>
      <w:u w:val="single"/>
    </w:rPr>
  </w:style>
  <w:style w:type="paragraph" w:styleId="HTML">
    <w:name w:val="HTML Preformatted"/>
    <w:basedOn w:val="a2"/>
    <w:link w:val="HTML0"/>
    <w:uiPriority w:val="99"/>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uiPriority w:val="99"/>
    <w:rsid w:val="00134D7B"/>
    <w:rPr>
      <w:rFonts w:ascii="細明體" w:eastAsia="細明體" w:hAnsi="細明體" w:cs="細明體"/>
      <w:sz w:val="24"/>
      <w:szCs w:val="24"/>
    </w:rPr>
  </w:style>
  <w:style w:type="character" w:customStyle="1" w:styleId="ab">
    <w:name w:val="頁首 字元"/>
    <w:basedOn w:val="a3"/>
    <w:link w:val="aa"/>
    <w:uiPriority w:val="99"/>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F50630"/>
    <w:pPr>
      <w:widowControl/>
      <w:spacing w:after="160" w:line="240" w:lineRule="exact"/>
    </w:pPr>
    <w:rPr>
      <w:rFonts w:ascii="Verdana" w:eastAsia="新細明體" w:hAnsi="Verdana"/>
      <w:kern w:val="0"/>
      <w:sz w:val="20"/>
      <w:lang w:val="en-GB" w:eastAsia="en-US"/>
    </w:rPr>
  </w:style>
  <w:style w:type="paragraph" w:customStyle="1" w:styleId="14">
    <w:name w:val="字元 字元1 字元 字元 字元 字元 字元"/>
    <w:basedOn w:val="a2"/>
    <w:semiHidden/>
    <w:rsid w:val="00F50630"/>
    <w:pPr>
      <w:widowControl/>
      <w:spacing w:after="160" w:line="240" w:lineRule="exact"/>
    </w:pPr>
    <w:rPr>
      <w:rFonts w:ascii="Verdana" w:eastAsia="Times New Roman" w:hAnsi="Verdana" w:cs="Mangal"/>
      <w:sz w:val="20"/>
      <w:szCs w:val="24"/>
      <w:lang w:eastAsia="en-US" w:bidi="hi-IN"/>
    </w:rPr>
  </w:style>
  <w:style w:type="paragraph" w:customStyle="1" w:styleId="affb">
    <w:name w:val="字元 字元"/>
    <w:basedOn w:val="a2"/>
    <w:rsid w:val="00952310"/>
    <w:pPr>
      <w:widowControl/>
      <w:spacing w:after="160" w:line="240" w:lineRule="exact"/>
    </w:pPr>
    <w:rPr>
      <w:rFonts w:ascii="Verdana" w:eastAsia="新細明體" w:hAnsi="Verdana"/>
      <w:kern w:val="0"/>
      <w:sz w:val="20"/>
      <w:lang w:val="en-GB" w:eastAsia="en-US"/>
    </w:rPr>
  </w:style>
  <w:style w:type="paragraph" w:customStyle="1" w:styleId="15">
    <w:name w:val="字元 字元1 字元 字元 字元 字元 字元"/>
    <w:basedOn w:val="a2"/>
    <w:semiHidden/>
    <w:rsid w:val="00952310"/>
    <w:pPr>
      <w:widowControl/>
      <w:spacing w:after="160" w:line="240" w:lineRule="exact"/>
    </w:pPr>
    <w:rPr>
      <w:rFonts w:ascii="Verdana" w:eastAsia="Times New Roman" w:hAnsi="Verdana" w:cs="Mangal"/>
      <w:sz w:val="20"/>
      <w:szCs w:val="24"/>
      <w:lang w:eastAsia="en-US" w:bidi="hi-IN"/>
    </w:rPr>
  </w:style>
  <w:style w:type="character" w:customStyle="1" w:styleId="txthead11">
    <w:name w:val="txthead11"/>
    <w:basedOn w:val="a3"/>
    <w:rsid w:val="00952310"/>
    <w:rPr>
      <w:rFonts w:ascii="Verdana" w:hAnsi="Verdana" w:hint="default"/>
      <w:b w:val="0"/>
      <w:bCs w:val="0"/>
      <w:i w:val="0"/>
      <w:iCs w:val="0"/>
      <w:color w:val="848484"/>
      <w:sz w:val="16"/>
      <w:szCs w:val="16"/>
    </w:rPr>
  </w:style>
  <w:style w:type="paragraph" w:customStyle="1" w:styleId="Default">
    <w:name w:val="Default"/>
    <w:rsid w:val="00952310"/>
    <w:pPr>
      <w:widowControl w:val="0"/>
      <w:autoSpaceDE w:val="0"/>
      <w:autoSpaceDN w:val="0"/>
      <w:adjustRightInd w:val="0"/>
    </w:pPr>
    <w:rPr>
      <w:rFonts w:ascii="標楷體" w:eastAsia="標楷體" w:cs="標楷體"/>
      <w:color w:val="000000"/>
      <w:sz w:val="24"/>
      <w:szCs w:val="24"/>
    </w:rPr>
  </w:style>
  <w:style w:type="paragraph" w:customStyle="1" w:styleId="52">
    <w:name w:val="內文+5"/>
    <w:basedOn w:val="Default"/>
    <w:next w:val="Default"/>
    <w:uiPriority w:val="99"/>
    <w:rsid w:val="00952310"/>
    <w:rPr>
      <w:rFonts w:cs="Times New Roman"/>
      <w:color w:val="auto"/>
    </w:rPr>
  </w:style>
  <w:style w:type="character" w:customStyle="1" w:styleId="firstword1">
    <w:name w:val="firstword1"/>
    <w:basedOn w:val="a3"/>
    <w:rsid w:val="009A4BE0"/>
    <w:rPr>
      <w:rFonts w:ascii="зũ" w:hAnsi="зũ" w:hint="default"/>
      <w:color w:val="0000FF"/>
      <w:sz w:val="25"/>
      <w:szCs w:val="25"/>
    </w:rPr>
  </w:style>
  <w:style w:type="paragraph" w:customStyle="1" w:styleId="HSR2">
    <w:name w:val="HSR.標題.2"/>
    <w:basedOn w:val="2"/>
    <w:rsid w:val="009A4BE0"/>
    <w:pPr>
      <w:numPr>
        <w:numId w:val="11"/>
      </w:numPr>
      <w:adjustRightInd w:val="0"/>
      <w:spacing w:before="120" w:after="120"/>
      <w:textAlignment w:val="baseline"/>
    </w:pPr>
    <w:rPr>
      <w:rFonts w:ascii="Times New Roman" w:hAnsi="Times New Roman"/>
      <w:bCs w:val="0"/>
      <w:kern w:val="52"/>
      <w:sz w:val="24"/>
      <w:szCs w:val="20"/>
    </w:rPr>
  </w:style>
  <w:style w:type="paragraph" w:customStyle="1" w:styleId="16">
    <w:name w:val="清單段落1"/>
    <w:basedOn w:val="a2"/>
    <w:rsid w:val="009A4BE0"/>
    <w:pPr>
      <w:ind w:leftChars="200" w:left="480"/>
    </w:pPr>
    <w:rPr>
      <w:rFonts w:ascii="Calibri" w:eastAsia="新細明體" w:hAnsi="Calibri"/>
      <w:sz w:val="24"/>
      <w:szCs w:val="22"/>
    </w:rPr>
  </w:style>
  <w:style w:type="paragraph" w:customStyle="1" w:styleId="affc">
    <w:name w:val="表內文"/>
    <w:basedOn w:val="a2"/>
    <w:rsid w:val="009A4BE0"/>
    <w:pPr>
      <w:framePr w:hSpace="180" w:wrap="around" w:vAnchor="text" w:hAnchor="margin" w:xAlign="center" w:y="402"/>
      <w:jc w:val="both"/>
    </w:pPr>
    <w:rPr>
      <w:rFonts w:ascii="Arial" w:hAnsi="Arial" w:cs="Arial"/>
      <w:sz w:val="28"/>
      <w:szCs w:val="28"/>
    </w:rPr>
  </w:style>
  <w:style w:type="character" w:customStyle="1" w:styleId="langwithname">
    <w:name w:val="langwithname"/>
    <w:basedOn w:val="a3"/>
    <w:rsid w:val="009A4BE0"/>
  </w:style>
  <w:style w:type="paragraph" w:customStyle="1" w:styleId="25">
    <w:name w:val="清單段落2"/>
    <w:basedOn w:val="a2"/>
    <w:rsid w:val="00DB5439"/>
    <w:pPr>
      <w:ind w:leftChars="200" w:left="480"/>
    </w:pPr>
    <w:rPr>
      <w:rFonts w:ascii="Calibri" w:eastAsia="新細明體" w:hAnsi="Calibri"/>
      <w:sz w:val="24"/>
      <w:szCs w:val="22"/>
    </w:rPr>
  </w:style>
  <w:style w:type="character" w:customStyle="1" w:styleId="bk15">
    <w:name w:val="bk15"/>
    <w:basedOn w:val="a3"/>
    <w:rsid w:val="00DB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b.lawbank.com.tw/FLAW/FLAWDAT01.aspx?lsid=FL010645" TargetMode="External"/><Relationship Id="rId4" Type="http://schemas.microsoft.com/office/2007/relationships/stylesWithEffects" Target="stylesWithEffects.xml"/><Relationship Id="rId9" Type="http://schemas.openxmlformats.org/officeDocument/2006/relationships/hyperlink" Target="https://zh.wikipedia.org/wiki/%E8%87%BA%E5%8C%97%E5%B8%82%E9%95%B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A4B30-8A79-4B6B-B4A5-AB7C922D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16</Pages>
  <Words>1323</Words>
  <Characters>7546</Characters>
  <Application>Microsoft Office Word</Application>
  <DocSecurity>0</DocSecurity>
  <Lines>62</Lines>
  <Paragraphs>17</Paragraphs>
  <ScaleCrop>false</ScaleCrop>
  <Company>cy</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1</cp:lastModifiedBy>
  <cp:revision>2</cp:revision>
  <cp:lastPrinted>2016-08-04T03:49:00Z</cp:lastPrinted>
  <dcterms:created xsi:type="dcterms:W3CDTF">2016-08-11T08:20:00Z</dcterms:created>
  <dcterms:modified xsi:type="dcterms:W3CDTF">2016-08-11T08:20:00Z</dcterms:modified>
</cp:coreProperties>
</file>