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247E77" w:rsidRDefault="00D75644" w:rsidP="00232C83">
      <w:pPr>
        <w:pStyle w:val="af6"/>
        <w:topLinePunct/>
        <w:rPr>
          <w:rFonts w:hAnsi="標楷體"/>
        </w:rPr>
      </w:pPr>
      <w:r w:rsidRPr="00247E77">
        <w:rPr>
          <w:rFonts w:hAnsi="標楷體" w:hint="eastAsia"/>
        </w:rPr>
        <w:t>調查報告</w:t>
      </w:r>
    </w:p>
    <w:p w:rsidR="00E25849" w:rsidRPr="00715E34" w:rsidRDefault="00E25849" w:rsidP="00232C83">
      <w:pPr>
        <w:pStyle w:val="1"/>
        <w:topLinePunct/>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455922231"/>
      <w:bookmarkStart w:id="26" w:name="_Toc455922432"/>
      <w:bookmarkStart w:id="27" w:name="_Toc455922856"/>
      <w:bookmarkStart w:id="28" w:name="_Toc458000604"/>
      <w:r w:rsidRPr="00715E34">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8725F9" w:rsidRPr="00715E34">
        <w:rPr>
          <w:rFonts w:hAnsi="標楷體"/>
          <w:noProof/>
        </w:rPr>
        <w:t>近來水情吃緊旱象持續，有關水資源管理與運用策略是否妥適，節水措施與再生水之推廣，水資源調度效率及分配正義、水資源多元開發與涵蓄、水土保持違規改善情形、水價合理化推動與配套、高耗水農工業發展等策略等，政府有關部門有無積極作為以為因應等情，實有深入瞭解必要乙案</w:t>
      </w:r>
      <w:r w:rsidR="00844AC1" w:rsidRPr="00715E34">
        <w:rPr>
          <w:rFonts w:hAnsi="標楷體"/>
          <w:noProof/>
        </w:rPr>
        <w:t>。</w:t>
      </w:r>
      <w:bookmarkEnd w:id="25"/>
      <w:bookmarkEnd w:id="26"/>
      <w:bookmarkEnd w:id="27"/>
      <w:bookmarkEnd w:id="28"/>
    </w:p>
    <w:p w:rsidR="00E25849" w:rsidRPr="00715E34" w:rsidRDefault="00E25849" w:rsidP="00232C83">
      <w:pPr>
        <w:pStyle w:val="1"/>
        <w:topLinePunct/>
        <w:ind w:left="2380" w:hanging="2380"/>
        <w:rPr>
          <w:rFonts w:hAnsi="標楷體"/>
        </w:rPr>
      </w:pPr>
      <w:bookmarkStart w:id="29" w:name="_Toc524895646"/>
      <w:bookmarkStart w:id="30" w:name="_Toc524896192"/>
      <w:bookmarkStart w:id="31" w:name="_Toc524896222"/>
      <w:bookmarkStart w:id="32" w:name="_Toc524902729"/>
      <w:bookmarkStart w:id="33" w:name="_Toc525066145"/>
      <w:bookmarkStart w:id="34" w:name="_Toc525070836"/>
      <w:bookmarkStart w:id="35" w:name="_Toc525938376"/>
      <w:bookmarkStart w:id="36" w:name="_Toc525939224"/>
      <w:bookmarkStart w:id="37" w:name="_Toc525939729"/>
      <w:bookmarkStart w:id="38" w:name="_Toc529218269"/>
      <w:bookmarkStart w:id="39" w:name="_Toc529222686"/>
      <w:bookmarkStart w:id="40" w:name="_Toc529223108"/>
      <w:bookmarkStart w:id="41" w:name="_Toc529223859"/>
      <w:bookmarkStart w:id="42" w:name="_Toc529228262"/>
      <w:bookmarkStart w:id="43" w:name="_Toc2400392"/>
      <w:bookmarkStart w:id="44" w:name="_Toc4316186"/>
      <w:bookmarkStart w:id="45" w:name="_Toc4473327"/>
      <w:bookmarkStart w:id="46" w:name="_Toc69556894"/>
      <w:bookmarkStart w:id="47" w:name="_Toc69556943"/>
      <w:bookmarkStart w:id="48" w:name="_Toc69609817"/>
      <w:bookmarkStart w:id="49" w:name="_Toc70241813"/>
      <w:bookmarkStart w:id="50" w:name="_Toc70242202"/>
      <w:bookmarkStart w:id="51" w:name="_Toc421794872"/>
      <w:bookmarkStart w:id="52" w:name="_Toc422834157"/>
      <w:bookmarkStart w:id="53" w:name="_Toc455922269"/>
      <w:bookmarkStart w:id="54" w:name="_Toc455922470"/>
      <w:bookmarkStart w:id="55" w:name="_Toc455922894"/>
      <w:bookmarkStart w:id="56" w:name="_Toc458000617"/>
      <w:r w:rsidRPr="00715E34">
        <w:rPr>
          <w:rFonts w:hAnsi="標楷體" w:hint="eastAsia"/>
        </w:rPr>
        <w:t>調查意見</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2C3707" w:rsidRPr="00715E34" w:rsidRDefault="002C3707" w:rsidP="00232C83">
      <w:pPr>
        <w:topLinePunct/>
        <w:ind w:left="680" w:firstLine="680"/>
        <w:rPr>
          <w:rFonts w:hAnsi="標楷體"/>
        </w:rPr>
      </w:pPr>
      <w:bookmarkStart w:id="57" w:name="_Toc524902730"/>
      <w:r w:rsidRPr="00715E34">
        <w:rPr>
          <w:rFonts w:hAnsi="標楷體"/>
          <w:noProof/>
        </w:rPr>
        <w:t>民國（下同）</w:t>
      </w:r>
      <w:r w:rsidRPr="00715E34">
        <w:rPr>
          <w:rFonts w:hAnsi="標楷體"/>
        </w:rPr>
        <w:t>103年秋冬期間降雨量銳減，導致</w:t>
      </w:r>
      <w:r w:rsidR="00265319">
        <w:rPr>
          <w:rFonts w:hAnsi="標楷體" w:hint="eastAsia"/>
        </w:rPr>
        <w:t>翌</w:t>
      </w:r>
      <w:r w:rsidRPr="00715E34">
        <w:rPr>
          <w:rFonts w:hAnsi="標楷體"/>
        </w:rPr>
        <w:t>年1月起</w:t>
      </w:r>
      <w:r w:rsidR="00720E64" w:rsidRPr="00715E34">
        <w:rPr>
          <w:rFonts w:hAnsi="標楷體" w:hint="eastAsia"/>
        </w:rPr>
        <w:t>全臺各地陸續</w:t>
      </w:r>
      <w:r w:rsidRPr="00715E34">
        <w:rPr>
          <w:rFonts w:hAnsi="標楷體"/>
        </w:rPr>
        <w:t>發生缺水危機，為67年來最嚴重旱災，以</w:t>
      </w:r>
      <w:hyperlink r:id="rId10" w:tooltip="石門水庫 (臺灣)" w:history="1">
        <w:r w:rsidRPr="00715E34">
          <w:rPr>
            <w:rFonts w:hAnsi="標楷體"/>
          </w:rPr>
          <w:t>石門水庫</w:t>
        </w:r>
      </w:hyperlink>
      <w:r w:rsidRPr="00715E34">
        <w:rPr>
          <w:rFonts w:hAnsi="標楷體"/>
        </w:rPr>
        <w:t>蓄水率為例，104年3月下旬僅剩約20%，為建庫以來歷史同期最低。</w:t>
      </w:r>
      <w:r w:rsidR="00104A85" w:rsidRPr="00715E34">
        <w:rPr>
          <w:rFonts w:hAnsi="標楷體"/>
        </w:rPr>
        <w:t>經濟部為因應旱情，成立旱災應變中心，並採取分階段限水措施，</w:t>
      </w:r>
      <w:r w:rsidRPr="00715E34">
        <w:rPr>
          <w:rFonts w:hAnsi="標楷體"/>
        </w:rPr>
        <w:t>第1階段為離峰時段減壓供水，第2階段為工業用水大戶減供5%、非工業用水大戶減供20%、停止供應噴水池及沖洗街道等非必要用水，第3階段為分區輪流或全區定時停水，其中桃園市、新北市（板新、林口地區）於104年4月8日起實施供水5天停水2天之第3階段限水，高雄</w:t>
      </w:r>
      <w:r w:rsidR="0048767A" w:rsidRPr="00715E34">
        <w:rPr>
          <w:rFonts w:hAnsi="標楷體" w:hint="eastAsia"/>
        </w:rPr>
        <w:t>市</w:t>
      </w:r>
      <w:r w:rsidRPr="00715E34">
        <w:rPr>
          <w:rFonts w:hAnsi="標楷體"/>
        </w:rPr>
        <w:t>則於同年5月4日起實施第3階段限水；</w:t>
      </w:r>
      <w:r w:rsidR="00265319">
        <w:rPr>
          <w:rFonts w:hAnsi="標楷體" w:hint="eastAsia"/>
        </w:rPr>
        <w:t>迨</w:t>
      </w:r>
      <w:r w:rsidRPr="00715E34">
        <w:rPr>
          <w:rFonts w:hAnsi="標楷體"/>
        </w:rPr>
        <w:t>5月梅雨季降雨量使水庫蓄水率上升，同年6月經濟部決定解除限水措施。鑑於「水」為民生、工業和農業不可或缺之重要自然資源，然政府每逢缺水旱象</w:t>
      </w:r>
      <w:r w:rsidR="000F0BAE" w:rsidRPr="00715E34">
        <w:rPr>
          <w:rFonts w:hAnsi="標楷體" w:hint="eastAsia"/>
        </w:rPr>
        <w:t>多靠</w:t>
      </w:r>
      <w:r w:rsidRPr="00715E34">
        <w:rPr>
          <w:rFonts w:hAnsi="標楷體"/>
        </w:rPr>
        <w:t>限水措施做為因應手段，除造成民眾生活不便及影響農業、工業生產外，</w:t>
      </w:r>
      <w:r w:rsidR="00344DB5" w:rsidRPr="00715E34">
        <w:rPr>
          <w:rFonts w:hAnsi="標楷體"/>
        </w:rPr>
        <w:t>亦</w:t>
      </w:r>
      <w:r w:rsidR="00344DB5" w:rsidRPr="00715E34">
        <w:rPr>
          <w:rFonts w:hAnsi="標楷體" w:hint="eastAsia"/>
        </w:rPr>
        <w:t>憂心</w:t>
      </w:r>
      <w:r w:rsidR="00344DB5" w:rsidRPr="00715E34">
        <w:rPr>
          <w:rFonts w:hAnsi="標楷體"/>
        </w:rPr>
        <w:t>缺水恐慌，本院</w:t>
      </w:r>
      <w:r w:rsidR="00344DB5" w:rsidRPr="00715E34">
        <w:rPr>
          <w:rFonts w:hAnsi="標楷體" w:hint="eastAsia"/>
        </w:rPr>
        <w:t>為</w:t>
      </w:r>
      <w:r w:rsidR="00265319">
        <w:rPr>
          <w:rFonts w:hAnsi="標楷體" w:hint="eastAsia"/>
        </w:rPr>
        <w:t>關切</w:t>
      </w:r>
      <w:r w:rsidR="00344DB5" w:rsidRPr="00715E34">
        <w:rPr>
          <w:rFonts w:hAnsi="標楷體" w:hint="eastAsia"/>
        </w:rPr>
        <w:t>民眾享有「量足質優」之水資源</w:t>
      </w:r>
      <w:r w:rsidR="00344DB5" w:rsidRPr="00715E34">
        <w:rPr>
          <w:rFonts w:hAnsi="標楷體"/>
        </w:rPr>
        <w:t>，</w:t>
      </w:r>
      <w:r w:rsidRPr="00715E34">
        <w:rPr>
          <w:rFonts w:hAnsi="標楷體"/>
        </w:rPr>
        <w:t>爰</w:t>
      </w:r>
      <w:r w:rsidR="00534729" w:rsidRPr="00715E34">
        <w:rPr>
          <w:rFonts w:hAnsi="標楷體"/>
        </w:rPr>
        <w:t>立案調查</w:t>
      </w:r>
      <w:r w:rsidRPr="00715E34">
        <w:rPr>
          <w:rFonts w:hAnsi="標楷體"/>
        </w:rPr>
        <w:t>。</w:t>
      </w:r>
    </w:p>
    <w:p w:rsidR="005E641E" w:rsidRDefault="00534729" w:rsidP="00232C83">
      <w:pPr>
        <w:topLinePunct/>
        <w:ind w:left="680" w:firstLine="680"/>
        <w:rPr>
          <w:rFonts w:hAnsi="標楷體"/>
        </w:rPr>
      </w:pPr>
      <w:r w:rsidRPr="00715E34">
        <w:rPr>
          <w:rFonts w:hAnsi="標楷體" w:hint="eastAsia"/>
        </w:rPr>
        <w:t>案經本院現場履勘及調閱卷證資料，並</w:t>
      </w:r>
      <w:r w:rsidRPr="00715E34">
        <w:rPr>
          <w:rFonts w:hAnsi="標楷體"/>
        </w:rPr>
        <w:t>於104年9月4</w:t>
      </w:r>
      <w:r w:rsidR="005528C7" w:rsidRPr="00715E34">
        <w:rPr>
          <w:rFonts w:hAnsi="標楷體" w:hint="eastAsia"/>
        </w:rPr>
        <w:t>日及</w:t>
      </w:r>
      <w:r w:rsidRPr="00715E34">
        <w:rPr>
          <w:rFonts w:hAnsi="標楷體" w:hint="eastAsia"/>
        </w:rPr>
        <w:t>10</w:t>
      </w:r>
      <w:r w:rsidRPr="00715E34">
        <w:rPr>
          <w:rFonts w:hAnsi="標楷體"/>
        </w:rPr>
        <w:t>日諮詢</w:t>
      </w:r>
      <w:r w:rsidR="007A2154" w:rsidRPr="00715E34">
        <w:rPr>
          <w:rFonts w:hAnsi="標楷體"/>
        </w:rPr>
        <w:t>行政院黃前政務顧問</w:t>
      </w:r>
      <w:r w:rsidR="00A47126">
        <w:rPr>
          <w:rFonts w:hAnsi="標楷體"/>
        </w:rPr>
        <w:t>○○</w:t>
      </w:r>
      <w:r w:rsidR="007A2154" w:rsidRPr="00715E34">
        <w:rPr>
          <w:rFonts w:hAnsi="標楷體"/>
        </w:rPr>
        <w:t>、臺灣水再生協會歐陽榮譽理事長</w:t>
      </w:r>
      <w:r w:rsidR="00A47126">
        <w:rPr>
          <w:rFonts w:hAnsi="標楷體"/>
        </w:rPr>
        <w:t>○○</w:t>
      </w:r>
      <w:r w:rsidR="007A2154" w:rsidRPr="00715E34">
        <w:rPr>
          <w:rFonts w:hAnsi="標楷體"/>
        </w:rPr>
        <w:t>、中華經濟研究院梁董事長</w:t>
      </w:r>
      <w:r w:rsidR="00A47126">
        <w:rPr>
          <w:rFonts w:hAnsi="標楷體"/>
        </w:rPr>
        <w:t>○○</w:t>
      </w:r>
      <w:r w:rsidR="007A2154" w:rsidRPr="00715E34">
        <w:rPr>
          <w:rFonts w:hAnsi="標楷體"/>
        </w:rPr>
        <w:t>、台灣經濟研究院洪前院長</w:t>
      </w:r>
      <w:r w:rsidR="00A47126">
        <w:rPr>
          <w:rFonts w:hAnsi="標楷體"/>
        </w:rPr>
        <w:t>○○</w:t>
      </w:r>
      <w:r w:rsidR="007A2154" w:rsidRPr="00715E34">
        <w:rPr>
          <w:rFonts w:hAnsi="標楷體"/>
        </w:rPr>
        <w:t>、國立臺灣大學生</w:t>
      </w:r>
      <w:r w:rsidR="007A2154" w:rsidRPr="00715E34">
        <w:rPr>
          <w:rFonts w:hAnsi="標楷體"/>
        </w:rPr>
        <w:lastRenderedPageBreak/>
        <w:t>物環境系統工程學系黃教授</w:t>
      </w:r>
      <w:r w:rsidR="00A47126">
        <w:rPr>
          <w:rFonts w:hAnsi="標楷體"/>
        </w:rPr>
        <w:t>○○</w:t>
      </w:r>
      <w:r w:rsidR="007A2154" w:rsidRPr="00715E34">
        <w:rPr>
          <w:rFonts w:hAnsi="標楷體" w:hint="eastAsia"/>
        </w:rPr>
        <w:t>、</w:t>
      </w:r>
      <w:r w:rsidR="00897822" w:rsidRPr="00715E34">
        <w:rPr>
          <w:rFonts w:hAnsi="標楷體"/>
        </w:rPr>
        <w:t>財團法人環境與發展基金會陳副總經理</w:t>
      </w:r>
      <w:r w:rsidR="00A47126">
        <w:rPr>
          <w:rFonts w:hAnsi="標楷體"/>
        </w:rPr>
        <w:t>○○</w:t>
      </w:r>
      <w:r w:rsidR="007A2154" w:rsidRPr="00715E34">
        <w:rPr>
          <w:rFonts w:hAnsi="標楷體"/>
        </w:rPr>
        <w:t>等專家學者</w:t>
      </w:r>
      <w:r w:rsidRPr="00715E34">
        <w:rPr>
          <w:rFonts w:hAnsi="標楷體"/>
        </w:rPr>
        <w:t>；復於104年10月19日詢問經濟部楊次長</w:t>
      </w:r>
      <w:r w:rsidR="00A47126">
        <w:rPr>
          <w:rFonts w:hAnsi="標楷體"/>
        </w:rPr>
        <w:t>○○</w:t>
      </w:r>
      <w:r w:rsidR="0026789C" w:rsidRPr="00715E34">
        <w:rPr>
          <w:rFonts w:hAnsi="標楷體" w:hint="eastAsia"/>
        </w:rPr>
        <w:t>、</w:t>
      </w:r>
      <w:r w:rsidR="0026789C" w:rsidRPr="00715E34">
        <w:rPr>
          <w:rFonts w:hAnsi="標楷體"/>
        </w:rPr>
        <w:t>經濟部水利署（下稱水利署）曹副署長</w:t>
      </w:r>
      <w:r w:rsidR="00A47126">
        <w:rPr>
          <w:rFonts w:hAnsi="標楷體"/>
        </w:rPr>
        <w:t>○○</w:t>
      </w:r>
      <w:r w:rsidRPr="00715E34">
        <w:rPr>
          <w:rFonts w:hAnsi="標楷體"/>
        </w:rPr>
        <w:t>、</w:t>
      </w:r>
      <w:r w:rsidR="0026789C" w:rsidRPr="00715E34">
        <w:rPr>
          <w:rFonts w:hAnsi="標楷體"/>
        </w:rPr>
        <w:t>行政院農業委員會</w:t>
      </w:r>
      <w:r w:rsidR="0026789C" w:rsidRPr="00715E34">
        <w:rPr>
          <w:rFonts w:hAnsi="標楷體" w:hint="eastAsia"/>
        </w:rPr>
        <w:t>（</w:t>
      </w:r>
      <w:r w:rsidR="0026789C" w:rsidRPr="00715E34">
        <w:rPr>
          <w:rFonts w:hAnsi="標楷體"/>
        </w:rPr>
        <w:t>下稱農委會</w:t>
      </w:r>
      <w:r w:rsidR="0026789C" w:rsidRPr="00715E34">
        <w:rPr>
          <w:rFonts w:hAnsi="標楷體" w:hint="eastAsia"/>
        </w:rPr>
        <w:t>）</w:t>
      </w:r>
      <w:r w:rsidRPr="00715E34">
        <w:rPr>
          <w:rFonts w:hAnsi="標楷體"/>
        </w:rPr>
        <w:t>陳</w:t>
      </w:r>
      <w:r w:rsidRPr="00715E34">
        <w:rPr>
          <w:rFonts w:hAnsi="標楷體" w:hint="eastAsia"/>
        </w:rPr>
        <w:t>前</w:t>
      </w:r>
      <w:r w:rsidRPr="00715E34">
        <w:rPr>
          <w:rFonts w:hAnsi="標楷體"/>
        </w:rPr>
        <w:t>副主</w:t>
      </w:r>
      <w:r w:rsidR="006F080C" w:rsidRPr="00715E34">
        <w:rPr>
          <w:rFonts w:hAnsi="標楷體" w:hint="eastAsia"/>
        </w:rPr>
        <w:t>任</w:t>
      </w:r>
      <w:r w:rsidRPr="00715E34">
        <w:rPr>
          <w:rFonts w:hAnsi="標楷體"/>
        </w:rPr>
        <w:t>委</w:t>
      </w:r>
      <w:r w:rsidR="006F080C" w:rsidRPr="00715E34">
        <w:rPr>
          <w:rFonts w:hAnsi="標楷體" w:hint="eastAsia"/>
        </w:rPr>
        <w:t>員</w:t>
      </w:r>
      <w:r w:rsidR="00A47126">
        <w:rPr>
          <w:rFonts w:hAnsi="標楷體"/>
        </w:rPr>
        <w:t>○○</w:t>
      </w:r>
      <w:r w:rsidRPr="00715E34">
        <w:rPr>
          <w:rFonts w:hAnsi="標楷體" w:hint="eastAsia"/>
        </w:rPr>
        <w:t>及所屬</w:t>
      </w:r>
      <w:r w:rsidRPr="00715E34">
        <w:rPr>
          <w:rFonts w:hAnsi="標楷體"/>
        </w:rPr>
        <w:t>農田水利處張處長</w:t>
      </w:r>
      <w:r w:rsidR="00A47126">
        <w:rPr>
          <w:rFonts w:hAnsi="標楷體"/>
        </w:rPr>
        <w:t>○○</w:t>
      </w:r>
      <w:r w:rsidRPr="00715E34">
        <w:rPr>
          <w:rFonts w:hAnsi="標楷體"/>
        </w:rPr>
        <w:t>、</w:t>
      </w:r>
      <w:r w:rsidR="0026789C" w:rsidRPr="00715E34">
        <w:rPr>
          <w:rFonts w:hAnsi="標楷體"/>
        </w:rPr>
        <w:t>台灣自來水公司（下稱台水公司）</w:t>
      </w:r>
      <w:r w:rsidRPr="00715E34">
        <w:rPr>
          <w:rFonts w:hAnsi="標楷體"/>
        </w:rPr>
        <w:t>林副總經理</w:t>
      </w:r>
      <w:r w:rsidR="00A47126">
        <w:rPr>
          <w:rFonts w:hAnsi="標楷體"/>
        </w:rPr>
        <w:t>○</w:t>
      </w:r>
      <w:r w:rsidR="00EC69FA" w:rsidRPr="00715E34">
        <w:rPr>
          <w:rFonts w:hAnsi="標楷體" w:hint="eastAsia"/>
        </w:rPr>
        <w:t>、</w:t>
      </w:r>
      <w:r w:rsidR="00EC69FA" w:rsidRPr="00715E34">
        <w:rPr>
          <w:rFonts w:hAnsi="標楷體"/>
        </w:rPr>
        <w:t>臺北自來水事業處（下稱北水處）陳副處長</w:t>
      </w:r>
      <w:r w:rsidR="00A47126">
        <w:rPr>
          <w:rFonts w:hAnsi="標楷體"/>
        </w:rPr>
        <w:t>○○</w:t>
      </w:r>
      <w:r w:rsidRPr="00715E34">
        <w:rPr>
          <w:rFonts w:hAnsi="標楷體" w:hint="eastAsia"/>
        </w:rPr>
        <w:t>等機關人員，</w:t>
      </w:r>
      <w:r w:rsidR="00641F8A" w:rsidRPr="00715E34">
        <w:rPr>
          <w:rFonts w:hAnsi="標楷體" w:hint="eastAsia"/>
        </w:rPr>
        <w:t>鑑於</w:t>
      </w:r>
      <w:r w:rsidR="00720E64" w:rsidRPr="00715E34">
        <w:rPr>
          <w:rFonts w:hAnsi="標楷體" w:hint="eastAsia"/>
        </w:rPr>
        <w:t>本</w:t>
      </w:r>
      <w:r w:rsidR="00641F8A" w:rsidRPr="00715E34">
        <w:rPr>
          <w:rFonts w:hAnsi="標楷體" w:hint="eastAsia"/>
        </w:rPr>
        <w:t>案</w:t>
      </w:r>
      <w:r w:rsidR="00720E64" w:rsidRPr="00715E34">
        <w:rPr>
          <w:rFonts w:hAnsi="標楷體" w:hint="eastAsia"/>
        </w:rPr>
        <w:t>所</w:t>
      </w:r>
      <w:r w:rsidRPr="00715E34">
        <w:rPr>
          <w:rFonts w:hAnsi="標楷體" w:hint="eastAsia"/>
        </w:rPr>
        <w:t>涉層面</w:t>
      </w:r>
      <w:r w:rsidR="00641F8A" w:rsidRPr="00715E34">
        <w:rPr>
          <w:rFonts w:hAnsi="標楷體" w:hint="eastAsia"/>
        </w:rPr>
        <w:t>甚</w:t>
      </w:r>
      <w:r w:rsidRPr="00715E34">
        <w:rPr>
          <w:rFonts w:hAnsi="標楷體" w:hint="eastAsia"/>
        </w:rPr>
        <w:t>廣，</w:t>
      </w:r>
      <w:r w:rsidR="00641F8A" w:rsidRPr="00715E34">
        <w:rPr>
          <w:rFonts w:hAnsi="標楷體" w:hint="eastAsia"/>
        </w:rPr>
        <w:t>且調閱研析卷證浩繁，</w:t>
      </w:r>
      <w:r w:rsidRPr="00715E34">
        <w:rPr>
          <w:rFonts w:hAnsi="標楷體" w:hint="eastAsia"/>
        </w:rPr>
        <w:t>為期調查報告深入周詳</w:t>
      </w:r>
      <w:r w:rsidR="00641F8A" w:rsidRPr="00715E34">
        <w:rPr>
          <w:rFonts w:hAnsi="標楷體" w:hint="eastAsia"/>
        </w:rPr>
        <w:t>並掌握時效</w:t>
      </w:r>
      <w:r w:rsidRPr="00715E34">
        <w:rPr>
          <w:rFonts w:hAnsi="標楷體" w:hint="eastAsia"/>
        </w:rPr>
        <w:t>，爰就「</w:t>
      </w:r>
      <w:r w:rsidR="00641F8A" w:rsidRPr="00715E34">
        <w:rPr>
          <w:rFonts w:hAnsi="標楷體"/>
        </w:rPr>
        <w:t>地面水、地下水及海水等水資源之多元開發</w:t>
      </w:r>
      <w:r w:rsidRPr="00715E34">
        <w:rPr>
          <w:rFonts w:hAnsi="標楷體" w:hint="eastAsia"/>
        </w:rPr>
        <w:t>」、「</w:t>
      </w:r>
      <w:r w:rsidR="00641F8A" w:rsidRPr="00715E34">
        <w:rPr>
          <w:rFonts w:hAnsi="標楷體"/>
          <w:noProof/>
        </w:rPr>
        <w:t>水資源之合理分配及整合調度</w:t>
      </w:r>
      <w:r w:rsidRPr="00715E34">
        <w:rPr>
          <w:rFonts w:hAnsi="標楷體" w:hint="eastAsia"/>
        </w:rPr>
        <w:t>」、「</w:t>
      </w:r>
      <w:r w:rsidR="00641F8A" w:rsidRPr="00715E34">
        <w:rPr>
          <w:rFonts w:hAnsi="標楷體"/>
        </w:rPr>
        <w:t>節水措施、</w:t>
      </w:r>
      <w:r w:rsidR="00641F8A" w:rsidRPr="00715E34">
        <w:rPr>
          <w:rFonts w:hAnsi="標楷體" w:hint="eastAsia"/>
          <w:lang w:eastAsia="zh-HK"/>
        </w:rPr>
        <w:t>漏水率防治</w:t>
      </w:r>
      <w:r w:rsidR="00641F8A" w:rsidRPr="00715E34">
        <w:rPr>
          <w:rFonts w:hAnsi="標楷體"/>
        </w:rPr>
        <w:t>、水價合理化、高耗水產業管理、水利科技與產業發展等水資源之管理運用</w:t>
      </w:r>
      <w:r w:rsidRPr="00715E34">
        <w:rPr>
          <w:rFonts w:hAnsi="標楷體" w:hint="eastAsia"/>
        </w:rPr>
        <w:t>」</w:t>
      </w:r>
      <w:r w:rsidR="00641F8A" w:rsidRPr="00715E34">
        <w:rPr>
          <w:rFonts w:hAnsi="標楷體" w:hint="eastAsia"/>
        </w:rPr>
        <w:t>、「</w:t>
      </w:r>
      <w:r w:rsidR="00641F8A" w:rsidRPr="00715E34">
        <w:rPr>
          <w:rFonts w:hAnsi="標楷體"/>
        </w:rPr>
        <w:t>集水區之山坡地及林地保育治理等水土保持工作</w:t>
      </w:r>
      <w:r w:rsidR="00641F8A" w:rsidRPr="00715E34">
        <w:rPr>
          <w:rFonts w:hAnsi="標楷體" w:hint="eastAsia"/>
        </w:rPr>
        <w:t>」等要旨，分</w:t>
      </w:r>
      <w:r w:rsidRPr="00715E34">
        <w:rPr>
          <w:rFonts w:hAnsi="標楷體" w:hint="eastAsia"/>
        </w:rPr>
        <w:t>案</w:t>
      </w:r>
      <w:r w:rsidR="00B42A1C" w:rsidRPr="00715E34">
        <w:rPr>
          <w:rFonts w:hAnsi="標楷體" w:hint="eastAsia"/>
        </w:rPr>
        <w:t>深入</w:t>
      </w:r>
      <w:r w:rsidRPr="00715E34">
        <w:rPr>
          <w:rFonts w:hAnsi="標楷體" w:hint="eastAsia"/>
        </w:rPr>
        <w:t>調查</w:t>
      </w:r>
      <w:r w:rsidR="0068022D" w:rsidRPr="00715E34">
        <w:rPr>
          <w:rFonts w:hAnsi="標楷體" w:hint="eastAsia"/>
        </w:rPr>
        <w:t>（詳後附架構圖）</w:t>
      </w:r>
      <w:r w:rsidR="00F92474" w:rsidRPr="00715E34">
        <w:rPr>
          <w:rFonts w:hAnsi="標楷體" w:hint="eastAsia"/>
        </w:rPr>
        <w:t>；各該分案業已調查竣事，並於105年6月8日及7月6日</w:t>
      </w:r>
      <w:r w:rsidR="00EE3909" w:rsidRPr="00715E34">
        <w:rPr>
          <w:rFonts w:hAnsi="標楷體" w:hint="eastAsia"/>
        </w:rPr>
        <w:t>先後</w:t>
      </w:r>
      <w:r w:rsidR="00F92474" w:rsidRPr="00715E34">
        <w:rPr>
          <w:rFonts w:hAnsi="標楷體" w:hint="eastAsia"/>
        </w:rPr>
        <w:t>提請本院財政及經濟委員會第5屆第27</w:t>
      </w:r>
      <w:r w:rsidR="00EE3909" w:rsidRPr="00715E34">
        <w:rPr>
          <w:rFonts w:hAnsi="標楷體" w:hint="eastAsia"/>
        </w:rPr>
        <w:t>、</w:t>
      </w:r>
      <w:r w:rsidR="00F92474" w:rsidRPr="00715E34">
        <w:rPr>
          <w:rFonts w:hAnsi="標楷體" w:hint="eastAsia"/>
        </w:rPr>
        <w:t>28次會議審查決議「併入總案處理」</w:t>
      </w:r>
      <w:r w:rsidR="00EE3909" w:rsidRPr="00715E34">
        <w:rPr>
          <w:rFonts w:hAnsi="標楷體" w:hint="eastAsia"/>
        </w:rPr>
        <w:t>在案</w:t>
      </w:r>
      <w:r w:rsidRPr="00715E34">
        <w:rPr>
          <w:rFonts w:hAnsi="標楷體" w:hint="eastAsia"/>
        </w:rPr>
        <w:t>。</w:t>
      </w:r>
    </w:p>
    <w:p w:rsidR="00F60B21" w:rsidRDefault="005A611E" w:rsidP="00232C83">
      <w:pPr>
        <w:topLinePunct/>
        <w:ind w:left="680" w:firstLine="680"/>
        <w:rPr>
          <w:rFonts w:hAnsi="標楷體"/>
        </w:rPr>
      </w:pPr>
      <w:r>
        <w:rPr>
          <w:rFonts w:hAnsi="標楷體" w:hint="eastAsia"/>
        </w:rPr>
        <w:t>另本案調查期間，</w:t>
      </w:r>
      <w:r w:rsidR="00F60B21">
        <w:rPr>
          <w:rFonts w:hAnsi="標楷體" w:hint="eastAsia"/>
        </w:rPr>
        <w:t>相關權責機關</w:t>
      </w:r>
      <w:r>
        <w:rPr>
          <w:rFonts w:hAnsi="標楷體" w:hint="eastAsia"/>
        </w:rPr>
        <w:t>在輿情期許及本院督促下，雖</w:t>
      </w:r>
      <w:r w:rsidR="00F60B21">
        <w:rPr>
          <w:rFonts w:hAnsi="標楷體" w:hint="eastAsia"/>
        </w:rPr>
        <w:t>已完成或著手</w:t>
      </w:r>
      <w:r w:rsidR="0053718D">
        <w:rPr>
          <w:rFonts w:hAnsi="標楷體" w:hint="eastAsia"/>
        </w:rPr>
        <w:t>進行</w:t>
      </w:r>
      <w:r w:rsidR="00F60B21">
        <w:rPr>
          <w:rFonts w:hAnsi="標楷體" w:hint="eastAsia"/>
        </w:rPr>
        <w:t>部分因應</w:t>
      </w:r>
      <w:r w:rsidR="00A404A2">
        <w:rPr>
          <w:rFonts w:hAnsi="標楷體" w:hint="eastAsia"/>
        </w:rPr>
        <w:t>改善</w:t>
      </w:r>
      <w:r w:rsidR="0053718D">
        <w:rPr>
          <w:rFonts w:hAnsi="標楷體" w:hint="eastAsia"/>
        </w:rPr>
        <w:t>措施</w:t>
      </w:r>
      <w:r w:rsidR="00F60B21">
        <w:rPr>
          <w:rStyle w:val="aff2"/>
          <w:rFonts w:hAnsi="標楷體"/>
        </w:rPr>
        <w:footnoteReference w:id="1"/>
      </w:r>
      <w:r w:rsidR="0053718D">
        <w:rPr>
          <w:rFonts w:hAnsi="標楷體" w:hint="eastAsia"/>
        </w:rPr>
        <w:t>，</w:t>
      </w:r>
      <w:r w:rsidR="00B654F5">
        <w:rPr>
          <w:rFonts w:hAnsi="標楷體" w:hint="eastAsia"/>
        </w:rPr>
        <w:t>然後續</w:t>
      </w:r>
      <w:r w:rsidR="00DC1BA7">
        <w:rPr>
          <w:rFonts w:hAnsi="標楷體" w:hint="eastAsia"/>
        </w:rPr>
        <w:t>亟待</w:t>
      </w:r>
      <w:r w:rsidR="00A404A2">
        <w:rPr>
          <w:rFonts w:hAnsi="標楷體" w:hint="eastAsia"/>
        </w:rPr>
        <w:t>檢討策進之</w:t>
      </w:r>
      <w:r w:rsidR="00B654F5">
        <w:rPr>
          <w:rFonts w:hAnsi="標楷體" w:hint="eastAsia"/>
        </w:rPr>
        <w:t>處</w:t>
      </w:r>
      <w:r w:rsidR="00A404A2">
        <w:rPr>
          <w:rFonts w:hAnsi="標楷體" w:hint="eastAsia"/>
        </w:rPr>
        <w:t>猶多</w:t>
      </w:r>
      <w:r w:rsidR="00B654F5">
        <w:rPr>
          <w:rFonts w:hAnsi="標楷體" w:hint="eastAsia"/>
        </w:rPr>
        <w:t>。</w:t>
      </w:r>
      <w:r w:rsidR="00A404A2" w:rsidRPr="00715E34">
        <w:rPr>
          <w:rFonts w:hAnsi="標楷體" w:hint="eastAsia"/>
        </w:rPr>
        <w:t>茲就前開分案調查所發現之具體缺失，分由策略面、法令面、執行面及考核面等層面，歸納</w:t>
      </w:r>
      <w:r w:rsidR="00A404A2">
        <w:rPr>
          <w:rFonts w:hAnsi="標楷體" w:hint="eastAsia"/>
        </w:rPr>
        <w:t>臚列</w:t>
      </w:r>
      <w:r w:rsidR="00A404A2" w:rsidRPr="00715E34">
        <w:rPr>
          <w:rFonts w:hAnsi="標楷體" w:hint="eastAsia"/>
        </w:rPr>
        <w:t>調查意見如下：</w:t>
      </w:r>
    </w:p>
    <w:p w:rsidR="00140A2F" w:rsidRPr="003D48C0" w:rsidRDefault="009D065A" w:rsidP="00265319">
      <w:pPr>
        <w:pStyle w:val="afffff9"/>
        <w:numPr>
          <w:ilvl w:val="0"/>
          <w:numId w:val="0"/>
        </w:numPr>
        <w:topLinePunct/>
        <w:ind w:leftChars="25" w:left="85"/>
        <w:rPr>
          <w:b/>
          <w:i/>
        </w:rPr>
      </w:pPr>
      <w:bookmarkStart w:id="58" w:name="_Toc458000618"/>
      <w:r w:rsidRPr="003D48C0">
        <w:rPr>
          <w:rFonts w:hint="eastAsia"/>
          <w:b/>
          <w:i/>
        </w:rPr>
        <w:t>《</w:t>
      </w:r>
      <w:r w:rsidR="00140A2F" w:rsidRPr="003D48C0">
        <w:rPr>
          <w:rFonts w:hint="eastAsia"/>
          <w:b/>
          <w:i/>
        </w:rPr>
        <w:t>策略面</w:t>
      </w:r>
      <w:r w:rsidRPr="003D48C0">
        <w:rPr>
          <w:rFonts w:hint="eastAsia"/>
          <w:b/>
          <w:i/>
        </w:rPr>
        <w:t>》</w:t>
      </w:r>
      <w:bookmarkEnd w:id="58"/>
    </w:p>
    <w:p w:rsidR="00F07745" w:rsidRPr="00C30C6A" w:rsidRDefault="00B32CFD" w:rsidP="00F07745">
      <w:pPr>
        <w:topLinePunct/>
        <w:ind w:left="680" w:firstLine="680"/>
        <w:rPr>
          <w:rFonts w:hAnsi="標楷體"/>
          <w:i/>
          <w:sz w:val="30"/>
          <w:szCs w:val="30"/>
        </w:rPr>
      </w:pPr>
      <w:r w:rsidRPr="00C30C6A">
        <w:rPr>
          <w:rFonts w:hint="eastAsia"/>
          <w:i/>
          <w:sz w:val="30"/>
          <w:szCs w:val="30"/>
        </w:rPr>
        <w:t>經濟部歷來</w:t>
      </w:r>
      <w:r w:rsidR="00EF1C46">
        <w:rPr>
          <w:rFonts w:hint="eastAsia"/>
          <w:i/>
          <w:sz w:val="30"/>
          <w:szCs w:val="30"/>
        </w:rPr>
        <w:t>研定</w:t>
      </w:r>
      <w:r w:rsidRPr="00C30C6A">
        <w:rPr>
          <w:rFonts w:hint="eastAsia"/>
          <w:i/>
          <w:sz w:val="30"/>
          <w:szCs w:val="30"/>
        </w:rPr>
        <w:t>水資源政策綱領或區域水資源經理基本計畫，</w:t>
      </w:r>
      <w:r w:rsidR="00055B92" w:rsidRPr="00C30C6A">
        <w:rPr>
          <w:rFonts w:hint="eastAsia"/>
          <w:i/>
          <w:sz w:val="30"/>
          <w:szCs w:val="30"/>
        </w:rPr>
        <w:t>缺乏</w:t>
      </w:r>
      <w:r w:rsidRPr="00C30C6A">
        <w:rPr>
          <w:rFonts w:hint="eastAsia"/>
          <w:i/>
          <w:sz w:val="30"/>
          <w:szCs w:val="30"/>
        </w:rPr>
        <w:t>具體實施內容及執行期程，對於新興水源之開</w:t>
      </w:r>
      <w:r w:rsidRPr="00C30C6A">
        <w:rPr>
          <w:rFonts w:hint="eastAsia"/>
          <w:i/>
          <w:sz w:val="30"/>
          <w:szCs w:val="30"/>
        </w:rPr>
        <w:lastRenderedPageBreak/>
        <w:t>發研究，規劃多年仍無顯著成效，</w:t>
      </w:r>
      <w:r w:rsidR="00055B92" w:rsidRPr="00C30C6A">
        <w:rPr>
          <w:rFonts w:hint="eastAsia"/>
          <w:i/>
          <w:sz w:val="30"/>
          <w:szCs w:val="30"/>
        </w:rPr>
        <w:t>且</w:t>
      </w:r>
      <w:r w:rsidRPr="00C30C6A">
        <w:rPr>
          <w:rFonts w:hint="eastAsia"/>
          <w:i/>
          <w:sz w:val="30"/>
          <w:szCs w:val="30"/>
        </w:rPr>
        <w:t>未見確切之</w:t>
      </w:r>
      <w:r w:rsidR="00A40AA3" w:rsidRPr="00C30C6A">
        <w:rPr>
          <w:rFonts w:hint="eastAsia"/>
          <w:i/>
          <w:sz w:val="30"/>
          <w:szCs w:val="30"/>
        </w:rPr>
        <w:t>分</w:t>
      </w:r>
      <w:r w:rsidRPr="00C30C6A">
        <w:rPr>
          <w:rFonts w:hint="eastAsia"/>
          <w:i/>
          <w:sz w:val="30"/>
          <w:szCs w:val="30"/>
        </w:rPr>
        <w:t>期執行目標</w:t>
      </w:r>
      <w:r w:rsidR="00A40AA3" w:rsidRPr="00C30C6A">
        <w:rPr>
          <w:rFonts w:hint="eastAsia"/>
          <w:i/>
          <w:sz w:val="30"/>
          <w:szCs w:val="30"/>
        </w:rPr>
        <w:t>與</w:t>
      </w:r>
      <w:r w:rsidRPr="00C30C6A">
        <w:rPr>
          <w:rFonts w:hint="eastAsia"/>
          <w:i/>
          <w:sz w:val="30"/>
          <w:szCs w:val="30"/>
        </w:rPr>
        <w:t>檢視機制</w:t>
      </w:r>
      <w:r w:rsidR="00A40AA3" w:rsidRPr="00C30C6A">
        <w:rPr>
          <w:rFonts w:hAnsi="標楷體" w:hint="eastAsia"/>
          <w:i/>
          <w:sz w:val="30"/>
          <w:szCs w:val="30"/>
        </w:rPr>
        <w:t>，</w:t>
      </w:r>
      <w:r w:rsidR="00A40AA3" w:rsidRPr="00C30C6A">
        <w:rPr>
          <w:rFonts w:hint="eastAsia"/>
          <w:i/>
          <w:sz w:val="30"/>
          <w:szCs w:val="30"/>
        </w:rPr>
        <w:t>確有怠失</w:t>
      </w:r>
      <w:r w:rsidR="001A209A" w:rsidRPr="00C30C6A">
        <w:rPr>
          <w:rFonts w:hAnsi="標楷體" w:hint="eastAsia"/>
          <w:i/>
          <w:sz w:val="30"/>
          <w:szCs w:val="30"/>
        </w:rPr>
        <w:t>。</w:t>
      </w:r>
      <w:r w:rsidR="000A44AE" w:rsidRPr="00C30C6A">
        <w:rPr>
          <w:rFonts w:hAnsi="標楷體" w:hint="eastAsia"/>
          <w:i/>
          <w:sz w:val="30"/>
          <w:szCs w:val="30"/>
        </w:rPr>
        <w:t>為因應</w:t>
      </w:r>
      <w:r w:rsidR="00A40AA3" w:rsidRPr="00C30C6A">
        <w:rPr>
          <w:rFonts w:hAnsi="標楷體" w:hint="eastAsia"/>
          <w:i/>
          <w:sz w:val="30"/>
          <w:szCs w:val="30"/>
        </w:rPr>
        <w:t>今後</w:t>
      </w:r>
      <w:r w:rsidR="000A44AE" w:rsidRPr="00C30C6A">
        <w:rPr>
          <w:rFonts w:hAnsi="標楷體" w:hint="eastAsia"/>
          <w:i/>
          <w:sz w:val="30"/>
          <w:szCs w:val="30"/>
        </w:rPr>
        <w:t>極端氣候</w:t>
      </w:r>
      <w:r w:rsidR="00A40AA3" w:rsidRPr="00C30C6A">
        <w:rPr>
          <w:rFonts w:hAnsi="標楷體" w:hint="eastAsia"/>
          <w:i/>
          <w:sz w:val="30"/>
          <w:szCs w:val="30"/>
        </w:rPr>
        <w:t>所</w:t>
      </w:r>
      <w:r w:rsidR="000807CD" w:rsidRPr="00C30C6A">
        <w:rPr>
          <w:rFonts w:hAnsi="標楷體" w:hint="eastAsia"/>
          <w:i/>
          <w:sz w:val="30"/>
          <w:szCs w:val="30"/>
        </w:rPr>
        <w:t>致缺水危機</w:t>
      </w:r>
      <w:r w:rsidR="000A44AE" w:rsidRPr="00C30C6A">
        <w:rPr>
          <w:rFonts w:hAnsi="標楷體" w:hint="eastAsia"/>
          <w:i/>
          <w:sz w:val="30"/>
          <w:szCs w:val="30"/>
        </w:rPr>
        <w:t>，</w:t>
      </w:r>
      <w:r w:rsidR="001A209A" w:rsidRPr="00C30C6A">
        <w:rPr>
          <w:rFonts w:hAnsi="標楷體" w:hint="eastAsia"/>
          <w:i/>
          <w:sz w:val="30"/>
          <w:szCs w:val="30"/>
        </w:rPr>
        <w:t>經濟部</w:t>
      </w:r>
      <w:r w:rsidR="00A40AA3" w:rsidRPr="00C30C6A">
        <w:rPr>
          <w:rFonts w:hAnsi="標楷體" w:hint="eastAsia"/>
          <w:i/>
          <w:sz w:val="30"/>
          <w:szCs w:val="30"/>
        </w:rPr>
        <w:t>允</w:t>
      </w:r>
      <w:r w:rsidR="001A209A" w:rsidRPr="00C30C6A">
        <w:rPr>
          <w:rFonts w:hAnsi="標楷體" w:hint="eastAsia"/>
          <w:i/>
          <w:sz w:val="30"/>
          <w:szCs w:val="30"/>
        </w:rPr>
        <w:t>應</w:t>
      </w:r>
      <w:r w:rsidR="009B7E94" w:rsidRPr="00C30C6A">
        <w:rPr>
          <w:rFonts w:hAnsi="標楷體" w:hint="eastAsia"/>
          <w:i/>
          <w:sz w:val="30"/>
          <w:szCs w:val="30"/>
        </w:rPr>
        <w:t>積極</w:t>
      </w:r>
      <w:r w:rsidR="00A40AA3" w:rsidRPr="00C30C6A">
        <w:rPr>
          <w:rFonts w:hAnsi="標楷體" w:hint="eastAsia"/>
          <w:i/>
          <w:sz w:val="30"/>
          <w:szCs w:val="30"/>
        </w:rPr>
        <w:t>研謀「開源節流」</w:t>
      </w:r>
      <w:r w:rsidR="009B7E94" w:rsidRPr="00C30C6A">
        <w:rPr>
          <w:rFonts w:hAnsi="標楷體" w:hint="eastAsia"/>
          <w:i/>
          <w:sz w:val="30"/>
          <w:szCs w:val="30"/>
        </w:rPr>
        <w:t>務實</w:t>
      </w:r>
      <w:r w:rsidR="001A209A" w:rsidRPr="00C30C6A">
        <w:rPr>
          <w:rFonts w:hAnsi="標楷體" w:hint="eastAsia"/>
          <w:i/>
          <w:sz w:val="30"/>
          <w:szCs w:val="30"/>
        </w:rPr>
        <w:t>策略</w:t>
      </w:r>
      <w:r w:rsidR="00A40AA3" w:rsidRPr="00C30C6A">
        <w:rPr>
          <w:rFonts w:hAnsi="標楷體" w:hint="eastAsia"/>
          <w:i/>
          <w:sz w:val="30"/>
          <w:szCs w:val="30"/>
        </w:rPr>
        <w:t>，</w:t>
      </w:r>
      <w:r w:rsidR="001A209A" w:rsidRPr="00C30C6A">
        <w:rPr>
          <w:rFonts w:hAnsi="標楷體" w:hint="eastAsia"/>
          <w:i/>
          <w:sz w:val="30"/>
          <w:szCs w:val="30"/>
        </w:rPr>
        <w:t>除</w:t>
      </w:r>
      <w:r w:rsidR="002A7E30" w:rsidRPr="00C30C6A">
        <w:rPr>
          <w:rFonts w:hAnsi="標楷體" w:hint="eastAsia"/>
          <w:i/>
          <w:sz w:val="30"/>
          <w:szCs w:val="30"/>
        </w:rPr>
        <w:t>應</w:t>
      </w:r>
      <w:r w:rsidR="00384566" w:rsidRPr="00C30C6A">
        <w:rPr>
          <w:rFonts w:hAnsi="標楷體" w:hint="eastAsia"/>
          <w:i/>
          <w:sz w:val="30"/>
          <w:szCs w:val="30"/>
        </w:rPr>
        <w:t>主動會商農委會等權責機關，在不影響農業灌溉用水及兼顧糧食生產安全之前提下，積極研議提升水資源整體運用之因應策略，並賡續檢討國內水利科技發展與產業結構轉型推動現況，研定具體策進作為，推動產業轉型為省水、節能、低污染、高技術與高附加價值之綠色產業外，亦應</w:t>
      </w:r>
      <w:r w:rsidR="001A209A" w:rsidRPr="00C30C6A">
        <w:rPr>
          <w:rFonts w:hAnsi="標楷體" w:hint="eastAsia"/>
          <w:i/>
          <w:sz w:val="30"/>
          <w:szCs w:val="30"/>
        </w:rPr>
        <w:t>致力於現有埤塘</w:t>
      </w:r>
      <w:r w:rsidR="00071744" w:rsidRPr="00C30C6A">
        <w:rPr>
          <w:rFonts w:hAnsi="標楷體" w:hint="eastAsia"/>
          <w:i/>
          <w:sz w:val="30"/>
          <w:szCs w:val="30"/>
        </w:rPr>
        <w:t>、</w:t>
      </w:r>
      <w:r w:rsidR="001A209A" w:rsidRPr="00C30C6A">
        <w:rPr>
          <w:rFonts w:hAnsi="標楷體" w:hint="eastAsia"/>
          <w:i/>
          <w:sz w:val="30"/>
          <w:szCs w:val="30"/>
        </w:rPr>
        <w:t>伏流水等水資源調蓄運用</w:t>
      </w:r>
      <w:r w:rsidR="00071744" w:rsidRPr="00C30C6A">
        <w:rPr>
          <w:rFonts w:hAnsi="標楷體" w:hint="eastAsia"/>
          <w:i/>
          <w:sz w:val="30"/>
          <w:szCs w:val="30"/>
        </w:rPr>
        <w:t>與</w:t>
      </w:r>
      <w:r w:rsidR="001A209A" w:rsidRPr="00C30C6A">
        <w:rPr>
          <w:rFonts w:hAnsi="標楷體" w:hint="eastAsia"/>
          <w:i/>
          <w:sz w:val="30"/>
          <w:szCs w:val="30"/>
        </w:rPr>
        <w:t>潛在能量開發</w:t>
      </w:r>
      <w:r w:rsidR="00071744" w:rsidRPr="00C30C6A">
        <w:rPr>
          <w:rFonts w:hAnsi="標楷體" w:hint="eastAsia"/>
          <w:i/>
          <w:sz w:val="30"/>
          <w:szCs w:val="30"/>
        </w:rPr>
        <w:t>，以及</w:t>
      </w:r>
      <w:r w:rsidR="001A209A" w:rsidRPr="00C30C6A">
        <w:rPr>
          <w:rFonts w:hAnsi="標楷體" w:hint="eastAsia"/>
          <w:i/>
          <w:sz w:val="30"/>
          <w:szCs w:val="30"/>
        </w:rPr>
        <w:t>靈活運用水資源跨域調度設施及機制，</w:t>
      </w:r>
      <w:r w:rsidR="00071744" w:rsidRPr="00C30C6A">
        <w:rPr>
          <w:rFonts w:hAnsi="標楷體" w:hint="eastAsia"/>
          <w:i/>
          <w:sz w:val="30"/>
          <w:szCs w:val="30"/>
        </w:rPr>
        <w:t>妥善調度既有水源</w:t>
      </w:r>
      <w:r w:rsidR="00F07745" w:rsidRPr="00C30C6A">
        <w:rPr>
          <w:rFonts w:hAnsi="標楷體" w:hint="eastAsia"/>
          <w:i/>
          <w:sz w:val="30"/>
          <w:szCs w:val="30"/>
        </w:rPr>
        <w:t>。</w:t>
      </w:r>
    </w:p>
    <w:p w:rsidR="00A15265" w:rsidRPr="00715E34" w:rsidRDefault="008A4862" w:rsidP="003D48C0">
      <w:pPr>
        <w:pStyle w:val="2"/>
        <w:topLinePunct/>
        <w:spacing w:beforeLines="25" w:before="114"/>
        <w:ind w:left="1020" w:hanging="680"/>
        <w:rPr>
          <w:rFonts w:hAnsi="標楷體"/>
          <w:b/>
        </w:rPr>
      </w:pPr>
      <w:bookmarkStart w:id="59" w:name="_Toc455922270"/>
      <w:bookmarkStart w:id="60" w:name="_Toc455922471"/>
      <w:bookmarkStart w:id="61" w:name="_Toc455922895"/>
      <w:bookmarkStart w:id="62" w:name="_Toc458000619"/>
      <w:r w:rsidRPr="00715E34">
        <w:rPr>
          <w:rFonts w:hAnsi="標楷體" w:hint="eastAsia"/>
          <w:b/>
        </w:rPr>
        <w:t>經濟部</w:t>
      </w:r>
      <w:r w:rsidRPr="00715E34">
        <w:rPr>
          <w:rFonts w:hAnsi="標楷體"/>
          <w:b/>
        </w:rPr>
        <w:t>深知國內近年受全球氣候變遷和極端氣候影響，乾旱風險增大，缺水情形日趨嚴峻，</w:t>
      </w:r>
      <w:r w:rsidRPr="00715E34">
        <w:rPr>
          <w:rFonts w:hAnsi="標楷體" w:hint="eastAsia"/>
          <w:b/>
          <w:szCs w:val="36"/>
        </w:rPr>
        <w:t>然</w:t>
      </w:r>
      <w:r w:rsidRPr="00715E34">
        <w:rPr>
          <w:rFonts w:hAnsi="標楷體"/>
          <w:b/>
          <w:szCs w:val="32"/>
        </w:rPr>
        <w:t>歷次</w:t>
      </w:r>
      <w:r w:rsidR="00EF1C46">
        <w:rPr>
          <w:rFonts w:hAnsi="標楷體"/>
          <w:b/>
          <w:szCs w:val="32"/>
        </w:rPr>
        <w:t>研定</w:t>
      </w:r>
      <w:r w:rsidRPr="00715E34">
        <w:rPr>
          <w:rFonts w:hAnsi="標楷體"/>
          <w:b/>
          <w:szCs w:val="32"/>
        </w:rPr>
        <w:t>之</w:t>
      </w:r>
      <w:r w:rsidRPr="00715E34">
        <w:rPr>
          <w:rFonts w:hAnsi="標楷體"/>
          <w:b/>
        </w:rPr>
        <w:t>相關水資源政策綱領或</w:t>
      </w:r>
      <w:r w:rsidRPr="00715E34">
        <w:rPr>
          <w:rFonts w:hAnsi="標楷體"/>
          <w:b/>
          <w:szCs w:val="32"/>
        </w:rPr>
        <w:t>區域水資源經理基本計畫</w:t>
      </w:r>
      <w:r w:rsidRPr="00715E34">
        <w:rPr>
          <w:rFonts w:hAnsi="標楷體" w:hint="eastAsia"/>
          <w:b/>
          <w:szCs w:val="32"/>
        </w:rPr>
        <w:t>，卻</w:t>
      </w:r>
      <w:r w:rsidR="00260E6E">
        <w:rPr>
          <w:rFonts w:hAnsi="標楷體" w:hint="eastAsia"/>
          <w:b/>
          <w:szCs w:val="32"/>
        </w:rPr>
        <w:t>未督促所屬研定</w:t>
      </w:r>
      <w:r w:rsidRPr="00715E34">
        <w:rPr>
          <w:rFonts w:hAnsi="標楷體"/>
          <w:b/>
          <w:szCs w:val="32"/>
        </w:rPr>
        <w:t>具體實施</w:t>
      </w:r>
      <w:r w:rsidRPr="00715E34">
        <w:rPr>
          <w:rFonts w:hAnsi="標楷體"/>
          <w:b/>
        </w:rPr>
        <w:t>計畫</w:t>
      </w:r>
      <w:r w:rsidRPr="00715E34">
        <w:rPr>
          <w:rFonts w:hAnsi="標楷體"/>
          <w:b/>
          <w:szCs w:val="32"/>
        </w:rPr>
        <w:t>內容和執行期程</w:t>
      </w:r>
      <w:r w:rsidRPr="00715E34">
        <w:rPr>
          <w:rFonts w:hAnsi="標楷體" w:hint="eastAsia"/>
          <w:b/>
          <w:szCs w:val="32"/>
        </w:rPr>
        <w:t>，</w:t>
      </w:r>
      <w:r w:rsidRPr="00715E34">
        <w:rPr>
          <w:rFonts w:hAnsi="標楷體"/>
          <w:b/>
        </w:rPr>
        <w:t>對於新興水源如海淡水、再生水之開發</w:t>
      </w:r>
      <w:r w:rsidRPr="00715E34">
        <w:rPr>
          <w:rFonts w:hAnsi="標楷體" w:hint="eastAsia"/>
          <w:b/>
        </w:rPr>
        <w:t>等研究，</w:t>
      </w:r>
      <w:r w:rsidRPr="00715E34">
        <w:rPr>
          <w:rFonts w:hAnsi="標楷體"/>
          <w:b/>
        </w:rPr>
        <w:t>規劃多年仍無顯著成效</w:t>
      </w:r>
      <w:r w:rsidRPr="00715E34">
        <w:rPr>
          <w:rFonts w:hAnsi="標楷體" w:hint="eastAsia"/>
          <w:b/>
        </w:rPr>
        <w:t>，且未見確切之短、中、長期執行目標規劃及檢視機制，足徵</w:t>
      </w:r>
      <w:bookmarkEnd w:id="59"/>
      <w:bookmarkEnd w:id="60"/>
      <w:bookmarkEnd w:id="61"/>
      <w:r w:rsidR="00113551" w:rsidRPr="004C0212">
        <w:rPr>
          <w:rFonts w:hAnsi="標楷體" w:hint="eastAsia"/>
          <w:b/>
        </w:rPr>
        <w:t>該</w:t>
      </w:r>
      <w:r w:rsidR="00113551">
        <w:rPr>
          <w:rFonts w:hAnsi="標楷體" w:hint="eastAsia"/>
          <w:b/>
        </w:rPr>
        <w:t>部</w:t>
      </w:r>
      <w:r w:rsidR="00113551" w:rsidRPr="004C0212">
        <w:rPr>
          <w:rFonts w:hAnsi="標楷體" w:hint="eastAsia"/>
          <w:b/>
        </w:rPr>
        <w:t>對於新興水源開發欠缺積極有效作為，亦</w:t>
      </w:r>
      <w:r w:rsidR="00113551" w:rsidRPr="004C0212">
        <w:rPr>
          <w:rFonts w:hAnsi="標楷體"/>
          <w:b/>
        </w:rPr>
        <w:t>未</w:t>
      </w:r>
      <w:r w:rsidR="00113551" w:rsidRPr="004C0212">
        <w:rPr>
          <w:rFonts w:hAnsi="標楷體" w:hint="eastAsia"/>
          <w:b/>
        </w:rPr>
        <w:t>善</w:t>
      </w:r>
      <w:r w:rsidR="00113551" w:rsidRPr="004C0212">
        <w:rPr>
          <w:rFonts w:hAnsi="標楷體"/>
          <w:b/>
        </w:rPr>
        <w:t>盡主管機關職責與專業能事，</w:t>
      </w:r>
      <w:r w:rsidR="00260E6E">
        <w:rPr>
          <w:rFonts w:hAnsi="標楷體" w:hint="eastAsia"/>
          <w:b/>
        </w:rPr>
        <w:t>確有怠失</w:t>
      </w:r>
      <w:bookmarkEnd w:id="62"/>
    </w:p>
    <w:p w:rsidR="00A15265" w:rsidRPr="00715E34" w:rsidRDefault="00A15265" w:rsidP="00232C83">
      <w:pPr>
        <w:pStyle w:val="3"/>
        <w:topLinePunct/>
        <w:rPr>
          <w:rFonts w:hAnsi="標楷體"/>
        </w:rPr>
      </w:pPr>
      <w:r w:rsidRPr="00715E34">
        <w:rPr>
          <w:rFonts w:hAnsi="標楷體" w:hint="eastAsia"/>
        </w:rPr>
        <w:t>查</w:t>
      </w:r>
      <w:r w:rsidRPr="00715E34">
        <w:rPr>
          <w:rFonts w:hAnsi="標楷體"/>
        </w:rPr>
        <w:t>行政院</w:t>
      </w:r>
      <w:r w:rsidRPr="00715E34">
        <w:rPr>
          <w:rFonts w:hAnsi="標楷體" w:hint="eastAsia"/>
        </w:rPr>
        <w:t>前於</w:t>
      </w:r>
      <w:r w:rsidRPr="00715E34">
        <w:rPr>
          <w:rFonts w:hAnsi="標楷體"/>
        </w:rPr>
        <w:t>95年1月</w:t>
      </w:r>
      <w:r w:rsidRPr="00715E34">
        <w:rPr>
          <w:rFonts w:hAnsi="標楷體" w:hint="eastAsia"/>
        </w:rPr>
        <w:t>間</w:t>
      </w:r>
      <w:r w:rsidRPr="00715E34">
        <w:rPr>
          <w:rFonts w:hAnsi="標楷體"/>
        </w:rPr>
        <w:t>核定「新世紀水資源政策綱領」</w:t>
      </w:r>
      <w:r w:rsidRPr="00715E34">
        <w:rPr>
          <w:rFonts w:hAnsi="標楷體" w:hint="eastAsia"/>
        </w:rPr>
        <w:t>（95年1月19日院臺經字第0950080786號函），水利署依據該政策綱領所</w:t>
      </w:r>
      <w:r w:rsidRPr="00715E34">
        <w:rPr>
          <w:rFonts w:hAnsi="標楷體"/>
        </w:rPr>
        <w:t>揭櫫之「合理有效使用水量，確保水源穩定供應」政策方向</w:t>
      </w:r>
      <w:r w:rsidRPr="00715E34">
        <w:rPr>
          <w:rFonts w:hAnsi="標楷體" w:hint="eastAsia"/>
        </w:rPr>
        <w:t>，</w:t>
      </w:r>
      <w:r w:rsidRPr="00715E34">
        <w:rPr>
          <w:rFonts w:hAnsi="標楷體"/>
        </w:rPr>
        <w:t>並考量全球氣候變遷、各地區用水需求與降低缺水風險等因素，於98年、100年先後提報「臺灣北部區域水資源經理基本計畫」及「臺灣南部區域水資源經理基本計畫」，經行政院核定後作為水資源個案與關聯計畫之上位指導計畫；其中水資源經理措施，包括節約用水、有效管理、彈性調度及多元開發（含傳統水</w:t>
      </w:r>
      <w:r w:rsidRPr="00715E34">
        <w:rPr>
          <w:rFonts w:hAnsi="標楷體"/>
        </w:rPr>
        <w:lastRenderedPageBreak/>
        <w:t>源〔地面水、地下水〕及新興水源〔海淡水、再生水〕）等4項。</w:t>
      </w:r>
      <w:r w:rsidRPr="00715E34">
        <w:rPr>
          <w:rFonts w:hAnsi="標楷體" w:hint="eastAsia"/>
        </w:rPr>
        <w:t>然</w:t>
      </w:r>
      <w:r w:rsidRPr="00715E34">
        <w:rPr>
          <w:rFonts w:hAnsi="標楷體"/>
        </w:rPr>
        <w:t>據水利署網站介紹，區域水資源經理基本計畫內容屬政策類計畫，因非屬個案計畫，故未編列預算；「</w:t>
      </w:r>
      <w:r w:rsidRPr="00715E34">
        <w:rPr>
          <w:rFonts w:hAnsi="標楷體"/>
          <w:szCs w:val="32"/>
        </w:rPr>
        <w:t>臺灣南部區域水資源經理基本計畫」亦載有</w:t>
      </w:r>
      <w:r w:rsidRPr="00715E34">
        <w:rPr>
          <w:rFonts w:hAnsi="標楷體"/>
          <w:szCs w:val="28"/>
        </w:rPr>
        <w:t>，水資源</w:t>
      </w:r>
      <w:r w:rsidRPr="00715E34">
        <w:rPr>
          <w:rFonts w:hAnsi="標楷體"/>
          <w:szCs w:val="32"/>
        </w:rPr>
        <w:t>多元開發之中長程個案計畫部分尚屬構想、初步規劃或可行性規劃階段，尚未研提計畫，需經評估個案計畫可行性及實際用水需求，再提報行政院核定後據以執行。而中長程應落實水源開發多元化、增建</w:t>
      </w:r>
      <w:r w:rsidR="00751F40" w:rsidRPr="00715E34">
        <w:rPr>
          <w:rFonts w:hAnsi="標楷體"/>
        </w:rPr>
        <w:t>海水淡化廠</w:t>
      </w:r>
      <w:r w:rsidR="00751F40" w:rsidRPr="00715E34">
        <w:rPr>
          <w:rFonts w:hAnsi="標楷體"/>
          <w:kern w:val="0"/>
          <w:szCs w:val="32"/>
        </w:rPr>
        <w:t>（下稱海淡廠）</w:t>
      </w:r>
      <w:r w:rsidRPr="00715E34">
        <w:rPr>
          <w:rFonts w:hAnsi="標楷體"/>
          <w:szCs w:val="32"/>
        </w:rPr>
        <w:t>及增加地區自有水源供水比例，以滿足未來各區域常態供水、枯旱期及緊急狀況所需水源</w:t>
      </w:r>
      <w:r w:rsidRPr="00715E34">
        <w:rPr>
          <w:rFonts w:hAnsi="標楷體" w:hint="eastAsia"/>
          <w:szCs w:val="32"/>
        </w:rPr>
        <w:t>等</w:t>
      </w:r>
      <w:r w:rsidRPr="00715E34">
        <w:rPr>
          <w:rFonts w:hAnsi="標楷體"/>
          <w:szCs w:val="32"/>
        </w:rPr>
        <w:t>。</w:t>
      </w:r>
    </w:p>
    <w:p w:rsidR="00A15265" w:rsidRPr="00715E34" w:rsidRDefault="00A15265" w:rsidP="00232C83">
      <w:pPr>
        <w:pStyle w:val="3"/>
        <w:topLinePunct/>
        <w:rPr>
          <w:rFonts w:hAnsi="標楷體"/>
        </w:rPr>
      </w:pPr>
      <w:r w:rsidRPr="00715E34">
        <w:rPr>
          <w:rFonts w:hAnsi="標楷體"/>
          <w:szCs w:val="32"/>
        </w:rPr>
        <w:t>據</w:t>
      </w:r>
      <w:r w:rsidRPr="00715E34">
        <w:rPr>
          <w:rFonts w:hAnsi="標楷體" w:hint="eastAsia"/>
          <w:szCs w:val="32"/>
        </w:rPr>
        <w:t>水利署於</w:t>
      </w:r>
      <w:r w:rsidRPr="00715E34">
        <w:rPr>
          <w:rFonts w:hAnsi="標楷體"/>
          <w:szCs w:val="32"/>
        </w:rPr>
        <w:t>97</w:t>
      </w:r>
      <w:r w:rsidRPr="00715E34">
        <w:rPr>
          <w:rFonts w:hAnsi="標楷體" w:hint="eastAsia"/>
          <w:szCs w:val="32"/>
        </w:rPr>
        <w:t>年</w:t>
      </w:r>
      <w:r w:rsidRPr="00715E34">
        <w:rPr>
          <w:rFonts w:hAnsi="標楷體"/>
          <w:szCs w:val="32"/>
        </w:rPr>
        <w:t>1</w:t>
      </w:r>
      <w:r w:rsidRPr="00715E34">
        <w:rPr>
          <w:rFonts w:hAnsi="標楷體" w:hint="eastAsia"/>
          <w:szCs w:val="32"/>
        </w:rPr>
        <w:t>月</w:t>
      </w:r>
      <w:r w:rsidRPr="00715E34">
        <w:rPr>
          <w:rFonts w:hAnsi="標楷體"/>
          <w:szCs w:val="32"/>
        </w:rPr>
        <w:t>15</w:t>
      </w:r>
      <w:r w:rsidRPr="00715E34">
        <w:rPr>
          <w:rFonts w:hAnsi="標楷體" w:hint="eastAsia"/>
          <w:szCs w:val="32"/>
        </w:rPr>
        <w:t>日假石門水庫管理中心召開之「臺灣北部區域水資源經理綜合研討會」會議紀錄所載，該次會議中出席之</w:t>
      </w:r>
      <w:r w:rsidRPr="00715E34">
        <w:rPr>
          <w:rFonts w:hAnsi="標楷體"/>
        </w:rPr>
        <w:t>吳諮詢委員憲雄指出：「基本計畫中包括有所謂新興水源之開發計畫，如再生迴歸利用、海淡與平地水庫等，該類計畫談論並已耗費鉅資規劃研究，但迄今尚未見實施，建議不僅坐而談，也應該起而行，經研究可行的，早日付諸執行</w:t>
      </w:r>
      <w:r w:rsidR="006510B4" w:rsidRPr="00715E34">
        <w:rPr>
          <w:rFonts w:hAnsi="標楷體" w:hint="eastAsia"/>
        </w:rPr>
        <w:t>。</w:t>
      </w:r>
      <w:r w:rsidRPr="00715E34">
        <w:rPr>
          <w:rFonts w:hAnsi="標楷體"/>
        </w:rPr>
        <w:t>」</w:t>
      </w:r>
      <w:r w:rsidRPr="00715E34">
        <w:rPr>
          <w:rFonts w:hAnsi="標楷體" w:hint="eastAsia"/>
        </w:rPr>
        <w:t>而</w:t>
      </w:r>
      <w:r w:rsidRPr="00715E34">
        <w:rPr>
          <w:rFonts w:hAnsi="標楷體"/>
        </w:rPr>
        <w:t>水利署鑑於前揭95年「新世紀水資源政策綱領」並未配合研擬實施計畫及具體量化目標，未能落實於施政佈局及績效展現，又為因應氣候變</w:t>
      </w:r>
      <w:r w:rsidRPr="00715E34">
        <w:rPr>
          <w:rFonts w:hAnsi="標楷體"/>
          <w:szCs w:val="28"/>
        </w:rPr>
        <w:t>遷衝擊，未來必須從源頭整合管理水資源及跨域協調等</w:t>
      </w:r>
      <w:r w:rsidRPr="00715E34">
        <w:rPr>
          <w:rFonts w:hAnsi="標楷體"/>
        </w:rPr>
        <w:t>因素，</w:t>
      </w:r>
      <w:r w:rsidRPr="00715E34">
        <w:rPr>
          <w:rFonts w:hAnsi="標楷體"/>
          <w:szCs w:val="28"/>
        </w:rPr>
        <w:t>於101年間再</w:t>
      </w:r>
      <w:r w:rsidRPr="00715E34">
        <w:rPr>
          <w:rFonts w:hAnsi="標楷體"/>
          <w:szCs w:val="28"/>
          <w:lang w:val="zh-TW"/>
        </w:rPr>
        <w:t>研定「新紀元水利施政綱領」（目標年為120年）及相關施政計畫（10年期），並於101年8月間邀請學者專家進行審議，決議需俟環境資源部成立後，屆時再依水利署組織狀況做最後修正與定案，作為延續95年「新世紀水資源政策綱領」之修正。</w:t>
      </w:r>
      <w:r w:rsidRPr="00715E34">
        <w:rPr>
          <w:rFonts w:hAnsi="標楷體"/>
          <w:szCs w:val="28"/>
        </w:rPr>
        <w:t>水利署</w:t>
      </w:r>
      <w:r w:rsidRPr="00715E34">
        <w:rPr>
          <w:rFonts w:hAnsi="標楷體"/>
          <w:szCs w:val="28"/>
          <w:lang w:val="zh-TW"/>
        </w:rPr>
        <w:t>考量現階段仍有自主施政參據之需求，爰於102年1月間先發布予所屬機關，據以參考編列施政計畫</w:t>
      </w:r>
      <w:r w:rsidRPr="00715E34">
        <w:rPr>
          <w:rFonts w:hAnsi="標楷體" w:hint="eastAsia"/>
          <w:szCs w:val="28"/>
          <w:lang w:val="zh-TW"/>
        </w:rPr>
        <w:t>等</w:t>
      </w:r>
      <w:r w:rsidRPr="00715E34">
        <w:rPr>
          <w:rFonts w:hAnsi="標楷體"/>
          <w:szCs w:val="28"/>
          <w:lang w:val="zh-TW"/>
        </w:rPr>
        <w:t>。</w:t>
      </w:r>
      <w:r w:rsidRPr="00715E34">
        <w:rPr>
          <w:rFonts w:hAnsi="標楷體" w:hint="eastAsia"/>
          <w:szCs w:val="28"/>
          <w:lang w:val="zh-TW"/>
        </w:rPr>
        <w:t>徵諸上情</w:t>
      </w:r>
      <w:r w:rsidRPr="00715E34">
        <w:rPr>
          <w:rFonts w:hAnsi="標楷體"/>
          <w:szCs w:val="32"/>
        </w:rPr>
        <w:t>，水利署</w:t>
      </w:r>
      <w:r w:rsidRPr="00715E34">
        <w:rPr>
          <w:rFonts w:hAnsi="標楷體"/>
        </w:rPr>
        <w:lastRenderedPageBreak/>
        <w:t>深知國內近年受極端氣候影響乾旱風險增大，</w:t>
      </w:r>
      <w:r w:rsidRPr="00715E34">
        <w:rPr>
          <w:rFonts w:hAnsi="標楷體" w:hint="eastAsia"/>
        </w:rPr>
        <w:t>亟待</w:t>
      </w:r>
      <w:r w:rsidRPr="00715E34">
        <w:rPr>
          <w:rFonts w:hAnsi="標楷體"/>
        </w:rPr>
        <w:t>持續</w:t>
      </w:r>
      <w:r w:rsidRPr="00715E34">
        <w:rPr>
          <w:rFonts w:hAnsi="標楷體" w:hint="eastAsia"/>
        </w:rPr>
        <w:t>推動開發</w:t>
      </w:r>
      <w:r w:rsidRPr="00715E34">
        <w:rPr>
          <w:rFonts w:hAnsi="標楷體"/>
        </w:rPr>
        <w:t>新興水源如海淡水、再生水</w:t>
      </w:r>
      <w:r w:rsidRPr="00715E34">
        <w:rPr>
          <w:rFonts w:hAnsi="標楷體" w:hint="eastAsia"/>
        </w:rPr>
        <w:t>等，惟</w:t>
      </w:r>
      <w:r w:rsidRPr="00715E34">
        <w:rPr>
          <w:rFonts w:hAnsi="標楷體"/>
          <w:szCs w:val="32"/>
        </w:rPr>
        <w:t>歷次</w:t>
      </w:r>
      <w:r w:rsidR="00EF1C46">
        <w:rPr>
          <w:rFonts w:hAnsi="標楷體"/>
          <w:szCs w:val="32"/>
        </w:rPr>
        <w:t>研定</w:t>
      </w:r>
      <w:r w:rsidRPr="00715E34">
        <w:rPr>
          <w:rFonts w:hAnsi="標楷體"/>
          <w:szCs w:val="32"/>
        </w:rPr>
        <w:t>之</w:t>
      </w:r>
      <w:r w:rsidRPr="00715E34">
        <w:rPr>
          <w:rFonts w:hAnsi="標楷體"/>
        </w:rPr>
        <w:t>相關水資源政策綱領或</w:t>
      </w:r>
      <w:r w:rsidRPr="00715E34">
        <w:rPr>
          <w:rFonts w:hAnsi="標楷體"/>
          <w:szCs w:val="32"/>
        </w:rPr>
        <w:t>區域水資源經理基本計畫</w:t>
      </w:r>
      <w:r w:rsidRPr="00715E34">
        <w:rPr>
          <w:rFonts w:hAnsi="標楷體" w:hint="eastAsia"/>
          <w:szCs w:val="32"/>
        </w:rPr>
        <w:t>雖有政策方向，卻</w:t>
      </w:r>
      <w:r w:rsidRPr="00715E34">
        <w:rPr>
          <w:rFonts w:hAnsi="標楷體"/>
          <w:szCs w:val="32"/>
        </w:rPr>
        <w:t>無具體實施計畫內容和執行期程</w:t>
      </w:r>
      <w:r w:rsidRPr="00715E34">
        <w:rPr>
          <w:rFonts w:hAnsi="標楷體" w:hint="eastAsia"/>
          <w:szCs w:val="32"/>
        </w:rPr>
        <w:t>，</w:t>
      </w:r>
      <w:r w:rsidRPr="00715E34">
        <w:rPr>
          <w:rFonts w:hAnsi="標楷體" w:hint="eastAsia"/>
        </w:rPr>
        <w:t>即</w:t>
      </w:r>
      <w:r w:rsidRPr="00715E34">
        <w:rPr>
          <w:rFonts w:hAnsi="標楷體"/>
        </w:rPr>
        <w:t>有未洽</w:t>
      </w:r>
      <w:r w:rsidRPr="00715E34">
        <w:rPr>
          <w:rFonts w:hAnsi="標楷體"/>
          <w:szCs w:val="32"/>
        </w:rPr>
        <w:t>。</w:t>
      </w:r>
    </w:p>
    <w:p w:rsidR="00A15265" w:rsidRPr="00715E34" w:rsidRDefault="00A15265" w:rsidP="00232C83">
      <w:pPr>
        <w:pStyle w:val="3"/>
        <w:topLinePunct/>
        <w:rPr>
          <w:rFonts w:hAnsi="標楷體"/>
        </w:rPr>
      </w:pPr>
      <w:r w:rsidRPr="00715E34">
        <w:rPr>
          <w:rFonts w:hAnsi="標楷體"/>
        </w:rPr>
        <w:t>續查</w:t>
      </w:r>
      <w:r w:rsidRPr="00715E34">
        <w:rPr>
          <w:rFonts w:hAnsi="標楷體" w:hint="eastAsia"/>
        </w:rPr>
        <w:t>前揭水利署101年</w:t>
      </w:r>
      <w:r w:rsidR="00EF1C46">
        <w:rPr>
          <w:rFonts w:hAnsi="標楷體" w:hint="eastAsia"/>
        </w:rPr>
        <w:t>研定</w:t>
      </w:r>
      <w:r w:rsidRPr="00715E34">
        <w:rPr>
          <w:rFonts w:hAnsi="標楷體" w:hint="eastAsia"/>
        </w:rPr>
        <w:t>之</w:t>
      </w:r>
      <w:r w:rsidRPr="00715E34">
        <w:rPr>
          <w:rFonts w:hAnsi="標楷體"/>
        </w:rPr>
        <w:t>「新紀元水利施政綱領」</w:t>
      </w:r>
      <w:r w:rsidRPr="00715E34">
        <w:rPr>
          <w:rFonts w:hAnsi="標楷體" w:hint="eastAsia"/>
        </w:rPr>
        <w:t>列示，為因應</w:t>
      </w:r>
      <w:r w:rsidRPr="00715E34">
        <w:rPr>
          <w:rFonts w:hAnsi="標楷體"/>
        </w:rPr>
        <w:t>國</w:t>
      </w:r>
      <w:r w:rsidR="00647D7E">
        <w:rPr>
          <w:rFonts w:hAnsi="標楷體" w:hint="eastAsia"/>
        </w:rPr>
        <w:t>內</w:t>
      </w:r>
      <w:r w:rsidRPr="00715E34">
        <w:rPr>
          <w:rFonts w:hAnsi="標楷體"/>
        </w:rPr>
        <w:t>天然環境遭遇乾旱風險增大，亟待持續推動</w:t>
      </w:r>
      <w:r w:rsidRPr="00715E34">
        <w:rPr>
          <w:rFonts w:hAnsi="標楷體" w:hint="eastAsia"/>
        </w:rPr>
        <w:t>開發</w:t>
      </w:r>
      <w:r w:rsidRPr="00715E34">
        <w:rPr>
          <w:rFonts w:hAnsi="標楷體"/>
        </w:rPr>
        <w:t>新興水源，而目標年（120</w:t>
      </w:r>
      <w:r w:rsidR="000A3442" w:rsidRPr="00715E34">
        <w:rPr>
          <w:rFonts w:hAnsi="標楷體"/>
        </w:rPr>
        <w:t>年）之量化目標為海淡使用量達</w:t>
      </w:r>
      <w:r w:rsidRPr="00715E34">
        <w:rPr>
          <w:rFonts w:hAnsi="標楷體"/>
        </w:rPr>
        <w:t>50萬</w:t>
      </w:r>
      <w:r w:rsidR="000A3442" w:rsidRPr="00715E34">
        <w:rPr>
          <w:rFonts w:hAnsi="標楷體" w:hint="eastAsia"/>
        </w:rPr>
        <w:t>CMD（</w:t>
      </w:r>
      <w:r w:rsidRPr="00715E34">
        <w:rPr>
          <w:rFonts w:hAnsi="標楷體"/>
        </w:rPr>
        <w:t>立方公尺</w:t>
      </w:r>
      <w:r w:rsidR="000A3442" w:rsidRPr="00715E34">
        <w:rPr>
          <w:rFonts w:hAnsi="標楷體" w:hint="eastAsia"/>
        </w:rPr>
        <w:t>/日）</w:t>
      </w:r>
      <w:r w:rsidRPr="00715E34">
        <w:rPr>
          <w:rFonts w:hAnsi="標楷體"/>
        </w:rPr>
        <w:t>。對於本院詢及目前僅有離島地區18座海淡廠產水2萬</w:t>
      </w:r>
      <w:r w:rsidR="00A10A27" w:rsidRPr="00715E34">
        <w:rPr>
          <w:rFonts w:hAnsi="標楷體" w:hint="eastAsia"/>
        </w:rPr>
        <w:t>CMD</w:t>
      </w:r>
      <w:r w:rsidRPr="00715E34">
        <w:rPr>
          <w:rFonts w:hAnsi="標楷體"/>
        </w:rPr>
        <w:t>，其餘臺灣本島</w:t>
      </w:r>
      <w:r w:rsidRPr="00715E34">
        <w:rPr>
          <w:rFonts w:hAnsi="標楷體"/>
          <w:kern w:val="0"/>
          <w:szCs w:val="32"/>
        </w:rPr>
        <w:t>之海淡廠</w:t>
      </w:r>
      <w:r w:rsidRPr="00715E34">
        <w:rPr>
          <w:rFonts w:hAnsi="標楷體" w:hint="eastAsia"/>
          <w:kern w:val="0"/>
          <w:szCs w:val="32"/>
        </w:rPr>
        <w:t>（</w:t>
      </w:r>
      <w:r w:rsidRPr="00715E34">
        <w:rPr>
          <w:rFonts w:hAnsi="標楷體"/>
          <w:kern w:val="0"/>
          <w:szCs w:val="32"/>
        </w:rPr>
        <w:t>桃園海淡廠、新竹海淡廠、彰濱海淡廠、臺南海淡廠及高雄海淡廠</w:t>
      </w:r>
      <w:r w:rsidRPr="00715E34">
        <w:rPr>
          <w:rFonts w:hAnsi="標楷體" w:hint="eastAsia"/>
          <w:kern w:val="0"/>
          <w:szCs w:val="32"/>
        </w:rPr>
        <w:t>）</w:t>
      </w:r>
      <w:r w:rsidRPr="00715E34">
        <w:rPr>
          <w:rFonts w:hAnsi="標楷體"/>
          <w:kern w:val="0"/>
          <w:szCs w:val="32"/>
        </w:rPr>
        <w:t>均僅處於規劃階段，</w:t>
      </w:r>
      <w:r w:rsidRPr="00715E34">
        <w:rPr>
          <w:rFonts w:hAnsi="標楷體"/>
        </w:rPr>
        <w:t>該項量化政策目標於120年可否達成一節，</w:t>
      </w:r>
      <w:r w:rsidRPr="00715E34">
        <w:rPr>
          <w:rFonts w:hAnsi="標楷體" w:hint="eastAsia"/>
        </w:rPr>
        <w:t>水利署</w:t>
      </w:r>
      <w:r w:rsidRPr="00715E34">
        <w:rPr>
          <w:rFonts w:hAnsi="標楷體"/>
        </w:rPr>
        <w:t>復稱：「</w:t>
      </w:r>
      <w:r w:rsidRPr="00715E34">
        <w:rPr>
          <w:rFonts w:hAnsi="標楷體" w:hint="eastAsia"/>
        </w:rPr>
        <w:t>『</w:t>
      </w:r>
      <w:r w:rsidRPr="00715E34">
        <w:rPr>
          <w:rFonts w:hAnsi="標楷體"/>
        </w:rPr>
        <w:t>新世紀水資源政策綱領</w:t>
      </w:r>
      <w:r w:rsidRPr="00715E34">
        <w:rPr>
          <w:rFonts w:hAnsi="標楷體" w:hint="eastAsia"/>
        </w:rPr>
        <w:t>』</w:t>
      </w:r>
      <w:r w:rsidRPr="00715E34">
        <w:rPr>
          <w:rFonts w:hAnsi="標楷體"/>
        </w:rPr>
        <w:t>僅揭示原則性政策方向，並無實質量化目標，而100年研擬之</w:t>
      </w:r>
      <w:r w:rsidRPr="00715E34">
        <w:rPr>
          <w:rFonts w:hAnsi="標楷體" w:hint="eastAsia"/>
        </w:rPr>
        <w:t>『</w:t>
      </w:r>
      <w:r w:rsidRPr="00715E34">
        <w:rPr>
          <w:rFonts w:hAnsi="標楷體"/>
        </w:rPr>
        <w:t>新紀元水利政策綱領</w:t>
      </w:r>
      <w:r w:rsidRPr="00715E34">
        <w:rPr>
          <w:rFonts w:hAnsi="標楷體" w:hint="eastAsia"/>
        </w:rPr>
        <w:t>』</w:t>
      </w:r>
      <w:r w:rsidR="00A10A27" w:rsidRPr="00715E34">
        <w:rPr>
          <w:rFonts w:hAnsi="標楷體"/>
        </w:rPr>
        <w:t>（草案），亦曾訂定臺灣本島海水淡化使用量目標達</w:t>
      </w:r>
      <w:r w:rsidRPr="00715E34">
        <w:rPr>
          <w:rFonts w:hAnsi="標楷體"/>
        </w:rPr>
        <w:t>50萬</w:t>
      </w:r>
      <w:r w:rsidR="00A10A27" w:rsidRPr="00715E34">
        <w:rPr>
          <w:rFonts w:hAnsi="標楷體" w:hint="eastAsia"/>
        </w:rPr>
        <w:t>CMD</w:t>
      </w:r>
      <w:r w:rsidRPr="00715E34">
        <w:rPr>
          <w:rFonts w:hAnsi="標楷體"/>
        </w:rPr>
        <w:t>，經檢討海水淡化使用量已配合工業優先利用再生水政策，修正為30萬</w:t>
      </w:r>
      <w:r w:rsidR="00A10A27" w:rsidRPr="00715E34">
        <w:rPr>
          <w:rFonts w:hAnsi="標楷體" w:hint="eastAsia"/>
        </w:rPr>
        <w:t>CMD</w:t>
      </w:r>
      <w:r w:rsidRPr="00715E34">
        <w:rPr>
          <w:rFonts w:hAnsi="標楷體" w:hint="eastAsia"/>
        </w:rPr>
        <w:t>。」等語</w:t>
      </w:r>
      <w:r w:rsidRPr="00715E34">
        <w:rPr>
          <w:rFonts w:hAnsi="標楷體"/>
        </w:rPr>
        <w:t>。</w:t>
      </w:r>
      <w:r w:rsidRPr="00715E34">
        <w:rPr>
          <w:rFonts w:hAnsi="標楷體" w:hint="eastAsia"/>
        </w:rPr>
        <w:t>審諸上情，水利</w:t>
      </w:r>
      <w:r w:rsidRPr="00715E34">
        <w:rPr>
          <w:rFonts w:hAnsi="標楷體"/>
        </w:rPr>
        <w:t>署對於</w:t>
      </w:r>
      <w:r w:rsidRPr="00715E34">
        <w:rPr>
          <w:rFonts w:hAnsi="標楷體" w:hint="eastAsia"/>
        </w:rPr>
        <w:t>所訂之</w:t>
      </w:r>
      <w:r w:rsidRPr="00715E34">
        <w:rPr>
          <w:rFonts w:hAnsi="標楷體"/>
        </w:rPr>
        <w:t>量化目標</w:t>
      </w:r>
      <w:r w:rsidRPr="00715E34">
        <w:rPr>
          <w:rFonts w:hAnsi="標楷體" w:hint="eastAsia"/>
        </w:rPr>
        <w:t>於</w:t>
      </w:r>
      <w:r w:rsidRPr="00715E34">
        <w:rPr>
          <w:rFonts w:hAnsi="標楷體"/>
        </w:rPr>
        <w:t>「新世紀水資源政策綱</w:t>
      </w:r>
      <w:r w:rsidRPr="00715E34">
        <w:rPr>
          <w:rFonts w:hAnsi="標楷體" w:hint="eastAsia"/>
        </w:rPr>
        <w:t>領」中既</w:t>
      </w:r>
      <w:r w:rsidRPr="00715E34">
        <w:rPr>
          <w:rFonts w:hAnsi="標楷體"/>
        </w:rPr>
        <w:t>稱</w:t>
      </w:r>
      <w:r w:rsidRPr="00715E34">
        <w:rPr>
          <w:rFonts w:hAnsi="標楷體" w:hint="eastAsia"/>
        </w:rPr>
        <w:t>係僅揭示</w:t>
      </w:r>
      <w:r w:rsidRPr="00715E34">
        <w:rPr>
          <w:rFonts w:hAnsi="標楷體"/>
        </w:rPr>
        <w:t>原則性政策</w:t>
      </w:r>
      <w:r w:rsidRPr="00715E34">
        <w:rPr>
          <w:rFonts w:hAnsi="標楷體" w:hint="eastAsia"/>
        </w:rPr>
        <w:t>方向</w:t>
      </w:r>
      <w:r w:rsidRPr="00715E34">
        <w:rPr>
          <w:rFonts w:hAnsi="標楷體"/>
        </w:rPr>
        <w:t>，</w:t>
      </w:r>
      <w:r w:rsidRPr="00715E34">
        <w:rPr>
          <w:rFonts w:hAnsi="標楷體" w:hint="eastAsia"/>
        </w:rPr>
        <w:t>並無實質量化目標，凸顯該署對於新興水源海淡水開發事項，行事上欠缺積極有效作為；又縱嗣後於「</w:t>
      </w:r>
      <w:r w:rsidRPr="00715E34">
        <w:rPr>
          <w:rFonts w:hAnsi="標楷體"/>
        </w:rPr>
        <w:t>新紀元水利政策綱領</w:t>
      </w:r>
      <w:r w:rsidRPr="00715E34">
        <w:rPr>
          <w:rFonts w:hAnsi="標楷體" w:hint="eastAsia"/>
        </w:rPr>
        <w:t>」</w:t>
      </w:r>
      <w:r w:rsidRPr="00715E34">
        <w:rPr>
          <w:rFonts w:hAnsi="標楷體"/>
        </w:rPr>
        <w:t>草案</w:t>
      </w:r>
      <w:r w:rsidRPr="00715E34">
        <w:rPr>
          <w:rFonts w:hAnsi="標楷體" w:hint="eastAsia"/>
        </w:rPr>
        <w:t>中曾</w:t>
      </w:r>
      <w:r w:rsidR="00EF1C46">
        <w:rPr>
          <w:rFonts w:hAnsi="標楷體" w:hint="eastAsia"/>
        </w:rPr>
        <w:t>研定</w:t>
      </w:r>
      <w:r w:rsidRPr="00715E34">
        <w:rPr>
          <w:rFonts w:hAnsi="標楷體" w:hint="eastAsia"/>
        </w:rPr>
        <w:t>量化目標，其數據卻反覆更修，且前後量縮差距為20萬</w:t>
      </w:r>
      <w:r w:rsidR="00A10A27" w:rsidRPr="00715E34">
        <w:rPr>
          <w:rFonts w:hAnsi="標楷體" w:hint="eastAsia"/>
        </w:rPr>
        <w:t>CMD</w:t>
      </w:r>
      <w:r w:rsidRPr="00715E34">
        <w:rPr>
          <w:rFonts w:hAnsi="標楷體" w:hint="eastAsia"/>
        </w:rPr>
        <w:t>，落差之大易滋評估是否確實之疑義，以及修正後未見確切之短、中、長期執行目標規劃及檢視機制，屆時可否達成，亦不無疑義。</w:t>
      </w:r>
      <w:r w:rsidRPr="00715E34">
        <w:rPr>
          <w:rFonts w:hAnsi="標楷體" w:hint="eastAsia"/>
          <w:kern w:val="0"/>
          <w:szCs w:val="32"/>
        </w:rPr>
        <w:t>再</w:t>
      </w:r>
      <w:r w:rsidRPr="00715E34">
        <w:rPr>
          <w:rFonts w:hAnsi="標楷體"/>
        </w:rPr>
        <w:t>依水利署103年度年報所載，</w:t>
      </w:r>
      <w:r w:rsidRPr="00715E34">
        <w:rPr>
          <w:rFonts w:hAnsi="標楷體" w:hint="eastAsia"/>
        </w:rPr>
        <w:t>該署對於</w:t>
      </w:r>
      <w:r w:rsidRPr="00715E34">
        <w:rPr>
          <w:rFonts w:hAnsi="標楷體"/>
          <w:lang w:val="x-none" w:eastAsia="x-none"/>
        </w:rPr>
        <w:t>再生水</w:t>
      </w:r>
      <w:r w:rsidRPr="00715E34">
        <w:rPr>
          <w:rFonts w:hAnsi="標楷體" w:hint="eastAsia"/>
          <w:lang w:val="x-none"/>
        </w:rPr>
        <w:t>亦</w:t>
      </w:r>
      <w:r w:rsidRPr="00715E34">
        <w:rPr>
          <w:rFonts w:hAnsi="標楷體"/>
          <w:lang w:val="x-none" w:eastAsia="x-none"/>
        </w:rPr>
        <w:t>訂定120年時供應量達120萬</w:t>
      </w:r>
      <w:r w:rsidR="00A10A27" w:rsidRPr="00715E34">
        <w:rPr>
          <w:rFonts w:hAnsi="標楷體" w:hint="eastAsia"/>
        </w:rPr>
        <w:t>CMD</w:t>
      </w:r>
      <w:r w:rsidRPr="00715E34">
        <w:rPr>
          <w:rFonts w:hAnsi="標楷體"/>
          <w:lang w:val="x-none" w:eastAsia="x-none"/>
        </w:rPr>
        <w:t>，占公共給水量10%之政策目標</w:t>
      </w:r>
      <w:r w:rsidRPr="00715E34">
        <w:rPr>
          <w:rFonts w:hAnsi="標楷體" w:hint="eastAsia"/>
          <w:lang w:val="x-none"/>
        </w:rPr>
        <w:t>，然</w:t>
      </w:r>
      <w:r w:rsidRPr="00715E34">
        <w:rPr>
          <w:rFonts w:hAnsi="標楷體" w:hint="eastAsia"/>
        </w:rPr>
        <w:t>亦無實質</w:t>
      </w:r>
      <w:r w:rsidRPr="00715E34">
        <w:rPr>
          <w:rFonts w:hAnsi="標楷體" w:hint="eastAsia"/>
        </w:rPr>
        <w:lastRenderedPageBreak/>
        <w:t>之短、中、長期執行目標規劃及檢視機制，</w:t>
      </w:r>
      <w:r w:rsidRPr="00715E34">
        <w:rPr>
          <w:rFonts w:hAnsi="標楷體" w:hint="eastAsia"/>
          <w:kern w:val="0"/>
          <w:szCs w:val="32"/>
        </w:rPr>
        <w:t>復以</w:t>
      </w:r>
      <w:r w:rsidRPr="00715E34">
        <w:rPr>
          <w:rFonts w:hAnsi="標楷體"/>
          <w:lang w:val="x-none"/>
        </w:rPr>
        <w:t>101年至103年再生水利用量為43萬5,599CMD</w:t>
      </w:r>
      <w:r w:rsidRPr="00715E34">
        <w:rPr>
          <w:rFonts w:hAnsi="標楷體"/>
          <w:spacing w:val="-2"/>
          <w:kern w:val="0"/>
          <w:szCs w:val="32"/>
        </w:rPr>
        <w:t>，僅占全國每日產生之</w:t>
      </w:r>
      <w:r w:rsidRPr="00715E34">
        <w:rPr>
          <w:rFonts w:hAnsi="標楷體"/>
        </w:rPr>
        <w:t>生活與工業廢污水量</w:t>
      </w:r>
      <w:r w:rsidRPr="00715E34">
        <w:rPr>
          <w:rFonts w:hAnsi="標楷體"/>
          <w:spacing w:val="-2"/>
          <w:kern w:val="0"/>
          <w:szCs w:val="32"/>
        </w:rPr>
        <w:t>323萬CMD的14</w:t>
      </w:r>
      <w:r w:rsidRPr="00715E34">
        <w:rPr>
          <w:rFonts w:hAnsi="標楷體"/>
          <w:szCs w:val="32"/>
        </w:rPr>
        <w:t>%</w:t>
      </w:r>
      <w:r w:rsidRPr="00715E34">
        <w:rPr>
          <w:rFonts w:hAnsi="標楷體"/>
          <w:spacing w:val="-2"/>
          <w:kern w:val="0"/>
          <w:szCs w:val="32"/>
        </w:rPr>
        <w:t>，成效明顯不彰</w:t>
      </w:r>
      <w:r w:rsidRPr="00715E34">
        <w:rPr>
          <w:rFonts w:hAnsi="標楷體" w:hint="eastAsia"/>
          <w:spacing w:val="-2"/>
          <w:kern w:val="0"/>
          <w:szCs w:val="32"/>
        </w:rPr>
        <w:t>；政府部門自應謀求其他新興水源多元搭配，以資因應可能缺水之窘境。</w:t>
      </w:r>
    </w:p>
    <w:p w:rsidR="00A15265" w:rsidRPr="00715E34" w:rsidRDefault="00A15265" w:rsidP="00232C83">
      <w:pPr>
        <w:pStyle w:val="3"/>
        <w:topLinePunct/>
        <w:rPr>
          <w:rFonts w:hAnsi="標楷體"/>
        </w:rPr>
      </w:pPr>
      <w:r w:rsidRPr="00715E34">
        <w:rPr>
          <w:rFonts w:hAnsi="標楷體" w:hint="eastAsia"/>
        </w:rPr>
        <w:t>據</w:t>
      </w:r>
      <w:r w:rsidRPr="00715E34">
        <w:rPr>
          <w:rFonts w:hAnsi="標楷體"/>
        </w:rPr>
        <w:t>本院諮詢黃</w:t>
      </w:r>
      <w:r w:rsidR="00B52B0B" w:rsidRPr="00715E34">
        <w:rPr>
          <w:rFonts w:hAnsi="標楷體" w:hint="eastAsia"/>
        </w:rPr>
        <w:t>前</w:t>
      </w:r>
      <w:r w:rsidRPr="00715E34">
        <w:rPr>
          <w:rFonts w:hAnsi="標楷體"/>
        </w:rPr>
        <w:t>政務顧問</w:t>
      </w:r>
      <w:r w:rsidR="00A47126">
        <w:rPr>
          <w:rFonts w:hAnsi="標楷體"/>
        </w:rPr>
        <w:t>○○</w:t>
      </w:r>
      <w:r w:rsidRPr="00715E34">
        <w:rPr>
          <w:rFonts w:hAnsi="標楷體"/>
        </w:rPr>
        <w:t>表示，</w:t>
      </w:r>
      <w:r w:rsidRPr="00715E34">
        <w:rPr>
          <w:rFonts w:hAnsi="標楷體"/>
          <w:szCs w:val="32"/>
        </w:rPr>
        <w:t>政府應考慮多元化水源，任何國家都不可能僅依賴一種水源就能滿足民生及產業需求。</w:t>
      </w:r>
      <w:r w:rsidRPr="00715E34">
        <w:rPr>
          <w:rFonts w:hAnsi="標楷體"/>
        </w:rPr>
        <w:t>四面環海，海水取之不盡用之不竭，應積極推動海水淡化，並同步開發海洋能源，不但解決能源的問題，同時也解決水資源的問題。黃</w:t>
      </w:r>
      <w:r w:rsidR="00A47126">
        <w:rPr>
          <w:rFonts w:hAnsi="標楷體"/>
        </w:rPr>
        <w:t>○○</w:t>
      </w:r>
      <w:r w:rsidRPr="00715E34">
        <w:rPr>
          <w:rFonts w:hAnsi="標楷體"/>
        </w:rPr>
        <w:t>教授認為，</w:t>
      </w:r>
      <w:r w:rsidR="00647D7E">
        <w:rPr>
          <w:rFonts w:hAnsi="標楷體" w:hint="eastAsia"/>
        </w:rPr>
        <w:t>臺灣</w:t>
      </w:r>
      <w:r w:rsidRPr="00715E34">
        <w:rPr>
          <w:rFonts w:hAnsi="標楷體"/>
          <w:szCs w:val="32"/>
        </w:rPr>
        <w:t>四面環海，海水淡化是可行的方向，目前操作費用很高，1度水約需</w:t>
      </w:r>
      <w:r w:rsidR="0020764D" w:rsidRPr="00715E34">
        <w:rPr>
          <w:rFonts w:hAnsi="標楷體" w:hint="eastAsia"/>
          <w:szCs w:val="32"/>
        </w:rPr>
        <w:t>新臺幣（下同）</w:t>
      </w:r>
      <w:r w:rsidRPr="00715E34">
        <w:rPr>
          <w:rFonts w:hAnsi="標楷體"/>
          <w:szCs w:val="32"/>
        </w:rPr>
        <w:t>14元，但是各國技術都在持續進步中。再</w:t>
      </w:r>
      <w:r w:rsidRPr="00715E34">
        <w:rPr>
          <w:rFonts w:hAnsi="標楷體"/>
          <w:spacing w:val="-2"/>
          <w:kern w:val="0"/>
          <w:szCs w:val="32"/>
        </w:rPr>
        <w:t>觀諸</w:t>
      </w:r>
      <w:r w:rsidRPr="00715E34">
        <w:rPr>
          <w:rFonts w:hAnsi="標楷體" w:hint="eastAsia"/>
          <w:spacing w:val="-2"/>
          <w:kern w:val="0"/>
          <w:szCs w:val="32"/>
        </w:rPr>
        <w:t>專家學者呼籲及</w:t>
      </w:r>
      <w:r w:rsidRPr="00715E34">
        <w:rPr>
          <w:rFonts w:hAnsi="標楷體"/>
          <w:spacing w:val="-2"/>
          <w:kern w:val="0"/>
          <w:szCs w:val="32"/>
        </w:rPr>
        <w:t>媒體</w:t>
      </w:r>
      <w:r w:rsidRPr="00715E34">
        <w:rPr>
          <w:rFonts w:hAnsi="標楷體" w:hint="eastAsia"/>
          <w:spacing w:val="-2"/>
          <w:kern w:val="0"/>
          <w:szCs w:val="32"/>
        </w:rPr>
        <w:t>評論指出</w:t>
      </w:r>
      <w:r w:rsidRPr="00715E34">
        <w:rPr>
          <w:rStyle w:val="aff2"/>
          <w:rFonts w:hAnsi="標楷體"/>
        </w:rPr>
        <w:footnoteReference w:id="2"/>
      </w:r>
      <w:r w:rsidRPr="00715E34">
        <w:rPr>
          <w:rFonts w:hAnsi="標楷體" w:hint="eastAsia"/>
        </w:rPr>
        <w:t>，</w:t>
      </w:r>
      <w:r w:rsidRPr="00715E34">
        <w:rPr>
          <w:rFonts w:hAnsi="標楷體"/>
        </w:rPr>
        <w:t>水資源管理政策向來偏向</w:t>
      </w:r>
      <w:r w:rsidRPr="00715E34">
        <w:rPr>
          <w:rFonts w:hAnsi="標楷體" w:hint="eastAsia"/>
        </w:rPr>
        <w:t>「</w:t>
      </w:r>
      <w:r w:rsidRPr="00715E34">
        <w:rPr>
          <w:rFonts w:hAnsi="標楷體"/>
        </w:rPr>
        <w:t>聽天由命</w:t>
      </w:r>
      <w:r w:rsidRPr="00715E34">
        <w:rPr>
          <w:rFonts w:hAnsi="標楷體" w:hint="eastAsia"/>
        </w:rPr>
        <w:t>」</w:t>
      </w:r>
      <w:r w:rsidRPr="00715E34">
        <w:rPr>
          <w:rFonts w:hAnsi="標楷體"/>
        </w:rPr>
        <w:t>，遇到旱季缺水除了休耕、限水、省水和祈禱下雨外，</w:t>
      </w:r>
      <w:r w:rsidRPr="00715E34">
        <w:rPr>
          <w:rFonts w:hAnsi="標楷體" w:hint="eastAsia"/>
        </w:rPr>
        <w:t>缺乏</w:t>
      </w:r>
      <w:r w:rsidRPr="00715E34">
        <w:rPr>
          <w:rFonts w:hAnsi="標楷體"/>
        </w:rPr>
        <w:t>其他更積極</w:t>
      </w:r>
      <w:r w:rsidRPr="00715E34">
        <w:rPr>
          <w:rFonts w:hAnsi="標楷體" w:hint="eastAsia"/>
        </w:rPr>
        <w:t>和</w:t>
      </w:r>
      <w:r w:rsidRPr="00715E34">
        <w:rPr>
          <w:rFonts w:hAnsi="標楷體"/>
        </w:rPr>
        <w:t>永續做法</w:t>
      </w:r>
      <w:r w:rsidRPr="00715E34">
        <w:rPr>
          <w:rFonts w:hAnsi="標楷體" w:hint="eastAsia"/>
        </w:rPr>
        <w:t>。若能</w:t>
      </w:r>
      <w:r w:rsidRPr="00715E34">
        <w:rPr>
          <w:rFonts w:hAnsi="標楷體"/>
        </w:rPr>
        <w:t>善用每天產生</w:t>
      </w:r>
      <w:r w:rsidRPr="00715E34">
        <w:rPr>
          <w:rFonts w:hAnsi="標楷體" w:hint="eastAsia"/>
        </w:rPr>
        <w:t>之</w:t>
      </w:r>
      <w:r w:rsidRPr="00715E34">
        <w:rPr>
          <w:rFonts w:hAnsi="標楷體"/>
        </w:rPr>
        <w:t>生活與工業廢污水的一半</w:t>
      </w:r>
      <w:r w:rsidRPr="00715E34">
        <w:rPr>
          <w:rFonts w:hAnsi="標楷體" w:hint="eastAsia"/>
        </w:rPr>
        <w:t>，</w:t>
      </w:r>
      <w:r w:rsidRPr="00715E34">
        <w:rPr>
          <w:rFonts w:hAnsi="標楷體"/>
        </w:rPr>
        <w:t>轉供工業使用，騰出自來水供應為民生用水，就能全面解決缺水危機。政府擁有許多水資源專家，每年出國考察研習</w:t>
      </w:r>
      <w:r w:rsidRPr="00715E34">
        <w:rPr>
          <w:rFonts w:hAnsi="標楷體" w:hint="eastAsia"/>
        </w:rPr>
        <w:t>者眾</w:t>
      </w:r>
      <w:r w:rsidRPr="00715E34">
        <w:rPr>
          <w:rFonts w:hAnsi="標楷體"/>
        </w:rPr>
        <w:t>，再生水</w:t>
      </w:r>
      <w:r w:rsidRPr="00715E34">
        <w:rPr>
          <w:rFonts w:hAnsi="標楷體" w:hint="eastAsia"/>
        </w:rPr>
        <w:t>之</w:t>
      </w:r>
      <w:r w:rsidRPr="00715E34">
        <w:rPr>
          <w:rFonts w:hAnsi="標楷體"/>
        </w:rPr>
        <w:t>技術、政策</w:t>
      </w:r>
      <w:r w:rsidRPr="00715E34">
        <w:rPr>
          <w:rFonts w:hAnsi="標楷體" w:hint="eastAsia"/>
        </w:rPr>
        <w:t>、</w:t>
      </w:r>
      <w:r w:rsidRPr="00715E34">
        <w:rPr>
          <w:rFonts w:hAnsi="標楷體"/>
        </w:rPr>
        <w:t>統一規劃調度等</w:t>
      </w:r>
      <w:r w:rsidRPr="00715E34">
        <w:rPr>
          <w:rFonts w:hAnsi="標楷體" w:hint="eastAsia"/>
        </w:rPr>
        <w:t>相關</w:t>
      </w:r>
      <w:r w:rsidRPr="00715E34">
        <w:rPr>
          <w:rFonts w:hAnsi="標楷體"/>
        </w:rPr>
        <w:t>研究報告不勝枚舉，</w:t>
      </w:r>
      <w:r w:rsidRPr="00715E34">
        <w:rPr>
          <w:rFonts w:hAnsi="標楷體" w:hint="eastAsia"/>
        </w:rPr>
        <w:t>對於</w:t>
      </w:r>
      <w:r w:rsidRPr="00715E34">
        <w:rPr>
          <w:rFonts w:hAnsi="標楷體"/>
        </w:rPr>
        <w:t>政策如何制定</w:t>
      </w:r>
      <w:r w:rsidRPr="00715E34">
        <w:rPr>
          <w:rFonts w:hAnsi="標楷體" w:hint="eastAsia"/>
        </w:rPr>
        <w:t>執行甚為清楚</w:t>
      </w:r>
      <w:r w:rsidRPr="00715E34">
        <w:rPr>
          <w:rFonts w:hAnsi="標楷體"/>
        </w:rPr>
        <w:t>，但主</w:t>
      </w:r>
      <w:r w:rsidRPr="00715E34">
        <w:rPr>
          <w:rFonts w:hAnsi="標楷體" w:hint="eastAsia"/>
        </w:rPr>
        <w:t>政</w:t>
      </w:r>
      <w:r w:rsidRPr="00715E34">
        <w:rPr>
          <w:rFonts w:hAnsi="標楷體"/>
        </w:rPr>
        <w:t>者缺乏遠見魄力，政策停滯不前</w:t>
      </w:r>
      <w:r w:rsidRPr="00715E34">
        <w:rPr>
          <w:rFonts w:hAnsi="標楷體" w:hint="eastAsia"/>
        </w:rPr>
        <w:t>，往往</w:t>
      </w:r>
      <w:r w:rsidRPr="00715E34">
        <w:rPr>
          <w:rFonts w:hAnsi="標楷體"/>
        </w:rPr>
        <w:t>直到災情擴大才</w:t>
      </w:r>
      <w:r w:rsidRPr="00715E34">
        <w:rPr>
          <w:rFonts w:hAnsi="標楷體" w:hint="eastAsia"/>
        </w:rPr>
        <w:t>「</w:t>
      </w:r>
      <w:r w:rsidRPr="00715E34">
        <w:rPr>
          <w:rFonts w:hAnsi="標楷體"/>
        </w:rPr>
        <w:t>臨渴掘井</w:t>
      </w:r>
      <w:r w:rsidRPr="00715E34">
        <w:rPr>
          <w:rFonts w:hAnsi="標楷體" w:hint="eastAsia"/>
        </w:rPr>
        <w:t>」；把再生水利用量化</w:t>
      </w:r>
      <w:r w:rsidRPr="00715E34">
        <w:rPr>
          <w:rFonts w:hAnsi="標楷體"/>
        </w:rPr>
        <w:t>目標訂在120年，是對自己太好，希望下次缺水時</w:t>
      </w:r>
      <w:r w:rsidRPr="00715E34">
        <w:rPr>
          <w:rFonts w:hAnsi="標楷體" w:hint="eastAsia"/>
        </w:rPr>
        <w:t>政府</w:t>
      </w:r>
      <w:r w:rsidRPr="00715E34">
        <w:rPr>
          <w:rFonts w:hAnsi="標楷體"/>
        </w:rPr>
        <w:t>已經做好萬全準備。</w:t>
      </w:r>
      <w:r w:rsidRPr="00715E34">
        <w:rPr>
          <w:rFonts w:hAnsi="標楷體" w:hint="eastAsia"/>
        </w:rPr>
        <w:t>綜上可徵，水利署對於新興水源</w:t>
      </w:r>
      <w:r w:rsidRPr="00715E34">
        <w:rPr>
          <w:rFonts w:hAnsi="標楷體"/>
        </w:rPr>
        <w:t>如海淡水、再生水</w:t>
      </w:r>
      <w:r w:rsidRPr="00715E34">
        <w:rPr>
          <w:rFonts w:hAnsi="標楷體" w:hint="eastAsia"/>
        </w:rPr>
        <w:t>之開發研究</w:t>
      </w:r>
      <w:r w:rsidRPr="00715E34">
        <w:rPr>
          <w:rFonts w:hAnsi="標楷體"/>
        </w:rPr>
        <w:t>規劃多年仍無顯著成效</w:t>
      </w:r>
      <w:r w:rsidRPr="00715E34">
        <w:rPr>
          <w:rFonts w:hAnsi="標楷體" w:hint="eastAsia"/>
        </w:rPr>
        <w:t>，長</w:t>
      </w:r>
      <w:r w:rsidRPr="00715E34">
        <w:rPr>
          <w:rFonts w:hAnsi="標楷體"/>
        </w:rPr>
        <w:t>期以來缺乏積</w:t>
      </w:r>
      <w:r w:rsidRPr="00715E34">
        <w:rPr>
          <w:rFonts w:hAnsi="標楷體"/>
        </w:rPr>
        <w:lastRenderedPageBreak/>
        <w:t>極有效作為</w:t>
      </w:r>
      <w:r w:rsidRPr="00715E34">
        <w:rPr>
          <w:rFonts w:hAnsi="標楷體" w:hint="eastAsia"/>
        </w:rPr>
        <w:t>。</w:t>
      </w:r>
    </w:p>
    <w:p w:rsidR="00A15265" w:rsidRPr="00715E34" w:rsidRDefault="00A15265" w:rsidP="00232C83">
      <w:pPr>
        <w:pStyle w:val="3"/>
        <w:topLinePunct/>
        <w:rPr>
          <w:rFonts w:hAnsi="標楷體"/>
        </w:rPr>
      </w:pPr>
      <w:r w:rsidRPr="00715E34">
        <w:rPr>
          <w:rFonts w:hAnsi="標楷體" w:hint="eastAsia"/>
        </w:rPr>
        <w:t>審諸實情，</w:t>
      </w:r>
      <w:r w:rsidRPr="00715E34">
        <w:rPr>
          <w:rFonts w:hAnsi="標楷體"/>
        </w:rPr>
        <w:t>國</w:t>
      </w:r>
      <w:r w:rsidR="00260E6E">
        <w:rPr>
          <w:rFonts w:hAnsi="標楷體" w:hint="eastAsia"/>
        </w:rPr>
        <w:t>內</w:t>
      </w:r>
      <w:r w:rsidRPr="00715E34">
        <w:rPr>
          <w:rFonts w:hAnsi="標楷體"/>
        </w:rPr>
        <w:t>年降雨量約達2,500</w:t>
      </w:r>
      <w:r w:rsidR="00AF5BCF" w:rsidRPr="00715E34">
        <w:rPr>
          <w:rFonts w:hAnsi="標楷體" w:hint="eastAsia"/>
        </w:rPr>
        <w:t>毫</w:t>
      </w:r>
      <w:r w:rsidR="00215022" w:rsidRPr="00715E34">
        <w:rPr>
          <w:rFonts w:hAnsi="標楷體" w:hint="eastAsia"/>
        </w:rPr>
        <w:t>米</w:t>
      </w:r>
      <w:r w:rsidRPr="00715E34">
        <w:rPr>
          <w:rFonts w:hAnsi="標楷體"/>
        </w:rPr>
        <w:t>，雖是全世界平均值的2.6倍，但實際可用水量僅及年降雨量之2成，為多雨但水資源貧乏地區。近年受全球氣候變遷和極端氣候影響，乾旱風險增大，缺水情形日趨嚴峻，</w:t>
      </w:r>
      <w:r w:rsidR="00113551">
        <w:rPr>
          <w:rFonts w:hAnsi="標楷體" w:hint="eastAsia"/>
        </w:rPr>
        <w:t>經濟部</w:t>
      </w:r>
      <w:r w:rsidRPr="00715E34">
        <w:rPr>
          <w:rFonts w:hAnsi="標楷體"/>
        </w:rPr>
        <w:t>深知國</w:t>
      </w:r>
      <w:r w:rsidR="00260E6E">
        <w:rPr>
          <w:rFonts w:hAnsi="標楷體" w:hint="eastAsia"/>
        </w:rPr>
        <w:t>內</w:t>
      </w:r>
      <w:r w:rsidRPr="00715E34">
        <w:rPr>
          <w:rFonts w:hAnsi="標楷體"/>
        </w:rPr>
        <w:t>缺水情勢亟</w:t>
      </w:r>
      <w:r w:rsidRPr="00715E34">
        <w:rPr>
          <w:rFonts w:hAnsi="標楷體" w:hint="eastAsia"/>
        </w:rPr>
        <w:t>需</w:t>
      </w:r>
      <w:r w:rsidRPr="00715E34">
        <w:rPr>
          <w:rFonts w:hAnsi="標楷體"/>
        </w:rPr>
        <w:t>積極開發新興水源如海淡水、再生水以為因應，</w:t>
      </w:r>
      <w:r w:rsidRPr="00715E34">
        <w:rPr>
          <w:rFonts w:hAnsi="標楷體" w:hint="eastAsia"/>
        </w:rPr>
        <w:t>惟</w:t>
      </w:r>
      <w:r w:rsidRPr="00260E6E">
        <w:rPr>
          <w:rFonts w:hAnsi="標楷體"/>
        </w:rPr>
        <w:t>歷次</w:t>
      </w:r>
      <w:r w:rsidR="00EF1C46">
        <w:rPr>
          <w:rFonts w:hAnsi="標楷體"/>
        </w:rPr>
        <w:t>研定</w:t>
      </w:r>
      <w:r w:rsidRPr="00260E6E">
        <w:rPr>
          <w:rFonts w:hAnsi="標楷體"/>
        </w:rPr>
        <w:t>之</w:t>
      </w:r>
      <w:r w:rsidRPr="00715E34">
        <w:rPr>
          <w:rFonts w:hAnsi="標楷體"/>
        </w:rPr>
        <w:t>相關水資源政策綱領或</w:t>
      </w:r>
      <w:r w:rsidRPr="00260E6E">
        <w:rPr>
          <w:rFonts w:hAnsi="標楷體"/>
        </w:rPr>
        <w:t>區域水資源經理基本計畫</w:t>
      </w:r>
      <w:r w:rsidRPr="00260E6E">
        <w:rPr>
          <w:rFonts w:hAnsi="標楷體" w:hint="eastAsia"/>
        </w:rPr>
        <w:t>，</w:t>
      </w:r>
      <w:r w:rsidR="00260E6E" w:rsidRPr="00260E6E">
        <w:rPr>
          <w:rFonts w:hAnsi="標楷體" w:hint="eastAsia"/>
        </w:rPr>
        <w:t>卻未督促所屬研定</w:t>
      </w:r>
      <w:r w:rsidRPr="00260E6E">
        <w:rPr>
          <w:rFonts w:hAnsi="標楷體"/>
        </w:rPr>
        <w:t>具體實</w:t>
      </w:r>
      <w:r w:rsidRPr="00715E34">
        <w:rPr>
          <w:rFonts w:hAnsi="標楷體"/>
          <w:szCs w:val="32"/>
        </w:rPr>
        <w:t>施</w:t>
      </w:r>
      <w:r w:rsidRPr="00715E34">
        <w:rPr>
          <w:rFonts w:hAnsi="標楷體"/>
        </w:rPr>
        <w:t>計畫</w:t>
      </w:r>
      <w:r w:rsidRPr="00715E34">
        <w:rPr>
          <w:rFonts w:hAnsi="標楷體"/>
          <w:szCs w:val="32"/>
        </w:rPr>
        <w:t>內容和執行期程</w:t>
      </w:r>
      <w:r w:rsidRPr="00715E34">
        <w:rPr>
          <w:rFonts w:hAnsi="標楷體" w:hint="eastAsia"/>
          <w:szCs w:val="32"/>
        </w:rPr>
        <w:t>，</w:t>
      </w:r>
      <w:r w:rsidRPr="00715E34">
        <w:rPr>
          <w:rFonts w:hAnsi="標楷體"/>
        </w:rPr>
        <w:t>對於新興水源如海淡水、再生水之開發</w:t>
      </w:r>
      <w:r w:rsidRPr="00715E34">
        <w:rPr>
          <w:rFonts w:hAnsi="標楷體" w:hint="eastAsia"/>
        </w:rPr>
        <w:t>等研究</w:t>
      </w:r>
      <w:r w:rsidRPr="00715E34">
        <w:rPr>
          <w:rFonts w:hAnsi="標楷體"/>
        </w:rPr>
        <w:t>規劃多年仍無顯著成效</w:t>
      </w:r>
      <w:r w:rsidRPr="00715E34">
        <w:rPr>
          <w:rFonts w:hAnsi="標楷體" w:hint="eastAsia"/>
        </w:rPr>
        <w:t>，所訂之海淡水</w:t>
      </w:r>
      <w:r w:rsidRPr="00715E34">
        <w:rPr>
          <w:rFonts w:hAnsi="標楷體"/>
        </w:rPr>
        <w:t>量化目標</w:t>
      </w:r>
      <w:r w:rsidRPr="00715E34">
        <w:rPr>
          <w:rFonts w:hAnsi="標楷體" w:hint="eastAsia"/>
        </w:rPr>
        <w:t>既</w:t>
      </w:r>
      <w:r w:rsidRPr="00715E34">
        <w:rPr>
          <w:rFonts w:hAnsi="標楷體"/>
        </w:rPr>
        <w:t>稱</w:t>
      </w:r>
      <w:r w:rsidRPr="00715E34">
        <w:rPr>
          <w:rFonts w:hAnsi="標楷體" w:hint="eastAsia"/>
        </w:rPr>
        <w:t>係僅揭示</w:t>
      </w:r>
      <w:r w:rsidRPr="00715E34">
        <w:rPr>
          <w:rFonts w:hAnsi="標楷體"/>
        </w:rPr>
        <w:t>原則性政策</w:t>
      </w:r>
      <w:r w:rsidRPr="00715E34">
        <w:rPr>
          <w:rFonts w:hAnsi="標楷體" w:hint="eastAsia"/>
        </w:rPr>
        <w:t>方向</w:t>
      </w:r>
      <w:r w:rsidRPr="00715E34">
        <w:rPr>
          <w:rFonts w:hAnsi="標楷體"/>
        </w:rPr>
        <w:t>，</w:t>
      </w:r>
      <w:r w:rsidRPr="00715E34">
        <w:rPr>
          <w:rFonts w:hAnsi="標楷體" w:hint="eastAsia"/>
        </w:rPr>
        <w:t>並無實質量化目標；又縱曾</w:t>
      </w:r>
      <w:r w:rsidR="00EF1C46">
        <w:rPr>
          <w:rFonts w:hAnsi="標楷體" w:hint="eastAsia"/>
        </w:rPr>
        <w:t>研定</w:t>
      </w:r>
      <w:r w:rsidRPr="00715E34">
        <w:rPr>
          <w:rFonts w:hAnsi="標楷體" w:hint="eastAsia"/>
        </w:rPr>
        <w:t>量化目標，其數據卻反覆更修，前後量縮差距</w:t>
      </w:r>
      <w:r w:rsidR="00BE733D" w:rsidRPr="00715E34">
        <w:rPr>
          <w:rFonts w:hAnsi="標楷體" w:hint="eastAsia"/>
        </w:rPr>
        <w:t>達</w:t>
      </w:r>
      <w:r w:rsidRPr="00715E34">
        <w:rPr>
          <w:rFonts w:hAnsi="標楷體" w:hint="eastAsia"/>
        </w:rPr>
        <w:t>每日20萬立方公尺，落差之大易滋評估是否確實之疑義，以及修正後未見確切之短、中、長期執行目標規劃及檢視機制，屆時可否達成，亦不無疑義。另水利署</w:t>
      </w:r>
      <w:r w:rsidRPr="00715E34">
        <w:rPr>
          <w:rFonts w:hAnsi="標楷體" w:hint="eastAsia"/>
          <w:lang w:val="x-none"/>
        </w:rPr>
        <w:t>亦</w:t>
      </w:r>
      <w:r w:rsidRPr="00715E34">
        <w:rPr>
          <w:rFonts w:hAnsi="標楷體"/>
          <w:lang w:val="x-none" w:eastAsia="x-none"/>
        </w:rPr>
        <w:t>訂定</w:t>
      </w:r>
      <w:r w:rsidRPr="00715E34">
        <w:rPr>
          <w:rFonts w:hAnsi="標楷體" w:hint="eastAsia"/>
          <w:lang w:val="x-none"/>
        </w:rPr>
        <w:t>至</w:t>
      </w:r>
      <w:r w:rsidRPr="00715E34">
        <w:rPr>
          <w:rFonts w:hAnsi="標楷體"/>
          <w:lang w:val="x-none" w:eastAsia="x-none"/>
        </w:rPr>
        <w:t>120年</w:t>
      </w:r>
      <w:r w:rsidRPr="00715E34">
        <w:rPr>
          <w:rFonts w:hAnsi="標楷體" w:hint="eastAsia"/>
          <w:lang w:val="x-none"/>
        </w:rPr>
        <w:t>時</w:t>
      </w:r>
      <w:r w:rsidRPr="00715E34">
        <w:rPr>
          <w:rFonts w:hAnsi="標楷體"/>
          <w:lang w:val="x-none" w:eastAsia="x-none"/>
        </w:rPr>
        <w:t>再生水供應量達120萬</w:t>
      </w:r>
      <w:r w:rsidR="00A10A27" w:rsidRPr="00715E34">
        <w:rPr>
          <w:rFonts w:hAnsi="標楷體" w:hint="eastAsia"/>
        </w:rPr>
        <w:t>CMD</w:t>
      </w:r>
      <w:r w:rsidRPr="00715E34">
        <w:rPr>
          <w:rFonts w:hAnsi="標楷體"/>
          <w:lang w:val="x-none" w:eastAsia="x-none"/>
        </w:rPr>
        <w:t>之政策目標</w:t>
      </w:r>
      <w:r w:rsidRPr="00715E34">
        <w:rPr>
          <w:rFonts w:hAnsi="標楷體" w:hint="eastAsia"/>
          <w:lang w:val="x-none"/>
        </w:rPr>
        <w:t>，然</w:t>
      </w:r>
      <w:r w:rsidRPr="00715E34">
        <w:rPr>
          <w:rFonts w:hAnsi="標楷體" w:hint="eastAsia"/>
        </w:rPr>
        <w:t>亦無實質之短、中、長期執行目標規劃及檢視機制，均凸顯</w:t>
      </w:r>
      <w:r w:rsidR="00260E6E">
        <w:rPr>
          <w:rFonts w:hAnsi="標楷體" w:hint="eastAsia"/>
        </w:rPr>
        <w:t>該</w:t>
      </w:r>
      <w:r w:rsidR="008A4862" w:rsidRPr="00715E34">
        <w:rPr>
          <w:rFonts w:hAnsi="標楷體" w:hint="eastAsia"/>
        </w:rPr>
        <w:t>部</w:t>
      </w:r>
      <w:r w:rsidR="008A4862" w:rsidRPr="00715E34">
        <w:rPr>
          <w:rFonts w:hAnsi="標楷體"/>
        </w:rPr>
        <w:t>未善盡主管機關職責與專業能事</w:t>
      </w:r>
      <w:r w:rsidR="008A4862" w:rsidRPr="00715E34">
        <w:rPr>
          <w:rFonts w:hAnsi="標楷體" w:hint="eastAsia"/>
        </w:rPr>
        <w:t>，</w:t>
      </w:r>
      <w:r w:rsidRPr="00715E34">
        <w:rPr>
          <w:rFonts w:hAnsi="標楷體" w:hint="eastAsia"/>
        </w:rPr>
        <w:t>對於新興水源開發欠缺積極有效作為，</w:t>
      </w:r>
      <w:r w:rsidRPr="00715E34">
        <w:rPr>
          <w:rFonts w:hAnsi="標楷體"/>
        </w:rPr>
        <w:t>坐視國內每逢旱季降雨不足即陷入缺水窘境，</w:t>
      </w:r>
      <w:r w:rsidR="00260E6E" w:rsidRPr="00260E6E">
        <w:rPr>
          <w:rFonts w:hAnsi="標楷體" w:hint="eastAsia"/>
        </w:rPr>
        <w:t>確有怠失</w:t>
      </w:r>
      <w:r w:rsidRPr="00715E34">
        <w:rPr>
          <w:rFonts w:hAnsi="標楷體" w:hint="eastAsia"/>
        </w:rPr>
        <w:t>。</w:t>
      </w:r>
    </w:p>
    <w:p w:rsidR="00017F75" w:rsidRPr="00715E34" w:rsidRDefault="00017F75" w:rsidP="00232C83">
      <w:pPr>
        <w:pStyle w:val="2"/>
        <w:topLinePunct/>
        <w:spacing w:beforeLines="25" w:before="114"/>
        <w:ind w:left="1020" w:hanging="680"/>
        <w:rPr>
          <w:rFonts w:hAnsi="標楷體"/>
          <w:b/>
        </w:rPr>
      </w:pPr>
      <w:bookmarkStart w:id="63" w:name="_Toc458000620"/>
      <w:bookmarkStart w:id="64" w:name="_Toc455922285"/>
      <w:bookmarkStart w:id="65" w:name="_Toc455922486"/>
      <w:bookmarkStart w:id="66" w:name="_Toc455922910"/>
      <w:bookmarkStart w:id="67" w:name="_Toc455922278"/>
      <w:bookmarkStart w:id="68" w:name="_Toc455922479"/>
      <w:bookmarkStart w:id="69" w:name="_Toc455922903"/>
      <w:bookmarkStart w:id="70" w:name="_Toc455922271"/>
      <w:bookmarkStart w:id="71" w:name="_Toc455922472"/>
      <w:bookmarkStart w:id="72" w:name="_Toc455922896"/>
      <w:r w:rsidRPr="00715E34">
        <w:rPr>
          <w:rFonts w:hAnsi="標楷體" w:hint="eastAsia"/>
          <w:b/>
        </w:rPr>
        <w:t>目前開發新水源不易且成本提高之情況下，尋求需求面管理途徑更相形重要，囿於現行水權</w:t>
      </w:r>
      <w:r w:rsidRPr="00715E34">
        <w:rPr>
          <w:rFonts w:hAnsi="標楷體" w:hint="eastAsia"/>
          <w:b/>
          <w:szCs w:val="32"/>
        </w:rPr>
        <w:t>制</w:t>
      </w:r>
      <w:r w:rsidRPr="00715E34">
        <w:rPr>
          <w:rFonts w:hAnsi="標楷體" w:hint="eastAsia"/>
          <w:b/>
          <w:szCs w:val="32"/>
          <w:lang w:eastAsia="zh-HK"/>
        </w:rPr>
        <w:t>度</w:t>
      </w:r>
      <w:r w:rsidRPr="00715E34">
        <w:rPr>
          <w:rFonts w:hAnsi="標楷體" w:hint="eastAsia"/>
          <w:b/>
          <w:szCs w:val="32"/>
        </w:rPr>
        <w:t>對於</w:t>
      </w:r>
      <w:r w:rsidRPr="00715E34">
        <w:rPr>
          <w:rFonts w:hAnsi="標楷體" w:hint="eastAsia"/>
          <w:b/>
          <w:szCs w:val="32"/>
          <w:lang w:eastAsia="zh-HK"/>
        </w:rPr>
        <w:t>節水誘因不足，</w:t>
      </w:r>
      <w:r w:rsidRPr="00715E34">
        <w:rPr>
          <w:rFonts w:hAnsi="標楷體" w:hint="eastAsia"/>
          <w:b/>
        </w:rPr>
        <w:t>爰在</w:t>
      </w:r>
      <w:r w:rsidRPr="00715E34">
        <w:rPr>
          <w:rFonts w:hAnsi="標楷體" w:hint="eastAsia"/>
          <w:b/>
          <w:szCs w:val="32"/>
        </w:rPr>
        <w:t>不影響農業灌溉用水</w:t>
      </w:r>
      <w:r w:rsidRPr="00715E34">
        <w:rPr>
          <w:rFonts w:hAnsi="標楷體" w:hint="eastAsia"/>
          <w:b/>
          <w:szCs w:val="32"/>
          <w:lang w:eastAsia="zh-HK"/>
        </w:rPr>
        <w:t>及</w:t>
      </w:r>
      <w:r w:rsidRPr="00715E34">
        <w:rPr>
          <w:rFonts w:hAnsi="標楷體" w:hint="eastAsia"/>
          <w:b/>
          <w:szCs w:val="32"/>
        </w:rPr>
        <w:t>兼顧糧食生產安全之前提下，經濟部允應主動會商農委會等權責機關，積極研</w:t>
      </w:r>
      <w:r w:rsidRPr="00715E34">
        <w:rPr>
          <w:rFonts w:hAnsi="標楷體" w:hint="eastAsia"/>
          <w:b/>
          <w:szCs w:val="32"/>
          <w:lang w:eastAsia="zh-HK"/>
        </w:rPr>
        <w:t>議採取</w:t>
      </w:r>
      <w:r w:rsidRPr="00715E34">
        <w:rPr>
          <w:rFonts w:hAnsi="標楷體" w:hint="eastAsia"/>
          <w:b/>
        </w:rPr>
        <w:t>具體有效之因應策略</w:t>
      </w:r>
      <w:r w:rsidRPr="00715E34">
        <w:rPr>
          <w:rFonts w:hAnsi="標楷體" w:hint="eastAsia"/>
          <w:b/>
          <w:szCs w:val="32"/>
        </w:rPr>
        <w:t>，俾有效提升水資源整體運用效能</w:t>
      </w:r>
      <w:bookmarkEnd w:id="63"/>
    </w:p>
    <w:p w:rsidR="00017F75" w:rsidRPr="00715E34" w:rsidRDefault="00017F75" w:rsidP="00232C83">
      <w:pPr>
        <w:pStyle w:val="3"/>
        <w:topLinePunct/>
        <w:rPr>
          <w:rFonts w:hAnsi="標楷體"/>
          <w:bCs w:val="0"/>
          <w:szCs w:val="32"/>
        </w:rPr>
      </w:pPr>
      <w:r w:rsidRPr="00715E34">
        <w:rPr>
          <w:rFonts w:hAnsi="標楷體" w:hint="eastAsia"/>
        </w:rPr>
        <w:t>我國憲法第143條第2項揭示：「經濟上可供公眾利用</w:t>
      </w:r>
      <w:r w:rsidRPr="00715E34">
        <w:rPr>
          <w:rFonts w:hAnsi="標楷體" w:hint="eastAsia"/>
        </w:rPr>
        <w:lastRenderedPageBreak/>
        <w:t>之天然力，屬於國家所有，不因人民取得土地所有權而受</w:t>
      </w:r>
      <w:r w:rsidRPr="00715E34">
        <w:rPr>
          <w:rFonts w:hAnsi="標楷體" w:hint="eastAsia"/>
          <w:szCs w:val="32"/>
        </w:rPr>
        <w:t>影響</w:t>
      </w:r>
      <w:r w:rsidRPr="00715E34">
        <w:rPr>
          <w:rFonts w:hAnsi="標楷體" w:hint="eastAsia"/>
        </w:rPr>
        <w:t>。」又水利法第2條：「水為天然資源，屬於國家所有，不因人民取得土地所有權而受影響。」同法第15條：「本法所稱水權，謂依法對於地面水或地下水，取得使用或收益之權。」及同法第27條：「水權之取得、設定、移轉、變更或消滅，非依本法登記不生效力。」換言之，</w:t>
      </w:r>
      <w:r w:rsidRPr="00715E34">
        <w:rPr>
          <w:rFonts w:hAnsi="標楷體" w:hint="eastAsia"/>
          <w:bCs w:val="0"/>
          <w:szCs w:val="32"/>
        </w:rPr>
        <w:t>水資源之所有權屬於國家所有，政府具有統籌調配水權之權利，人民僅具有使用權及受益權，水權之移轉或變更皆需經由主管機關之許可。</w:t>
      </w:r>
    </w:p>
    <w:p w:rsidR="00017F75" w:rsidRPr="00715E34" w:rsidRDefault="00017F75" w:rsidP="00232C83">
      <w:pPr>
        <w:pStyle w:val="3"/>
        <w:topLinePunct/>
        <w:rPr>
          <w:rFonts w:hAnsi="標楷體"/>
        </w:rPr>
      </w:pPr>
      <w:r w:rsidRPr="00715E34">
        <w:rPr>
          <w:rFonts w:hAnsi="標楷體" w:hint="eastAsia"/>
        </w:rPr>
        <w:t>按水利法第</w:t>
      </w:r>
      <w:r w:rsidRPr="00715E34">
        <w:rPr>
          <w:rFonts w:hAnsi="標楷體"/>
        </w:rPr>
        <w:t>17</w:t>
      </w:r>
      <w:r w:rsidRPr="00715E34">
        <w:rPr>
          <w:rFonts w:hAnsi="標楷體" w:hint="eastAsia"/>
        </w:rPr>
        <w:t>條規定，核給水量以水權人「事業所必需者為限」，對於水權核准年限屆滿而有延長之必要者，依同法第</w:t>
      </w:r>
      <w:r w:rsidRPr="00715E34">
        <w:rPr>
          <w:rFonts w:hAnsi="標楷體"/>
        </w:rPr>
        <w:t>40</w:t>
      </w:r>
      <w:r w:rsidRPr="00715E34">
        <w:rPr>
          <w:rFonts w:hAnsi="標楷體" w:hint="eastAsia"/>
        </w:rPr>
        <w:t>條規定，水權人申請展限登記，主管機關對此水權之核給仍需考量事業所必需及水文條件等情事；同法施行細則第</w:t>
      </w:r>
      <w:r w:rsidRPr="00715E34">
        <w:rPr>
          <w:rFonts w:hAnsi="標楷體"/>
        </w:rPr>
        <w:t>29</w:t>
      </w:r>
      <w:r w:rsidRPr="00715E34">
        <w:rPr>
          <w:rFonts w:hAnsi="標楷體" w:hint="eastAsia"/>
        </w:rPr>
        <w:t>條規定水權之使用期限，冀期使主管機關就各項用水標的得於一定期間後，就其實際使用情形查核是否仍符合事業之所需，引水地點之水文狀況是否有充足的水量等事項，以達核發之水權水量合理且適當之目標。職是，</w:t>
      </w:r>
      <w:r w:rsidRPr="00715E34">
        <w:rPr>
          <w:rFonts w:hAnsi="標楷體" w:hint="eastAsia"/>
          <w:lang w:eastAsia="zh-HK"/>
        </w:rPr>
        <w:t>依照水利法規，</w:t>
      </w:r>
      <w:r w:rsidRPr="00715E34">
        <w:rPr>
          <w:rFonts w:hAnsi="標楷體" w:hint="eastAsia"/>
        </w:rPr>
        <w:t>主管機關審核水權展限登記，如有多餘水量，須以該水權人「事業所必需者為限」核減原水權之水量。</w:t>
      </w:r>
    </w:p>
    <w:p w:rsidR="00017F75" w:rsidRPr="00715E34" w:rsidRDefault="00017F75" w:rsidP="00232C83">
      <w:pPr>
        <w:pStyle w:val="3"/>
        <w:topLinePunct/>
        <w:rPr>
          <w:rFonts w:hAnsi="標楷體"/>
        </w:rPr>
      </w:pPr>
      <w:r w:rsidRPr="00715E34">
        <w:rPr>
          <w:rFonts w:hAnsi="標楷體" w:hint="eastAsia"/>
          <w:szCs w:val="32"/>
        </w:rPr>
        <w:t>過去我國以農業為主之經濟活動，農業用水依法享有取水優先權，緣於目前有許多水利設施為過去幾百年來之農業水利組織及農民等投入鉅額資金、勞力、精神，興建攔水、蓄水、輸水等水利設施，在當時的協議為水利設施開發者可擁有部分或全部的水權。據農委會查復，</w:t>
      </w:r>
      <w:r w:rsidRPr="00715E34">
        <w:rPr>
          <w:rFonts w:hAnsi="標楷體" w:hint="eastAsia"/>
        </w:rPr>
        <w:t>依石門水庫建設誌所載，石門水庫之建設經費為15.1億元，其中農民</w:t>
      </w:r>
      <w:r w:rsidRPr="00715E34">
        <w:rPr>
          <w:rFonts w:hAnsi="標楷體"/>
        </w:rPr>
        <w:t>（</w:t>
      </w:r>
      <w:r w:rsidRPr="00715E34">
        <w:rPr>
          <w:rFonts w:hAnsi="標楷體" w:hint="eastAsia"/>
        </w:rPr>
        <w:t>桃園及石門農田水利會</w:t>
      </w:r>
      <w:r w:rsidRPr="00715E34">
        <w:rPr>
          <w:rFonts w:hAnsi="標楷體"/>
        </w:rPr>
        <w:t>）</w:t>
      </w:r>
      <w:r w:rsidRPr="00715E34">
        <w:rPr>
          <w:rFonts w:hAnsi="標楷體" w:hint="eastAsia"/>
        </w:rPr>
        <w:t>實際分攤灌溉經費為4.5億</w:t>
      </w:r>
      <w:r w:rsidRPr="00715E34">
        <w:rPr>
          <w:rFonts w:hAnsi="標楷體" w:hint="eastAsia"/>
        </w:rPr>
        <w:lastRenderedPageBreak/>
        <w:t>元，占30%。另於54年起至76年止，由桃園及石門農田水利會負責向農民收取灌溉工程費共計6.6億元。依據水利法第53條第1項規定，申請及獲得水庫水權之權利人，為參加石門水庫開發及分擔費用者；同法第55條第1項規定，為因投資興建石門水庫而增闢水道之水源者；及同法施行細則第44條第4項規定，為石門水庫興建前之其他既有水權人，於水庫興建後改自該水庫內引取水量者。</w:t>
      </w:r>
      <w:r w:rsidRPr="00715E34">
        <w:rPr>
          <w:rFonts w:hAnsi="標楷體" w:cs="Arial"/>
        </w:rPr>
        <w:t>爰此</w:t>
      </w:r>
      <w:r w:rsidRPr="00715E34">
        <w:rPr>
          <w:rFonts w:hAnsi="標楷體"/>
        </w:rPr>
        <w:t>，</w:t>
      </w:r>
      <w:r w:rsidRPr="00715E34">
        <w:rPr>
          <w:rFonts w:hAnsi="標楷體" w:hint="eastAsia"/>
        </w:rPr>
        <w:t>桃園及石門農田水利會為參加石門水庫開發及分擔費用者，基於信賴保護原則應考量其可擁有部分水權之歷史正當性。此外，水利法施行之前，彰化及雲林農田水利會已有濁水溪分水協定之訂定，</w:t>
      </w:r>
      <w:r w:rsidR="000C2E45" w:rsidRPr="00715E34">
        <w:rPr>
          <w:rFonts w:hAnsi="標楷體" w:hint="eastAsia"/>
          <w:lang w:eastAsia="zh-HK"/>
        </w:rPr>
        <w:t>農委會指稱</w:t>
      </w:r>
      <w:r w:rsidRPr="00715E34">
        <w:rPr>
          <w:rFonts w:hAnsi="標楷體" w:hint="eastAsia"/>
          <w:lang w:eastAsia="zh-HK"/>
        </w:rPr>
        <w:t>，</w:t>
      </w:r>
      <w:r w:rsidRPr="00715E34">
        <w:rPr>
          <w:rFonts w:hAnsi="標楷體" w:hint="eastAsia"/>
        </w:rPr>
        <w:t>農田水利會灌溉用水為世代農民披荊斬棘，投入鉅額資產、勞</w:t>
      </w:r>
      <w:r w:rsidRPr="00715E34">
        <w:rPr>
          <w:rFonts w:hAnsi="標楷體" w:hint="eastAsia"/>
          <w:szCs w:val="32"/>
        </w:rPr>
        <w:t>力興建攔水、蓄水、輸水等設施，始擁有可靠之灌溉用水，符合水權取得之規定。</w:t>
      </w:r>
    </w:p>
    <w:p w:rsidR="00017F75" w:rsidRPr="00715E34" w:rsidRDefault="00017F75" w:rsidP="00232C83">
      <w:pPr>
        <w:pStyle w:val="3"/>
        <w:topLinePunct/>
        <w:rPr>
          <w:rFonts w:hAnsi="標楷體"/>
        </w:rPr>
      </w:pPr>
      <w:r w:rsidRPr="00715E34">
        <w:rPr>
          <w:rFonts w:hAnsi="標楷體" w:hint="eastAsia"/>
          <w:szCs w:val="32"/>
        </w:rPr>
        <w:t>雖</w:t>
      </w:r>
      <w:r w:rsidRPr="00715E34">
        <w:rPr>
          <w:rFonts w:hAnsi="標楷體" w:hint="eastAsia"/>
          <w:szCs w:val="32"/>
          <w:lang w:eastAsia="zh-HK"/>
        </w:rPr>
        <w:t>農田水利會</w:t>
      </w:r>
      <w:r w:rsidRPr="00715E34">
        <w:rPr>
          <w:rFonts w:hAnsi="標楷體" w:hint="eastAsia"/>
          <w:szCs w:val="32"/>
        </w:rPr>
        <w:t>因早年參與水庫建設或自行興設水利設施而能擁有大多數水權，</w:t>
      </w:r>
      <w:r w:rsidRPr="00715E34">
        <w:rPr>
          <w:rFonts w:hAnsi="標楷體"/>
          <w:szCs w:val="32"/>
        </w:rPr>
        <w:t>惟無可否認</w:t>
      </w:r>
      <w:r w:rsidRPr="00715E34">
        <w:rPr>
          <w:rFonts w:hAnsi="標楷體" w:hint="eastAsia"/>
          <w:szCs w:val="32"/>
        </w:rPr>
        <w:t>，農田水利會常年接受鉅額之</w:t>
      </w:r>
      <w:r w:rsidRPr="00715E34">
        <w:rPr>
          <w:rFonts w:hAnsi="標楷體"/>
          <w:szCs w:val="32"/>
        </w:rPr>
        <w:t>公務預算</w:t>
      </w:r>
      <w:r w:rsidRPr="00715E34">
        <w:rPr>
          <w:rFonts w:hAnsi="標楷體" w:hint="eastAsia"/>
          <w:szCs w:val="32"/>
        </w:rPr>
        <w:t>補助，</w:t>
      </w:r>
      <w:r w:rsidRPr="00715E34">
        <w:rPr>
          <w:rFonts w:hAnsi="標楷體"/>
          <w:szCs w:val="32"/>
        </w:rPr>
        <w:t>其中更不</w:t>
      </w:r>
      <w:r w:rsidRPr="00715E34">
        <w:rPr>
          <w:rFonts w:hAnsi="標楷體" w:hint="eastAsia"/>
          <w:szCs w:val="32"/>
        </w:rPr>
        <w:t>乏補助</w:t>
      </w:r>
      <w:r w:rsidRPr="00715E34">
        <w:rPr>
          <w:rFonts w:hAnsi="標楷體"/>
          <w:szCs w:val="32"/>
        </w:rPr>
        <w:t>農民繳交農田水利會會費</w:t>
      </w:r>
      <w:r w:rsidRPr="00715E34">
        <w:rPr>
          <w:rFonts w:hAnsi="標楷體" w:hint="eastAsia"/>
          <w:szCs w:val="32"/>
        </w:rPr>
        <w:t>、</w:t>
      </w:r>
      <w:r w:rsidRPr="00715E34">
        <w:rPr>
          <w:rFonts w:hAnsi="標楷體"/>
          <w:szCs w:val="32"/>
        </w:rPr>
        <w:t>改善農田灌溉及排水渠道</w:t>
      </w:r>
      <w:r w:rsidRPr="00715E34">
        <w:rPr>
          <w:rFonts w:hAnsi="標楷體" w:hint="eastAsia"/>
          <w:szCs w:val="32"/>
        </w:rPr>
        <w:t>等相關</w:t>
      </w:r>
      <w:r w:rsidRPr="00715E34">
        <w:rPr>
          <w:rFonts w:hAnsi="標楷體"/>
          <w:szCs w:val="32"/>
        </w:rPr>
        <w:t>之經費</w:t>
      </w:r>
      <w:r w:rsidRPr="00715E34">
        <w:rPr>
          <w:rFonts w:hAnsi="標楷體" w:hint="eastAsia"/>
          <w:szCs w:val="32"/>
          <w:lang w:eastAsia="zh-HK"/>
        </w:rPr>
        <w:t>，如</w:t>
      </w:r>
      <w:r w:rsidRPr="00715E34">
        <w:rPr>
          <w:rFonts w:hAnsi="標楷體"/>
          <w:szCs w:val="32"/>
        </w:rPr>
        <w:t>自83年起，政</w:t>
      </w:r>
      <w:r w:rsidRPr="00715E34">
        <w:rPr>
          <w:rFonts w:hAnsi="標楷體"/>
        </w:rPr>
        <w:t>府</w:t>
      </w:r>
      <w:r w:rsidRPr="00715E34">
        <w:rPr>
          <w:rFonts w:hAnsi="標楷體" w:hint="eastAsia"/>
        </w:rPr>
        <w:t>每年</w:t>
      </w:r>
      <w:r w:rsidRPr="00715E34">
        <w:rPr>
          <w:rFonts w:hAnsi="標楷體"/>
          <w:szCs w:val="32"/>
        </w:rPr>
        <w:t>補助</w:t>
      </w:r>
      <w:r w:rsidRPr="00715E34">
        <w:rPr>
          <w:rFonts w:hAnsi="標楷體" w:hint="eastAsia"/>
          <w:szCs w:val="32"/>
        </w:rPr>
        <w:t>農民</w:t>
      </w:r>
      <w:r w:rsidRPr="00715E34">
        <w:rPr>
          <w:rFonts w:hAnsi="標楷體" w:hint="eastAsia"/>
        </w:rPr>
        <w:t>代繳會費</w:t>
      </w:r>
      <w:r w:rsidRPr="00715E34">
        <w:rPr>
          <w:rFonts w:hAnsi="標楷體"/>
        </w:rPr>
        <w:t>22.3</w:t>
      </w:r>
      <w:r w:rsidRPr="00715E34">
        <w:rPr>
          <w:rFonts w:hAnsi="標楷體" w:hint="eastAsia"/>
        </w:rPr>
        <w:t>億元；茲據</w:t>
      </w:r>
      <w:r w:rsidRPr="00715E34">
        <w:rPr>
          <w:rFonts w:hAnsi="標楷體" w:hint="eastAsia"/>
          <w:szCs w:val="32"/>
        </w:rPr>
        <w:t>農業統計年報所示，農委會94年至103年補助農田水利會辦理農田灌溉排水設施新建改善與歲修養護工程</w:t>
      </w:r>
      <w:r w:rsidRPr="00715E34">
        <w:rPr>
          <w:rFonts w:hAnsi="標楷體" w:hint="eastAsia"/>
          <w:szCs w:val="32"/>
          <w:lang w:eastAsia="zh-HK"/>
        </w:rPr>
        <w:t>共計</w:t>
      </w:r>
      <w:r w:rsidRPr="00715E34">
        <w:rPr>
          <w:rFonts w:hAnsi="標楷體" w:hint="eastAsia"/>
          <w:szCs w:val="32"/>
        </w:rPr>
        <w:t>245.7億元</w:t>
      </w:r>
      <w:r w:rsidRPr="00715E34">
        <w:rPr>
          <w:rFonts w:hAnsi="標楷體" w:hint="eastAsia"/>
        </w:rPr>
        <w:t>；又</w:t>
      </w:r>
      <w:r w:rsidRPr="00715E34">
        <w:rPr>
          <w:rFonts w:hAnsi="標楷體" w:hint="eastAsia"/>
          <w:szCs w:val="32"/>
        </w:rPr>
        <w:t>農委會</w:t>
      </w:r>
      <w:r w:rsidRPr="00715E34">
        <w:rPr>
          <w:rFonts w:hAnsi="標楷體" w:hint="eastAsia"/>
        </w:rPr>
        <w:t>補助</w:t>
      </w:r>
      <w:r w:rsidRPr="00715E34">
        <w:rPr>
          <w:rFonts w:hAnsi="標楷體" w:hint="eastAsia"/>
          <w:szCs w:val="32"/>
        </w:rPr>
        <w:t>農田水利會</w:t>
      </w:r>
      <w:r w:rsidRPr="00715E34">
        <w:rPr>
          <w:rFonts w:hAnsi="標楷體" w:hint="eastAsia"/>
          <w:szCs w:val="32"/>
          <w:lang w:eastAsia="zh-HK"/>
        </w:rPr>
        <w:t>104年至</w:t>
      </w:r>
      <w:r w:rsidRPr="00715E34">
        <w:rPr>
          <w:rFonts w:hAnsi="標楷體" w:hint="eastAsia"/>
        </w:rPr>
        <w:t>105年營運經費</w:t>
      </w:r>
      <w:r w:rsidRPr="00715E34">
        <w:rPr>
          <w:rFonts w:hAnsi="標楷體" w:hint="eastAsia"/>
          <w:szCs w:val="32"/>
        </w:rPr>
        <w:t>達89億元</w:t>
      </w:r>
      <w:r w:rsidRPr="00715E34">
        <w:rPr>
          <w:rFonts w:hAnsi="標楷體" w:hint="eastAsia"/>
        </w:rPr>
        <w:t>。</w:t>
      </w:r>
      <w:r w:rsidRPr="00715E34">
        <w:rPr>
          <w:rFonts w:hAnsi="標楷體" w:hint="eastAsia"/>
          <w:lang w:eastAsia="zh-HK"/>
        </w:rPr>
        <w:t>另</w:t>
      </w:r>
      <w:r w:rsidRPr="00715E34">
        <w:rPr>
          <w:rFonts w:hAnsi="標楷體" w:hint="eastAsia"/>
        </w:rPr>
        <w:t>經</w:t>
      </w:r>
      <w:r w:rsidRPr="00715E34">
        <w:rPr>
          <w:rFonts w:hAnsi="標楷體"/>
        </w:rPr>
        <w:t>本院諮詢</w:t>
      </w:r>
      <w:r w:rsidRPr="00715E34">
        <w:rPr>
          <w:rFonts w:hAnsi="標楷體" w:hint="eastAsia"/>
        </w:rPr>
        <w:t>專家學者咸認，現行</w:t>
      </w:r>
      <w:r w:rsidRPr="00715E34">
        <w:rPr>
          <w:rFonts w:hAnsi="標楷體" w:hint="eastAsia"/>
          <w:szCs w:val="32"/>
        </w:rPr>
        <w:t>水權</w:t>
      </w:r>
      <w:r w:rsidRPr="00715E34">
        <w:rPr>
          <w:rFonts w:hAnsi="標楷體" w:hint="eastAsia"/>
          <w:szCs w:val="32"/>
          <w:lang w:eastAsia="zh-HK"/>
        </w:rPr>
        <w:t>制度</w:t>
      </w:r>
      <w:r w:rsidRPr="00715E34">
        <w:rPr>
          <w:rFonts w:hAnsi="標楷體" w:hint="eastAsia"/>
        </w:rPr>
        <w:t>缺乏</w:t>
      </w:r>
      <w:r w:rsidRPr="00715E34">
        <w:rPr>
          <w:rFonts w:hAnsi="標楷體" w:hint="eastAsia"/>
          <w:lang w:eastAsia="zh-HK"/>
        </w:rPr>
        <w:t>鼓勵用水人</w:t>
      </w:r>
      <w:r w:rsidRPr="00715E34">
        <w:rPr>
          <w:rFonts w:hAnsi="標楷體" w:hint="eastAsia"/>
        </w:rPr>
        <w:t>提升用水效率</w:t>
      </w:r>
      <w:r w:rsidRPr="00715E34">
        <w:rPr>
          <w:rFonts w:hAnsi="標楷體" w:hint="eastAsia"/>
          <w:lang w:eastAsia="zh-HK"/>
        </w:rPr>
        <w:t>之</w:t>
      </w:r>
      <w:r w:rsidRPr="00715E34">
        <w:rPr>
          <w:rFonts w:hAnsi="標楷體" w:hint="eastAsia"/>
        </w:rPr>
        <w:t>動機，主因摘整</w:t>
      </w:r>
      <w:r w:rsidRPr="00715E34">
        <w:rPr>
          <w:rFonts w:hAnsi="標楷體"/>
        </w:rPr>
        <w:t>如下</w:t>
      </w:r>
      <w:r w:rsidRPr="00715E34">
        <w:rPr>
          <w:rFonts w:hAnsi="標楷體" w:hint="eastAsia"/>
        </w:rPr>
        <w:t>：</w:t>
      </w:r>
    </w:p>
    <w:p w:rsidR="00017F75" w:rsidRPr="00715E34" w:rsidRDefault="00017F75" w:rsidP="00232C83">
      <w:pPr>
        <w:pStyle w:val="4"/>
        <w:topLinePunct/>
        <w:rPr>
          <w:rFonts w:hAnsi="標楷體"/>
        </w:rPr>
      </w:pPr>
      <w:r w:rsidRPr="00715E34">
        <w:rPr>
          <w:rFonts w:hAnsi="標楷體" w:hint="eastAsia"/>
        </w:rPr>
        <w:t>國</w:t>
      </w:r>
      <w:r w:rsidR="00647D7E">
        <w:rPr>
          <w:rFonts w:hAnsi="標楷體" w:hint="eastAsia"/>
        </w:rPr>
        <w:t>內</w:t>
      </w:r>
      <w:r w:rsidRPr="00715E34">
        <w:rPr>
          <w:rFonts w:hAnsi="標楷體"/>
          <w:lang w:eastAsia="zh-HK"/>
        </w:rPr>
        <w:t>的缺水問題有季節性和地域性的特性，根據水利法的規定，水的所有權屬於國家，人民只能</w:t>
      </w:r>
      <w:r w:rsidRPr="00715E34">
        <w:rPr>
          <w:rFonts w:hAnsi="標楷體"/>
          <w:lang w:eastAsia="zh-HK"/>
        </w:rPr>
        <w:lastRenderedPageBreak/>
        <w:t>就事業所需向主管機關申請水的使用權利，而水利法又規定水權不能轉售或出讓，因此水權持有人只好將其所擁有的水資源充分使用，一直到邊際產量等於零的階段，形成浪費用水的現象，可見限制移轉是影響水資源有效利用的致命傷。</w:t>
      </w:r>
    </w:p>
    <w:p w:rsidR="00017F75" w:rsidRPr="00715E34" w:rsidRDefault="00017F75" w:rsidP="00232C83">
      <w:pPr>
        <w:pStyle w:val="4"/>
        <w:topLinePunct/>
        <w:rPr>
          <w:rFonts w:hAnsi="標楷體"/>
        </w:rPr>
      </w:pPr>
      <w:r w:rsidRPr="00715E34">
        <w:rPr>
          <w:rFonts w:hAnsi="標楷體"/>
          <w:lang w:eastAsia="zh-HK"/>
        </w:rPr>
        <w:t>農業部門擁有的水權約為70%，</w:t>
      </w:r>
      <w:r w:rsidRPr="00715E34">
        <w:rPr>
          <w:rFonts w:hAnsi="標楷體" w:hint="eastAsia"/>
          <w:lang w:eastAsia="zh-HK"/>
        </w:rPr>
        <w:t>為全世界最高，</w:t>
      </w:r>
      <w:r w:rsidRPr="00715E34">
        <w:rPr>
          <w:rFonts w:hAnsi="標楷體"/>
          <w:lang w:eastAsia="zh-HK"/>
        </w:rPr>
        <w:t>且農業用水也占約70%，可見限制水權移轉真的造成水權持有人將其份額充分使用的現象。但另一方面，擁有及使用70%水資源的農業部門卻只生產2%的國民總生產值，可見水資源分配</w:t>
      </w:r>
      <w:r w:rsidRPr="00715E34">
        <w:rPr>
          <w:rFonts w:hAnsi="標楷體" w:hint="eastAsia"/>
        </w:rPr>
        <w:t>不均</w:t>
      </w:r>
      <w:r w:rsidRPr="00715E34">
        <w:rPr>
          <w:rFonts w:hAnsi="標楷體"/>
          <w:lang w:eastAsia="zh-HK"/>
        </w:rPr>
        <w:t>。因此，若能建立水權重分配、水權交易制度的建立，</w:t>
      </w:r>
      <w:r w:rsidRPr="00715E34">
        <w:rPr>
          <w:rFonts w:hAnsi="標楷體" w:hint="eastAsia"/>
          <w:lang w:eastAsia="zh-HK"/>
        </w:rPr>
        <w:t>在不影響農民權益及國家運用水資源，合情合理移用農業水權至民生及工業，又不影響農業生產，</w:t>
      </w:r>
      <w:r w:rsidRPr="00715E34">
        <w:rPr>
          <w:rFonts w:hAnsi="標楷體"/>
          <w:lang w:eastAsia="zh-HK"/>
        </w:rPr>
        <w:t>應可以解決國內水資源供需不均衡的根本問題。</w:t>
      </w:r>
    </w:p>
    <w:p w:rsidR="00017F75" w:rsidRPr="00715E34" w:rsidRDefault="00017F75" w:rsidP="00232C83">
      <w:pPr>
        <w:pStyle w:val="4"/>
        <w:topLinePunct/>
        <w:rPr>
          <w:rFonts w:hAnsi="標楷體"/>
        </w:rPr>
      </w:pPr>
      <w:r w:rsidRPr="00715E34">
        <w:rPr>
          <w:rFonts w:hAnsi="標楷體" w:hint="eastAsia"/>
          <w:lang w:eastAsia="zh-HK"/>
        </w:rPr>
        <w:t>專家學者</w:t>
      </w:r>
      <w:r w:rsidRPr="00715E34">
        <w:rPr>
          <w:rFonts w:hAnsi="標楷體"/>
        </w:rPr>
        <w:t>建議修水利法容許水權交易，以提供誘因讓農業提高用水效率，並能充分提供其他部門（如工業部門）用水的需要。這對整體經濟用水效率的提高（甚至</w:t>
      </w:r>
      <w:r w:rsidRPr="00715E34">
        <w:rPr>
          <w:rFonts w:hAnsi="標楷體" w:hint="eastAsia"/>
        </w:rPr>
        <w:t>紓</w:t>
      </w:r>
      <w:r w:rsidRPr="00715E34">
        <w:rPr>
          <w:rFonts w:hAnsi="標楷體"/>
        </w:rPr>
        <w:t>解供水瓶頸）至關重要。</w:t>
      </w:r>
      <w:r w:rsidRPr="00715E34">
        <w:rPr>
          <w:rFonts w:hAnsi="標楷體"/>
          <w:lang w:eastAsia="zh-HK"/>
        </w:rPr>
        <w:t>中長期而言，水權交易可促使農業部門有誘因</w:t>
      </w:r>
      <w:r w:rsidRPr="00715E34">
        <w:rPr>
          <w:rFonts w:hAnsi="標楷體"/>
        </w:rPr>
        <w:t>（收益）</w:t>
      </w:r>
      <w:r w:rsidRPr="00715E34">
        <w:rPr>
          <w:rFonts w:hAnsi="標楷體"/>
          <w:lang w:eastAsia="zh-HK"/>
        </w:rPr>
        <w:t>提高用水效率，讓節約用水比較困難的高產值產業有水可用，現階段水權交易在法律上有限制，考慮可以在中長期修法。</w:t>
      </w:r>
    </w:p>
    <w:p w:rsidR="00017F75" w:rsidRPr="00715E34" w:rsidRDefault="00017F75" w:rsidP="00232C83">
      <w:pPr>
        <w:pStyle w:val="3"/>
        <w:topLinePunct/>
        <w:rPr>
          <w:rFonts w:hAnsi="標楷體"/>
        </w:rPr>
      </w:pPr>
      <w:r w:rsidRPr="00715E34">
        <w:rPr>
          <w:rFonts w:hAnsi="標楷體" w:hint="eastAsia"/>
          <w:szCs w:val="32"/>
        </w:rPr>
        <w:t>關於農業部門將餘水轉供其他標的使用之現況，目前農業用水移用補償</w:t>
      </w:r>
      <w:r w:rsidRPr="00715E34">
        <w:rPr>
          <w:rFonts w:hAnsi="標楷體" w:hint="eastAsia"/>
          <w:szCs w:val="32"/>
          <w:lang w:eastAsia="zh-HK"/>
        </w:rPr>
        <w:t>費</w:t>
      </w:r>
      <w:r w:rsidRPr="00715E34">
        <w:rPr>
          <w:rFonts w:hAnsi="標楷體" w:hint="eastAsia"/>
          <w:szCs w:val="32"/>
        </w:rPr>
        <w:t>多依據農業部門轉作其他作物之經濟損失、農田水利會加強灌溉管理之費用等</w:t>
      </w:r>
      <w:r w:rsidRPr="00715E34">
        <w:rPr>
          <w:rFonts w:hAnsi="標楷體" w:hint="eastAsia"/>
          <w:szCs w:val="32"/>
          <w:lang w:eastAsia="zh-HK"/>
        </w:rPr>
        <w:t>作為計算基礎，</w:t>
      </w:r>
      <w:r w:rsidRPr="00715E34">
        <w:rPr>
          <w:rFonts w:hAnsi="標楷體" w:hint="eastAsia"/>
          <w:szCs w:val="32"/>
        </w:rPr>
        <w:t>此由</w:t>
      </w:r>
      <w:r w:rsidRPr="00715E34">
        <w:rPr>
          <w:rFonts w:hAnsi="標楷體" w:hint="eastAsia"/>
          <w:szCs w:val="32"/>
          <w:lang w:eastAsia="zh-HK"/>
        </w:rPr>
        <w:t>農委會查復各農田水利會99年至103年向工業部門收取之移用水補償單價介於</w:t>
      </w:r>
      <w:r w:rsidRPr="00715E34">
        <w:rPr>
          <w:rFonts w:hAnsi="標楷體" w:hint="eastAsia"/>
          <w:szCs w:val="32"/>
          <w:lang w:eastAsia="zh-HK"/>
        </w:rPr>
        <w:lastRenderedPageBreak/>
        <w:t>0.741元/立方公尺至10.5元/立方公尺</w:t>
      </w:r>
      <w:r w:rsidRPr="00715E34">
        <w:rPr>
          <w:rFonts w:hAnsi="標楷體"/>
          <w:szCs w:val="32"/>
          <w:vertAlign w:val="superscript"/>
          <w:lang w:eastAsia="zh-HK"/>
        </w:rPr>
        <w:footnoteReference w:id="3"/>
      </w:r>
      <w:r w:rsidRPr="00715E34">
        <w:rPr>
          <w:rFonts w:hAnsi="標楷體" w:hint="eastAsia"/>
          <w:szCs w:val="32"/>
        </w:rPr>
        <w:t>足以佐證。雖</w:t>
      </w:r>
      <w:r w:rsidRPr="00715E34">
        <w:rPr>
          <w:rFonts w:hAnsi="標楷體" w:hint="eastAsia"/>
          <w:szCs w:val="32"/>
          <w:lang w:eastAsia="zh-HK"/>
        </w:rPr>
        <w:t>農作物</w:t>
      </w:r>
      <w:r w:rsidRPr="00715E34">
        <w:rPr>
          <w:rFonts w:hAnsi="標楷體" w:hint="eastAsia"/>
          <w:szCs w:val="32"/>
        </w:rPr>
        <w:t>及灌溉用</w:t>
      </w:r>
      <w:r w:rsidRPr="00715E34">
        <w:rPr>
          <w:rFonts w:hAnsi="標楷體" w:hint="eastAsia"/>
          <w:szCs w:val="32"/>
          <w:lang w:eastAsia="zh-HK"/>
        </w:rPr>
        <w:t>水</w:t>
      </w:r>
      <w:r w:rsidRPr="00715E34">
        <w:rPr>
          <w:rFonts w:hAnsi="標楷體" w:hint="eastAsia"/>
          <w:szCs w:val="32"/>
        </w:rPr>
        <w:t>能創造</w:t>
      </w:r>
      <w:r w:rsidRPr="00715E34">
        <w:rPr>
          <w:rFonts w:hAnsi="標楷體" w:hint="eastAsia"/>
          <w:szCs w:val="32"/>
          <w:lang w:eastAsia="zh-HK"/>
        </w:rPr>
        <w:t>二氧化碳減量、</w:t>
      </w:r>
      <w:r w:rsidRPr="00715E34">
        <w:rPr>
          <w:rFonts w:hAnsi="標楷體"/>
          <w:szCs w:val="32"/>
          <w:lang w:eastAsia="zh-HK"/>
        </w:rPr>
        <w:t>減少地層下陷</w:t>
      </w:r>
      <w:r w:rsidRPr="00715E34">
        <w:rPr>
          <w:rFonts w:hAnsi="標楷體" w:hint="eastAsia"/>
          <w:szCs w:val="32"/>
        </w:rPr>
        <w:t>、</w:t>
      </w:r>
      <w:r w:rsidRPr="00715E34">
        <w:rPr>
          <w:rFonts w:hAnsi="標楷體"/>
          <w:szCs w:val="32"/>
          <w:lang w:eastAsia="zh-HK"/>
        </w:rPr>
        <w:t>溫度調節</w:t>
      </w:r>
      <w:r w:rsidRPr="00715E34">
        <w:rPr>
          <w:rFonts w:hAnsi="標楷體" w:hint="eastAsia"/>
          <w:szCs w:val="32"/>
        </w:rPr>
        <w:t>、</w:t>
      </w:r>
      <w:r w:rsidRPr="00715E34">
        <w:rPr>
          <w:rFonts w:hAnsi="標楷體"/>
          <w:szCs w:val="32"/>
          <w:lang w:eastAsia="zh-HK"/>
        </w:rPr>
        <w:t>補注地下水</w:t>
      </w:r>
      <w:r w:rsidRPr="00715E34">
        <w:rPr>
          <w:rFonts w:hAnsi="標楷體" w:hint="eastAsia"/>
          <w:szCs w:val="32"/>
          <w:lang w:eastAsia="zh-HK"/>
        </w:rPr>
        <w:t>之生態</w:t>
      </w:r>
      <w:r w:rsidRPr="00715E34">
        <w:rPr>
          <w:rFonts w:hAnsi="標楷體"/>
          <w:szCs w:val="32"/>
          <w:lang w:eastAsia="zh-HK"/>
        </w:rPr>
        <w:t>環境效益</w:t>
      </w:r>
      <w:r w:rsidRPr="00715E34">
        <w:rPr>
          <w:rStyle w:val="aff2"/>
          <w:rFonts w:hAnsi="標楷體"/>
          <w:szCs w:val="32"/>
          <w:lang w:eastAsia="zh-HK"/>
        </w:rPr>
        <w:footnoteReference w:id="4"/>
      </w:r>
      <w:r w:rsidRPr="00715E34">
        <w:rPr>
          <w:rFonts w:hAnsi="標楷體" w:hint="eastAsia"/>
          <w:szCs w:val="32"/>
        </w:rPr>
        <w:t>，然前述</w:t>
      </w:r>
      <w:r w:rsidRPr="00715E34">
        <w:rPr>
          <w:rFonts w:hAnsi="標楷體" w:hint="eastAsia"/>
          <w:szCs w:val="32"/>
          <w:lang w:eastAsia="zh-HK"/>
        </w:rPr>
        <w:t>移用補償</w:t>
      </w:r>
      <w:r w:rsidRPr="00715E34">
        <w:rPr>
          <w:rFonts w:hAnsi="標楷體" w:hint="eastAsia"/>
          <w:szCs w:val="32"/>
        </w:rPr>
        <w:t>費用卻</w:t>
      </w:r>
      <w:r w:rsidRPr="00715E34">
        <w:rPr>
          <w:rFonts w:hAnsi="標楷體" w:hint="eastAsia"/>
          <w:szCs w:val="32"/>
          <w:lang w:eastAsia="zh-HK"/>
        </w:rPr>
        <w:t>未加以衡酌</w:t>
      </w:r>
      <w:r w:rsidRPr="00715E34">
        <w:rPr>
          <w:rFonts w:hAnsi="標楷體" w:hint="eastAsia"/>
          <w:szCs w:val="32"/>
        </w:rPr>
        <w:t>溉灌用水轉供其他標的後</w:t>
      </w:r>
      <w:r w:rsidRPr="00715E34">
        <w:rPr>
          <w:rFonts w:hAnsi="標楷體" w:hint="eastAsia"/>
          <w:szCs w:val="32"/>
          <w:lang w:eastAsia="zh-HK"/>
        </w:rPr>
        <w:t>農</w:t>
      </w:r>
      <w:r w:rsidRPr="00715E34">
        <w:rPr>
          <w:rFonts w:hAnsi="標楷體" w:hint="eastAsia"/>
          <w:szCs w:val="32"/>
        </w:rPr>
        <w:t>業相關環境效益減損</w:t>
      </w:r>
      <w:r w:rsidRPr="00715E34">
        <w:rPr>
          <w:rFonts w:hAnsi="標楷體" w:hint="eastAsia"/>
          <w:szCs w:val="32"/>
          <w:lang w:eastAsia="zh-HK"/>
        </w:rPr>
        <w:t>，</w:t>
      </w:r>
      <w:r w:rsidRPr="00715E34">
        <w:rPr>
          <w:rFonts w:hAnsi="標楷體" w:hint="eastAsia"/>
          <w:szCs w:val="32"/>
        </w:rPr>
        <w:t>以及調用水人生產效益（經濟產值）、使用</w:t>
      </w:r>
      <w:r w:rsidRPr="00715E34">
        <w:rPr>
          <w:rFonts w:hAnsi="標楷體" w:hint="eastAsia"/>
          <w:szCs w:val="32"/>
          <w:lang w:eastAsia="zh-HK"/>
        </w:rPr>
        <w:t>替代水源</w:t>
      </w:r>
      <w:r w:rsidRPr="00715E34">
        <w:rPr>
          <w:rFonts w:hAnsi="標楷體" w:hint="eastAsia"/>
          <w:szCs w:val="32"/>
        </w:rPr>
        <w:t>（如再生水、海淡水）成本</w:t>
      </w:r>
      <w:r w:rsidRPr="00715E34">
        <w:rPr>
          <w:rStyle w:val="aff2"/>
          <w:rFonts w:hAnsi="標楷體"/>
          <w:szCs w:val="32"/>
        </w:rPr>
        <w:footnoteReference w:id="5"/>
      </w:r>
      <w:r w:rsidRPr="00715E34">
        <w:rPr>
          <w:rFonts w:hAnsi="標楷體" w:hint="eastAsia"/>
          <w:szCs w:val="32"/>
        </w:rPr>
        <w:t>等項目，</w:t>
      </w:r>
      <w:r w:rsidRPr="00715E34">
        <w:rPr>
          <w:rFonts w:hAnsi="標楷體" w:hint="eastAsia"/>
          <w:szCs w:val="32"/>
          <w:lang w:eastAsia="zh-HK"/>
        </w:rPr>
        <w:t>惟</w:t>
      </w:r>
      <w:r w:rsidRPr="00715E34">
        <w:rPr>
          <w:rFonts w:hAnsi="標楷體" w:hint="eastAsia"/>
          <w:szCs w:val="32"/>
        </w:rPr>
        <w:t>在水資源日益趨緊之下，欲促使農業部門</w:t>
      </w:r>
      <w:r w:rsidRPr="00715E34">
        <w:rPr>
          <w:rFonts w:hAnsi="標楷體" w:hint="eastAsia"/>
          <w:szCs w:val="32"/>
          <w:lang w:eastAsia="zh-HK"/>
        </w:rPr>
        <w:t>提升用水效率</w:t>
      </w:r>
      <w:r w:rsidRPr="00715E34">
        <w:rPr>
          <w:rFonts w:hAnsi="標楷體" w:hint="eastAsia"/>
          <w:szCs w:val="32"/>
        </w:rPr>
        <w:t>進而增強支援其他標的用水之能力，需要有</w:t>
      </w:r>
      <w:r w:rsidRPr="00715E34">
        <w:rPr>
          <w:rFonts w:hAnsi="標楷體" w:hint="eastAsia"/>
          <w:szCs w:val="32"/>
          <w:lang w:eastAsia="zh-HK"/>
        </w:rPr>
        <w:t>相當</w:t>
      </w:r>
      <w:r w:rsidRPr="00715E34">
        <w:rPr>
          <w:rFonts w:hAnsi="標楷體" w:hint="eastAsia"/>
          <w:szCs w:val="32"/>
        </w:rPr>
        <w:t>足夠之誘因。</w:t>
      </w:r>
    </w:p>
    <w:p w:rsidR="00017F75" w:rsidRPr="00D973B1" w:rsidRDefault="00017F75" w:rsidP="008D1EB0">
      <w:pPr>
        <w:pStyle w:val="3"/>
        <w:topLinePunct/>
        <w:rPr>
          <w:rFonts w:hAnsi="標楷體"/>
        </w:rPr>
      </w:pPr>
      <w:r w:rsidRPr="00D973B1">
        <w:rPr>
          <w:rFonts w:hAnsi="標楷體" w:hint="eastAsia"/>
        </w:rPr>
        <w:t>由於國內經濟社會環境之重大變</w:t>
      </w:r>
      <w:r w:rsidR="00654E1B" w:rsidRPr="00D973B1">
        <w:rPr>
          <w:rFonts w:hAnsi="標楷體" w:hint="eastAsia"/>
        </w:rPr>
        <w:t>異，農業產值雖對</w:t>
      </w:r>
      <w:r w:rsidRPr="00D973B1">
        <w:rPr>
          <w:rFonts w:hAnsi="標楷體" w:hint="eastAsia"/>
        </w:rPr>
        <w:t>經濟成長之貢獻較其他產業為低，但也不能忽視農業在生產、生活及生態等三生方面之多功能貢獻，如灌溉用水對國土保育及水田做為天然地下水庫等之環境效益，</w:t>
      </w:r>
      <w:r w:rsidRPr="00D973B1">
        <w:rPr>
          <w:rFonts w:hAnsi="標楷體" w:hint="eastAsia"/>
          <w:lang w:eastAsia="zh-HK"/>
        </w:rPr>
        <w:t>擴及</w:t>
      </w:r>
      <w:r w:rsidRPr="00D973B1">
        <w:rPr>
          <w:rFonts w:hAnsi="標楷體" w:hint="eastAsia"/>
        </w:rPr>
        <w:t>全體國民；工業雖經濟產值高，然</w:t>
      </w:r>
      <w:r w:rsidRPr="00D973B1">
        <w:rPr>
          <w:rFonts w:hAnsi="標楷體"/>
        </w:rPr>
        <w:t>其所</w:t>
      </w:r>
      <w:r w:rsidRPr="00D973B1">
        <w:rPr>
          <w:rFonts w:hAnsi="標楷體" w:hint="eastAsia"/>
        </w:rPr>
        <w:t>產</w:t>
      </w:r>
      <w:r w:rsidRPr="00D973B1">
        <w:rPr>
          <w:rFonts w:hAnsi="標楷體"/>
        </w:rPr>
        <w:t>生</w:t>
      </w:r>
      <w:r w:rsidRPr="00D973B1">
        <w:rPr>
          <w:rFonts w:hAnsi="標楷體" w:hint="eastAsia"/>
        </w:rPr>
        <w:t>之</w:t>
      </w:r>
      <w:r w:rsidRPr="00D973B1">
        <w:rPr>
          <w:rFonts w:hAnsi="標楷體"/>
        </w:rPr>
        <w:t>廢水</w:t>
      </w:r>
      <w:r w:rsidRPr="00D973B1">
        <w:rPr>
          <w:rFonts w:hAnsi="標楷體" w:hint="eastAsia"/>
        </w:rPr>
        <w:t>如未善加淨化處理，將會</w:t>
      </w:r>
      <w:r w:rsidRPr="00D973B1">
        <w:rPr>
          <w:rFonts w:hAnsi="標楷體"/>
        </w:rPr>
        <w:t>污染水資源</w:t>
      </w:r>
      <w:r w:rsidRPr="00D973B1">
        <w:rPr>
          <w:rFonts w:hAnsi="標楷體" w:hint="eastAsia"/>
        </w:rPr>
        <w:t>，並破壞</w:t>
      </w:r>
      <w:r w:rsidR="00980B7B" w:rsidRPr="00980B7B">
        <w:rPr>
          <w:rFonts w:hAnsi="標楷體"/>
        </w:rPr>
        <w:t>自然生態</w:t>
      </w:r>
      <w:r w:rsidRPr="00D973B1">
        <w:rPr>
          <w:rFonts w:hAnsi="標楷體" w:hint="eastAsia"/>
        </w:rPr>
        <w:t>平衡，</w:t>
      </w:r>
      <w:r w:rsidR="00980B7B" w:rsidRPr="00980B7B">
        <w:rPr>
          <w:rFonts w:hAnsi="標楷體"/>
        </w:rPr>
        <w:t>對人體健康造成</w:t>
      </w:r>
      <w:r w:rsidR="00980B7B" w:rsidRPr="00980B7B">
        <w:rPr>
          <w:rFonts w:hAnsi="標楷體" w:hint="eastAsia"/>
        </w:rPr>
        <w:t>之</w:t>
      </w:r>
      <w:r w:rsidR="00980B7B" w:rsidRPr="00980B7B">
        <w:rPr>
          <w:rFonts w:hAnsi="標楷體"/>
        </w:rPr>
        <w:t>危害</w:t>
      </w:r>
      <w:r w:rsidRPr="00D973B1">
        <w:rPr>
          <w:rFonts w:hAnsi="標楷體" w:hint="eastAsia"/>
        </w:rPr>
        <w:t>需</w:t>
      </w:r>
      <w:r w:rsidRPr="00D973B1">
        <w:rPr>
          <w:rFonts w:hAnsi="標楷體"/>
        </w:rPr>
        <w:t>由社會大眾共同承擔</w:t>
      </w:r>
      <w:r w:rsidRPr="00D973B1">
        <w:rPr>
          <w:rFonts w:hAnsi="標楷體" w:hint="eastAsia"/>
        </w:rPr>
        <w:t>，根據行政院主計總處公布103年綠色國民所得帳編</w:t>
      </w:r>
      <w:r w:rsidR="00D973B1" w:rsidRPr="00D973B1">
        <w:rPr>
          <w:rFonts w:hAnsi="標楷體" w:hint="eastAsia"/>
        </w:rPr>
        <w:t>製報告顯示，工業廢水之質損值（評估</w:t>
      </w:r>
      <w:r w:rsidR="008D1EB0" w:rsidRPr="00D973B1">
        <w:rPr>
          <w:rFonts w:hAnsi="標楷體" w:hint="eastAsia"/>
        </w:rPr>
        <w:t>未妥善處理的廢</w:t>
      </w:r>
      <w:r w:rsidR="00D973B1">
        <w:rPr>
          <w:rFonts w:hAnsi="標楷體" w:hint="eastAsia"/>
        </w:rPr>
        <w:t>﹝</w:t>
      </w:r>
      <w:r w:rsidR="008D1EB0" w:rsidRPr="00D973B1">
        <w:rPr>
          <w:rFonts w:hAnsi="標楷體" w:hint="eastAsia"/>
        </w:rPr>
        <w:t>污</w:t>
      </w:r>
      <w:r w:rsidR="00D973B1">
        <w:rPr>
          <w:rFonts w:hAnsi="標楷體" w:hint="eastAsia"/>
        </w:rPr>
        <w:t>﹞</w:t>
      </w:r>
      <w:r w:rsidR="008D1EB0" w:rsidRPr="00D973B1">
        <w:rPr>
          <w:rFonts w:hAnsi="標楷體" w:hint="eastAsia"/>
        </w:rPr>
        <w:t>水若完善處</w:t>
      </w:r>
      <w:r w:rsidR="00424191">
        <w:rPr>
          <w:rFonts w:hAnsi="標楷體" w:hint="eastAsia"/>
        </w:rPr>
        <w:t>理所需的貨幣價值</w:t>
      </w:r>
      <w:r w:rsidRPr="00D973B1">
        <w:rPr>
          <w:rFonts w:hAnsi="標楷體" w:hint="eastAsia"/>
        </w:rPr>
        <w:t>）高達43.52億元，為農業廢水質損值之19.78倍。長期發展而言，國家終究仍須讓農業用水保有支持農業生產、糧食安全及維護環境生態的永續發展能力，惟現行</w:t>
      </w:r>
      <w:r w:rsidRPr="00D973B1">
        <w:rPr>
          <w:rFonts w:hAnsi="標楷體" w:hint="eastAsia"/>
          <w:lang w:eastAsia="zh-HK"/>
        </w:rPr>
        <w:t>水權</w:t>
      </w:r>
      <w:r w:rsidRPr="00D973B1">
        <w:rPr>
          <w:rFonts w:hAnsi="標楷體" w:hint="eastAsia"/>
        </w:rPr>
        <w:t>制度造成水資源缺乏運用效率</w:t>
      </w:r>
      <w:r w:rsidRPr="00D973B1">
        <w:rPr>
          <w:rFonts w:hAnsi="標楷體" w:hint="eastAsia"/>
          <w:lang w:eastAsia="zh-HK"/>
        </w:rPr>
        <w:t>之</w:t>
      </w:r>
      <w:r w:rsidRPr="00D973B1">
        <w:rPr>
          <w:rFonts w:hAnsi="標楷體" w:hint="eastAsia"/>
        </w:rPr>
        <w:t>情況，已是不爭之事實，實</w:t>
      </w:r>
      <w:r w:rsidRPr="00D973B1">
        <w:rPr>
          <w:rFonts w:hAnsi="標楷體" w:hint="eastAsia"/>
        </w:rPr>
        <w:lastRenderedPageBreak/>
        <w:t>有改革之必要。</w:t>
      </w:r>
      <w:r w:rsidRPr="00D973B1">
        <w:rPr>
          <w:rFonts w:hAnsi="標楷體" w:hint="eastAsia"/>
          <w:szCs w:val="32"/>
        </w:rPr>
        <w:t>基此，</w:t>
      </w:r>
      <w:r w:rsidRPr="00D973B1">
        <w:rPr>
          <w:rFonts w:hAnsi="標楷體" w:hint="eastAsia"/>
        </w:rPr>
        <w:t>在目前水資源開發不易且成本過高之情況下，尋求需求面管理途徑，解決水資源有效配置與調度問題更相形重要，</w:t>
      </w:r>
      <w:r w:rsidRPr="00D973B1">
        <w:rPr>
          <w:rFonts w:hAnsi="標楷體" w:hint="eastAsia"/>
          <w:szCs w:val="32"/>
        </w:rPr>
        <w:t>考量主管農田水利會之農委會與主管工業、台水公司之經濟部等機關，皆負責水權管理及水資源調度分配等政策執行，應廣納各方意見，</w:t>
      </w:r>
      <w:r w:rsidRPr="00D973B1">
        <w:rPr>
          <w:rFonts w:hAnsi="標楷體" w:hint="eastAsia"/>
          <w:szCs w:val="32"/>
          <w:lang w:eastAsia="zh-HK"/>
        </w:rPr>
        <w:t>於</w:t>
      </w:r>
      <w:r w:rsidRPr="00D973B1">
        <w:rPr>
          <w:rFonts w:hAnsi="標楷體" w:hint="eastAsia"/>
          <w:szCs w:val="32"/>
        </w:rPr>
        <w:t>水權制度</w:t>
      </w:r>
      <w:r w:rsidRPr="00D973B1">
        <w:rPr>
          <w:rFonts w:hAnsi="標楷體" w:hint="eastAsia"/>
          <w:szCs w:val="32"/>
          <w:lang w:eastAsia="zh-HK"/>
        </w:rPr>
        <w:t>上</w:t>
      </w:r>
      <w:r w:rsidRPr="00D973B1">
        <w:rPr>
          <w:rFonts w:hAnsi="標楷體" w:hint="eastAsia"/>
          <w:szCs w:val="32"/>
        </w:rPr>
        <w:t>檢討革新，</w:t>
      </w:r>
      <w:r w:rsidRPr="00D973B1">
        <w:rPr>
          <w:rFonts w:hAnsi="標楷體" w:hint="eastAsia"/>
          <w:szCs w:val="32"/>
          <w:lang w:eastAsia="zh-HK"/>
        </w:rPr>
        <w:t>積極</w:t>
      </w:r>
      <w:r w:rsidRPr="00D973B1">
        <w:rPr>
          <w:rFonts w:hAnsi="標楷體" w:hint="eastAsia"/>
          <w:szCs w:val="32"/>
        </w:rPr>
        <w:t>研議</w:t>
      </w:r>
      <w:r w:rsidRPr="00D973B1">
        <w:rPr>
          <w:rFonts w:hAnsi="標楷體" w:hint="eastAsia"/>
          <w:szCs w:val="32"/>
          <w:lang w:eastAsia="zh-HK"/>
        </w:rPr>
        <w:t>採取</w:t>
      </w:r>
      <w:r w:rsidRPr="00D973B1">
        <w:rPr>
          <w:rFonts w:hAnsi="標楷體" w:hint="eastAsia"/>
          <w:szCs w:val="32"/>
        </w:rPr>
        <w:t>其他因應策略，</w:t>
      </w:r>
      <w:r w:rsidRPr="00D973B1">
        <w:rPr>
          <w:rFonts w:hAnsi="標楷體" w:hint="eastAsia"/>
          <w:szCs w:val="32"/>
          <w:lang w:eastAsia="zh-HK"/>
        </w:rPr>
        <w:t>引導農業用水人辦理</w:t>
      </w:r>
      <w:r w:rsidRPr="00D973B1">
        <w:rPr>
          <w:rFonts w:hAnsi="標楷體" w:hint="eastAsia"/>
          <w:szCs w:val="32"/>
        </w:rPr>
        <w:t>改善輸水損失、增加農塘蓄水量</w:t>
      </w:r>
      <w:r w:rsidRPr="00715E34">
        <w:rPr>
          <w:rStyle w:val="aff2"/>
          <w:rFonts w:hAnsi="標楷體"/>
          <w:szCs w:val="32"/>
        </w:rPr>
        <w:footnoteReference w:id="6"/>
      </w:r>
      <w:r w:rsidRPr="00D973B1">
        <w:rPr>
          <w:rFonts w:hAnsi="標楷體" w:hint="eastAsia"/>
          <w:szCs w:val="32"/>
        </w:rPr>
        <w:t>或加強監督</w:t>
      </w:r>
      <w:r w:rsidRPr="00D973B1">
        <w:rPr>
          <w:rFonts w:hAnsi="標楷體" w:hint="eastAsia"/>
          <w:szCs w:val="32"/>
          <w:lang w:eastAsia="zh-HK"/>
        </w:rPr>
        <w:t>管理</w:t>
      </w:r>
      <w:r w:rsidRPr="00D973B1">
        <w:rPr>
          <w:rFonts w:hAnsi="標楷體" w:hint="eastAsia"/>
          <w:szCs w:val="32"/>
        </w:rPr>
        <w:t>引水量等</w:t>
      </w:r>
      <w:r w:rsidRPr="00D973B1">
        <w:rPr>
          <w:rFonts w:hAnsi="標楷體" w:hint="eastAsia"/>
          <w:szCs w:val="32"/>
          <w:lang w:eastAsia="zh-HK"/>
        </w:rPr>
        <w:t>措施</w:t>
      </w:r>
      <w:r w:rsidRPr="00D973B1">
        <w:rPr>
          <w:rFonts w:hAnsi="標楷體" w:hint="eastAsia"/>
          <w:szCs w:val="32"/>
        </w:rPr>
        <w:t>，藉此不但能</w:t>
      </w:r>
      <w:r w:rsidRPr="00D973B1">
        <w:rPr>
          <w:rFonts w:hAnsi="標楷體" w:hint="eastAsia"/>
          <w:szCs w:val="32"/>
          <w:lang w:eastAsia="zh-HK"/>
        </w:rPr>
        <w:t>滿足其</w:t>
      </w:r>
      <w:r w:rsidRPr="00D973B1">
        <w:rPr>
          <w:rFonts w:hAnsi="標楷體" w:hint="eastAsia"/>
          <w:szCs w:val="32"/>
        </w:rPr>
        <w:t>用水需求，更能進一步</w:t>
      </w:r>
      <w:r w:rsidRPr="00D973B1">
        <w:rPr>
          <w:rFonts w:hAnsi="標楷體" w:hint="eastAsia"/>
          <w:szCs w:val="32"/>
          <w:lang w:eastAsia="zh-HK"/>
        </w:rPr>
        <w:t>改善其他用水標</w:t>
      </w:r>
      <w:r w:rsidRPr="00D973B1">
        <w:rPr>
          <w:rFonts w:hAnsi="標楷體" w:hint="eastAsia"/>
          <w:szCs w:val="32"/>
        </w:rPr>
        <w:t>的水源不足</w:t>
      </w:r>
      <w:r w:rsidRPr="00D973B1">
        <w:rPr>
          <w:rFonts w:hAnsi="標楷體" w:hint="eastAsia"/>
          <w:szCs w:val="32"/>
          <w:lang w:eastAsia="zh-HK"/>
        </w:rPr>
        <w:t>之</w:t>
      </w:r>
      <w:r w:rsidRPr="00D973B1">
        <w:rPr>
          <w:rFonts w:hAnsi="標楷體" w:hint="eastAsia"/>
          <w:szCs w:val="32"/>
        </w:rPr>
        <w:t>問題，</w:t>
      </w:r>
      <w:r w:rsidRPr="00D973B1">
        <w:rPr>
          <w:rFonts w:hAnsi="標楷體" w:hint="eastAsia"/>
          <w:szCs w:val="32"/>
          <w:lang w:eastAsia="zh-HK"/>
        </w:rPr>
        <w:t>達成</w:t>
      </w:r>
      <w:r w:rsidRPr="00D973B1">
        <w:rPr>
          <w:rFonts w:hAnsi="標楷體" w:hint="eastAsia"/>
          <w:szCs w:val="32"/>
        </w:rPr>
        <w:t>水資源環境、生態保育，同時兼顧水資源</w:t>
      </w:r>
      <w:r w:rsidRPr="00D973B1">
        <w:rPr>
          <w:rFonts w:hAnsi="標楷體" w:hint="eastAsia"/>
          <w:szCs w:val="32"/>
          <w:lang w:eastAsia="zh-HK"/>
        </w:rPr>
        <w:t>之</w:t>
      </w:r>
      <w:r w:rsidRPr="00D973B1">
        <w:rPr>
          <w:rFonts w:hAnsi="標楷體" w:hint="eastAsia"/>
          <w:szCs w:val="32"/>
        </w:rPr>
        <w:t>使用與效率配置，發揮水資源之整體效益。</w:t>
      </w:r>
    </w:p>
    <w:p w:rsidR="00017F75" w:rsidRPr="00715E34" w:rsidRDefault="00017F75" w:rsidP="00232C83">
      <w:pPr>
        <w:pStyle w:val="3"/>
        <w:topLinePunct/>
        <w:rPr>
          <w:rFonts w:hAnsi="標楷體"/>
          <w:szCs w:val="52"/>
        </w:rPr>
      </w:pPr>
      <w:r w:rsidRPr="00715E34">
        <w:rPr>
          <w:rFonts w:hAnsi="標楷體" w:hint="eastAsia"/>
        </w:rPr>
        <w:t>綜上，目前開發新水源不易且成本提高之情況下，尋求需求面管理途徑更相形重要，囿於現行水權</w:t>
      </w:r>
      <w:r w:rsidRPr="00715E34">
        <w:rPr>
          <w:rFonts w:hAnsi="標楷體" w:hint="eastAsia"/>
          <w:szCs w:val="32"/>
        </w:rPr>
        <w:t>制</w:t>
      </w:r>
      <w:r w:rsidRPr="00715E34">
        <w:rPr>
          <w:rFonts w:hAnsi="標楷體" w:hint="eastAsia"/>
          <w:szCs w:val="32"/>
          <w:lang w:eastAsia="zh-HK"/>
        </w:rPr>
        <w:t>度</w:t>
      </w:r>
      <w:r w:rsidRPr="00715E34">
        <w:rPr>
          <w:rFonts w:hAnsi="標楷體" w:hint="eastAsia"/>
          <w:szCs w:val="32"/>
        </w:rPr>
        <w:t>對於</w:t>
      </w:r>
      <w:r w:rsidRPr="00715E34">
        <w:rPr>
          <w:rFonts w:hAnsi="標楷體" w:hint="eastAsia"/>
          <w:szCs w:val="32"/>
          <w:lang w:eastAsia="zh-HK"/>
        </w:rPr>
        <w:t>節水誘因不足，</w:t>
      </w:r>
      <w:r w:rsidRPr="00715E34">
        <w:rPr>
          <w:rFonts w:hAnsi="標楷體" w:hint="eastAsia"/>
        </w:rPr>
        <w:t>爰在</w:t>
      </w:r>
      <w:r w:rsidRPr="00715E34">
        <w:rPr>
          <w:rFonts w:hAnsi="標楷體" w:hint="eastAsia"/>
          <w:szCs w:val="32"/>
        </w:rPr>
        <w:t>不影響農業灌溉用水</w:t>
      </w:r>
      <w:r w:rsidRPr="00715E34">
        <w:rPr>
          <w:rFonts w:hAnsi="標楷體" w:hint="eastAsia"/>
          <w:szCs w:val="32"/>
          <w:lang w:eastAsia="zh-HK"/>
        </w:rPr>
        <w:t>並</w:t>
      </w:r>
      <w:r w:rsidRPr="00715E34">
        <w:rPr>
          <w:rFonts w:hAnsi="標楷體" w:hint="eastAsia"/>
        </w:rPr>
        <w:t>兼顧糧食生產安全之前提下，經濟部允應主動會商農委會等權責機關，</w:t>
      </w:r>
      <w:r w:rsidRPr="00715E34">
        <w:rPr>
          <w:rFonts w:hAnsi="標楷體" w:hint="eastAsia"/>
          <w:szCs w:val="32"/>
        </w:rPr>
        <w:t>積極研議</w:t>
      </w:r>
      <w:r w:rsidRPr="00715E34">
        <w:rPr>
          <w:rFonts w:hAnsi="標楷體" w:hint="eastAsia"/>
          <w:szCs w:val="32"/>
          <w:lang w:eastAsia="zh-HK"/>
        </w:rPr>
        <w:t>採取</w:t>
      </w:r>
      <w:r w:rsidRPr="00715E34">
        <w:rPr>
          <w:rFonts w:hAnsi="標楷體" w:hint="eastAsia"/>
        </w:rPr>
        <w:t>具體有效之因應策略，俾有效提升水資源整體運用效能</w:t>
      </w:r>
      <w:r w:rsidRPr="00715E34">
        <w:rPr>
          <w:rFonts w:hAnsi="標楷體" w:hint="eastAsia"/>
          <w:szCs w:val="32"/>
        </w:rPr>
        <w:t>。</w:t>
      </w:r>
    </w:p>
    <w:p w:rsidR="00017F75" w:rsidRPr="00715E34" w:rsidRDefault="00017F75" w:rsidP="00232C83">
      <w:pPr>
        <w:pStyle w:val="2"/>
        <w:topLinePunct/>
        <w:spacing w:beforeLines="25" w:before="114"/>
        <w:ind w:left="1020" w:hanging="680"/>
        <w:rPr>
          <w:rFonts w:hAnsi="標楷體"/>
          <w:b/>
        </w:rPr>
      </w:pPr>
      <w:bookmarkStart w:id="73" w:name="_Toc458000621"/>
      <w:r w:rsidRPr="00715E34">
        <w:rPr>
          <w:rFonts w:hAnsi="標楷體" w:hint="eastAsia"/>
          <w:b/>
        </w:rPr>
        <w:t>囿於國內新</w:t>
      </w:r>
      <w:r w:rsidR="0059592E" w:rsidRPr="00715E34">
        <w:rPr>
          <w:rFonts w:hAnsi="標楷體" w:hint="eastAsia"/>
          <w:b/>
        </w:rPr>
        <w:t>建</w:t>
      </w:r>
      <w:r w:rsidRPr="00715E34">
        <w:rPr>
          <w:rFonts w:hAnsi="標楷體" w:hint="eastAsia"/>
          <w:b/>
        </w:rPr>
        <w:t>水庫不易，為有效紓解</w:t>
      </w:r>
      <w:r w:rsidRPr="00715E34">
        <w:rPr>
          <w:rFonts w:hAnsi="標楷體"/>
          <w:b/>
        </w:rPr>
        <w:t>缺水</w:t>
      </w:r>
      <w:r w:rsidRPr="00715E34">
        <w:rPr>
          <w:rFonts w:hAnsi="標楷體" w:hint="eastAsia"/>
          <w:b/>
        </w:rPr>
        <w:t>問題</w:t>
      </w:r>
      <w:r w:rsidRPr="00715E34">
        <w:rPr>
          <w:rFonts w:hAnsi="標楷體"/>
          <w:b/>
        </w:rPr>
        <w:t>，</w:t>
      </w:r>
      <w:r w:rsidRPr="00715E34">
        <w:rPr>
          <w:rFonts w:hAnsi="標楷體" w:hint="eastAsia"/>
          <w:b/>
        </w:rPr>
        <w:t>發展提高水資源利用效率之水利科技及相關產業，並推動產業轉型為省水、節能</w:t>
      </w:r>
      <w:r w:rsidRPr="00715E34">
        <w:rPr>
          <w:rFonts w:hAnsi="標楷體"/>
          <w:b/>
        </w:rPr>
        <w:t>、低污染</w:t>
      </w:r>
      <w:r w:rsidRPr="00715E34">
        <w:rPr>
          <w:rFonts w:hAnsi="標楷體" w:hint="eastAsia"/>
          <w:b/>
        </w:rPr>
        <w:t>、高技術</w:t>
      </w:r>
      <w:r w:rsidRPr="00715E34">
        <w:rPr>
          <w:rFonts w:hAnsi="標楷體"/>
          <w:b/>
        </w:rPr>
        <w:t>與高附加價值之綠色產業</w:t>
      </w:r>
      <w:r w:rsidRPr="00715E34">
        <w:rPr>
          <w:rFonts w:hAnsi="標楷體" w:hint="eastAsia"/>
          <w:b/>
        </w:rPr>
        <w:t>，誠屬急迫且勢在必行；經濟部應賡續檢討國內</w:t>
      </w:r>
      <w:r w:rsidRPr="00715E34">
        <w:rPr>
          <w:rFonts w:hAnsi="標楷體"/>
          <w:b/>
          <w:kern w:val="0"/>
        </w:rPr>
        <w:t>水利科技</w:t>
      </w:r>
      <w:r w:rsidRPr="00715E34">
        <w:rPr>
          <w:rFonts w:hAnsi="標楷體" w:hint="eastAsia"/>
          <w:b/>
        </w:rPr>
        <w:t>發展</w:t>
      </w:r>
      <w:r w:rsidRPr="00715E34">
        <w:rPr>
          <w:rFonts w:hAnsi="標楷體" w:hint="eastAsia"/>
          <w:b/>
          <w:kern w:val="0"/>
        </w:rPr>
        <w:t>與</w:t>
      </w:r>
      <w:r w:rsidRPr="00715E34">
        <w:rPr>
          <w:rFonts w:hAnsi="標楷體" w:hint="eastAsia"/>
          <w:b/>
        </w:rPr>
        <w:t>產業結構轉型推動現況，並研定具體策進作為，以達水資源永續利用目標</w:t>
      </w:r>
      <w:bookmarkEnd w:id="73"/>
    </w:p>
    <w:p w:rsidR="00017F75" w:rsidRPr="00715E34" w:rsidRDefault="00017F75" w:rsidP="00232C83">
      <w:pPr>
        <w:pStyle w:val="3"/>
        <w:widowControl/>
        <w:suppressAutoHyphens/>
        <w:topLinePunct/>
        <w:autoSpaceDE/>
        <w:autoSpaceDN/>
        <w:textAlignment w:val="center"/>
        <w:rPr>
          <w:rFonts w:hAnsi="標楷體"/>
        </w:rPr>
      </w:pPr>
      <w:r w:rsidRPr="00715E34">
        <w:rPr>
          <w:rFonts w:hAnsi="標楷體" w:hint="eastAsia"/>
        </w:rPr>
        <w:t>查經濟部為</w:t>
      </w:r>
      <w:r w:rsidRPr="00715E34">
        <w:rPr>
          <w:rFonts w:hAnsi="標楷體"/>
          <w:bCs w:val="0"/>
          <w:kern w:val="0"/>
        </w:rPr>
        <w:t>推動發展水利科技與相關產業輔導育成工作</w:t>
      </w:r>
      <w:r w:rsidRPr="00715E34">
        <w:rPr>
          <w:rFonts w:hAnsi="標楷體" w:hint="eastAsia"/>
          <w:bCs w:val="0"/>
          <w:kern w:val="0"/>
        </w:rPr>
        <w:t>，</w:t>
      </w:r>
      <w:r w:rsidRPr="00715E34">
        <w:rPr>
          <w:rFonts w:hAnsi="標楷體"/>
          <w:bCs w:val="0"/>
          <w:kern w:val="0"/>
        </w:rPr>
        <w:t>自92年起與國立成功大學合設水利產業知</w:t>
      </w:r>
      <w:r w:rsidRPr="00715E34">
        <w:rPr>
          <w:rFonts w:hAnsi="標楷體"/>
          <w:bCs w:val="0"/>
          <w:kern w:val="0"/>
        </w:rPr>
        <w:lastRenderedPageBreak/>
        <w:t>識化育成中心，協助產業界進行創新技術研發、商品化、行銷推廣及市場開拓</w:t>
      </w:r>
      <w:r w:rsidRPr="00715E34">
        <w:rPr>
          <w:rFonts w:hAnsi="標楷體" w:hint="eastAsia"/>
          <w:bCs w:val="0"/>
          <w:kern w:val="0"/>
        </w:rPr>
        <w:t>，</w:t>
      </w:r>
      <w:r w:rsidRPr="00715E34">
        <w:rPr>
          <w:rFonts w:hAnsi="標楷體"/>
          <w:bCs w:val="0"/>
          <w:kern w:val="0"/>
        </w:rPr>
        <w:t>並藉由產業育成輔導服務平台促進跨領域產業之資訊交流，引發或啟動產業新商機與新合作之機制</w:t>
      </w:r>
      <w:r w:rsidRPr="00715E34">
        <w:rPr>
          <w:rFonts w:hAnsi="標楷體" w:hint="eastAsia"/>
          <w:bCs w:val="0"/>
          <w:kern w:val="0"/>
        </w:rPr>
        <w:t>等</w:t>
      </w:r>
      <w:r w:rsidRPr="00715E34">
        <w:rPr>
          <w:rFonts w:hAnsi="標楷體"/>
          <w:bCs w:val="0"/>
          <w:kern w:val="0"/>
        </w:rPr>
        <w:t>。</w:t>
      </w:r>
      <w:r w:rsidRPr="00715E34">
        <w:rPr>
          <w:rFonts w:hAnsi="標楷體"/>
          <w:lang w:val="zh-TW"/>
        </w:rPr>
        <w:t>據水利署102年及103年度年報所載，該署推動與輔導知識型水利產業發展，主要工作包含產業育成諮詢服務與技術服務，協助水利產業相關廠商進行技術創新研發、專利商品化，</w:t>
      </w:r>
      <w:r w:rsidRPr="00715E34">
        <w:rPr>
          <w:rFonts w:hAnsi="標楷體"/>
        </w:rPr>
        <w:t>並提供</w:t>
      </w:r>
      <w:r w:rsidRPr="00715E34">
        <w:rPr>
          <w:rFonts w:hAnsi="標楷體" w:hint="eastAsia"/>
        </w:rPr>
        <w:t>一個</w:t>
      </w:r>
      <w:r w:rsidRPr="00715E34">
        <w:rPr>
          <w:rFonts w:hAnsi="標楷體"/>
        </w:rPr>
        <w:t>產業育成輔導服務平台</w:t>
      </w:r>
      <w:r w:rsidRPr="00715E34">
        <w:rPr>
          <w:rFonts w:hAnsi="標楷體" w:hint="eastAsia"/>
        </w:rPr>
        <w:t>，</w:t>
      </w:r>
      <w:r w:rsidRPr="00715E34">
        <w:rPr>
          <w:rFonts w:hAnsi="標楷體"/>
        </w:rPr>
        <w:t>促</w:t>
      </w:r>
      <w:r w:rsidRPr="00715E34">
        <w:rPr>
          <w:rFonts w:hAnsi="標楷體" w:hint="eastAsia"/>
        </w:rPr>
        <w:t>進</w:t>
      </w:r>
      <w:r w:rsidRPr="00715E34">
        <w:rPr>
          <w:rFonts w:hAnsi="標楷體"/>
        </w:rPr>
        <w:t>跨領域產業進行資訊交流</w:t>
      </w:r>
      <w:r w:rsidRPr="00715E34">
        <w:rPr>
          <w:rFonts w:hAnsi="標楷體" w:hint="eastAsia"/>
        </w:rPr>
        <w:t>，</w:t>
      </w:r>
      <w:r w:rsidRPr="00715E34">
        <w:rPr>
          <w:rFonts w:hAnsi="標楷體"/>
          <w:lang w:val="zh-TW"/>
        </w:rPr>
        <w:t>截至103年底共計輔導15家廠商，並完成「電容式波高計」、「防災空調透水舖面施工技術」</w:t>
      </w:r>
      <w:r w:rsidRPr="00715E34">
        <w:rPr>
          <w:rStyle w:val="aff2"/>
          <w:rFonts w:hAnsi="標楷體"/>
          <w:lang w:val="zh-TW"/>
        </w:rPr>
        <w:footnoteReference w:id="7"/>
      </w:r>
      <w:r w:rsidRPr="00715E34">
        <w:rPr>
          <w:rFonts w:hAnsi="標楷體"/>
          <w:lang w:val="zh-TW"/>
        </w:rPr>
        <w:t>等2項技術移轉或商品化作業</w:t>
      </w:r>
      <w:r w:rsidRPr="00715E34">
        <w:rPr>
          <w:rFonts w:hAnsi="標楷體" w:hint="eastAsia"/>
          <w:lang w:val="zh-TW"/>
        </w:rPr>
        <w:t>。</w:t>
      </w:r>
      <w:r w:rsidRPr="00715E34">
        <w:rPr>
          <w:rFonts w:hAnsi="標楷體"/>
          <w:lang w:val="zh-TW"/>
        </w:rPr>
        <w:t>其中「電容式波高計」產品已正式銷售，育成中心已協助育成廠商提出20項產品之專利申請，其中19件已獲</w:t>
      </w:r>
      <w:r w:rsidRPr="00715E34">
        <w:rPr>
          <w:rFonts w:hAnsi="標楷體" w:hint="eastAsia"/>
          <w:lang w:val="zh-TW"/>
        </w:rPr>
        <w:t>專利證明</w:t>
      </w:r>
      <w:r w:rsidRPr="00715E34">
        <w:rPr>
          <w:rFonts w:hAnsi="標楷體"/>
          <w:lang w:val="zh-TW"/>
        </w:rPr>
        <w:t>。</w:t>
      </w:r>
    </w:p>
    <w:p w:rsidR="00017F75" w:rsidRPr="00715E34" w:rsidRDefault="00017F75" w:rsidP="00232C83">
      <w:pPr>
        <w:pStyle w:val="3"/>
        <w:widowControl/>
        <w:suppressAutoHyphens/>
        <w:topLinePunct/>
        <w:autoSpaceDE/>
        <w:autoSpaceDN/>
        <w:textAlignment w:val="center"/>
        <w:rPr>
          <w:rFonts w:hAnsi="標楷體"/>
        </w:rPr>
      </w:pPr>
      <w:r w:rsidRPr="00715E34">
        <w:rPr>
          <w:rFonts w:hAnsi="標楷體" w:hint="eastAsia"/>
          <w:bCs w:val="0"/>
          <w:kern w:val="0"/>
        </w:rPr>
        <w:t>據經濟部查復</w:t>
      </w:r>
      <w:r w:rsidRPr="00715E34">
        <w:rPr>
          <w:rFonts w:hAnsi="標楷體"/>
          <w:bCs w:val="0"/>
          <w:kern w:val="0"/>
        </w:rPr>
        <w:t>，</w:t>
      </w:r>
      <w:r w:rsidRPr="00715E34">
        <w:rPr>
          <w:rFonts w:hAnsi="標楷體"/>
          <w:lang w:val="zh-TW"/>
        </w:rPr>
        <w:t>因國內水處理設備及其應用服務產業規模多屬中小型企業，不利於規模經濟，導致提供服務能量有限、市場占有率低；</w:t>
      </w:r>
      <w:r w:rsidRPr="00715E34">
        <w:rPr>
          <w:rFonts w:hAnsi="標楷體" w:hint="eastAsia"/>
          <w:lang w:val="zh-TW"/>
        </w:rPr>
        <w:t>又</w:t>
      </w:r>
      <w:r w:rsidRPr="00715E34">
        <w:rPr>
          <w:rFonts w:hAnsi="標楷體"/>
          <w:lang w:val="zh-TW"/>
        </w:rPr>
        <w:t>因供需市場資訊相對不足，拓展海外市場受限甚多。為此</w:t>
      </w:r>
      <w:r w:rsidRPr="00715E34">
        <w:rPr>
          <w:rFonts w:hAnsi="標楷體" w:hint="eastAsia"/>
          <w:lang w:val="zh-TW"/>
        </w:rPr>
        <w:t>該</w:t>
      </w:r>
      <w:r w:rsidRPr="00715E34">
        <w:rPr>
          <w:rFonts w:hAnsi="標楷體"/>
          <w:lang w:val="zh-TW"/>
        </w:rPr>
        <w:t>署與</w:t>
      </w:r>
      <w:r w:rsidR="007727B1" w:rsidRPr="00715E34">
        <w:rPr>
          <w:rFonts w:hAnsi="標楷體" w:hint="eastAsia"/>
          <w:lang w:val="zh-TW"/>
        </w:rPr>
        <w:t>該部</w:t>
      </w:r>
      <w:r w:rsidRPr="00715E34">
        <w:rPr>
          <w:rFonts w:hAnsi="標楷體"/>
          <w:lang w:val="zh-TW"/>
        </w:rPr>
        <w:t>工業局</w:t>
      </w:r>
      <w:r w:rsidR="007727B1" w:rsidRPr="00715E34">
        <w:rPr>
          <w:rFonts w:hAnsi="標楷體" w:hint="eastAsia"/>
          <w:lang w:val="zh-TW"/>
        </w:rPr>
        <w:t>（下稱工業局）</w:t>
      </w:r>
      <w:r w:rsidRPr="00715E34">
        <w:rPr>
          <w:rFonts w:hAnsi="標楷體"/>
          <w:lang w:val="zh-TW"/>
        </w:rPr>
        <w:t>於101</w:t>
      </w:r>
      <w:r w:rsidR="007727B1" w:rsidRPr="00715E34">
        <w:rPr>
          <w:rFonts w:hAnsi="標楷體" w:hint="eastAsia"/>
          <w:lang w:val="zh-TW"/>
        </w:rPr>
        <w:t>年</w:t>
      </w:r>
      <w:r w:rsidRPr="00715E34">
        <w:rPr>
          <w:rFonts w:hAnsi="標楷體"/>
          <w:lang w:val="zh-TW"/>
        </w:rPr>
        <w:t>至103年間規劃辦理「國產水處理與再生產業扶植計畫」，藉由「環境整備與市場建構」、「關鍵設備技術開發輔導」、「強化國際合作策略聯盟與市場研析」、「國際市場拓銷」等計畫主軸，推動水處理與再生產業發展之輔導工作，加速國內水處理與再生設備及其應用服務產業之整備及達成國際化。</w:t>
      </w:r>
      <w:r w:rsidRPr="00715E34">
        <w:rPr>
          <w:rFonts w:hAnsi="標楷體" w:hint="eastAsia"/>
          <w:lang w:val="zh-TW"/>
        </w:rPr>
        <w:t>另該署表示，因</w:t>
      </w:r>
      <w:r w:rsidRPr="00715E34">
        <w:rPr>
          <w:rFonts w:hAnsi="標楷體"/>
          <w:bCs w:val="0"/>
          <w:kern w:val="0"/>
        </w:rPr>
        <w:t>水利產業範疇較廣</w:t>
      </w:r>
      <w:r w:rsidRPr="00715E34">
        <w:rPr>
          <w:rFonts w:hAnsi="標楷體" w:hint="eastAsia"/>
          <w:bCs w:val="0"/>
          <w:kern w:val="0"/>
        </w:rPr>
        <w:t>，加上政府</w:t>
      </w:r>
      <w:r w:rsidRPr="00715E34">
        <w:rPr>
          <w:rFonts w:hAnsi="標楷體"/>
          <w:bCs w:val="0"/>
          <w:kern w:val="0"/>
        </w:rPr>
        <w:t>財政困難</w:t>
      </w:r>
      <w:r w:rsidRPr="00715E34">
        <w:rPr>
          <w:rFonts w:hAnsi="標楷體" w:hint="eastAsia"/>
          <w:bCs w:val="0"/>
          <w:kern w:val="0"/>
        </w:rPr>
        <w:t>及預算不</w:t>
      </w:r>
      <w:r w:rsidRPr="00715E34">
        <w:rPr>
          <w:rFonts w:hAnsi="標楷體" w:hint="eastAsia"/>
          <w:bCs w:val="0"/>
          <w:kern w:val="0"/>
        </w:rPr>
        <w:lastRenderedPageBreak/>
        <w:t>足</w:t>
      </w:r>
      <w:r w:rsidRPr="00715E34">
        <w:rPr>
          <w:rFonts w:hAnsi="標楷體"/>
          <w:bCs w:val="0"/>
          <w:kern w:val="0"/>
        </w:rPr>
        <w:t>，</w:t>
      </w:r>
      <w:r w:rsidRPr="00715E34">
        <w:rPr>
          <w:rFonts w:hAnsi="標楷體" w:hint="eastAsia"/>
          <w:bCs w:val="0"/>
          <w:kern w:val="0"/>
        </w:rPr>
        <w:t>也導致</w:t>
      </w:r>
      <w:r w:rsidRPr="00715E34">
        <w:rPr>
          <w:rFonts w:hAnsi="標楷體"/>
          <w:bCs w:val="0"/>
          <w:kern w:val="0"/>
        </w:rPr>
        <w:t>未</w:t>
      </w:r>
      <w:r w:rsidRPr="00715E34">
        <w:rPr>
          <w:rFonts w:hAnsi="標楷體" w:hint="eastAsia"/>
          <w:bCs w:val="0"/>
          <w:kern w:val="0"/>
        </w:rPr>
        <w:t>能</w:t>
      </w:r>
      <w:r w:rsidRPr="00715E34">
        <w:rPr>
          <w:rFonts w:hAnsi="標楷體"/>
          <w:bCs w:val="0"/>
          <w:kern w:val="0"/>
        </w:rPr>
        <w:t>凝聚</w:t>
      </w:r>
      <w:r w:rsidRPr="00715E34">
        <w:rPr>
          <w:rFonts w:hAnsi="標楷體" w:hint="eastAsia"/>
          <w:bCs w:val="0"/>
          <w:kern w:val="0"/>
        </w:rPr>
        <w:t>未來</w:t>
      </w:r>
      <w:r w:rsidRPr="00715E34">
        <w:rPr>
          <w:rFonts w:hAnsi="標楷體"/>
          <w:bCs w:val="0"/>
          <w:kern w:val="0"/>
        </w:rPr>
        <w:t>推動重點及方向</w:t>
      </w:r>
      <w:r w:rsidRPr="00715E34">
        <w:rPr>
          <w:rFonts w:hAnsi="標楷體" w:hint="eastAsia"/>
          <w:bCs w:val="0"/>
          <w:kern w:val="0"/>
        </w:rPr>
        <w:t>，經該署於</w:t>
      </w:r>
      <w:r w:rsidRPr="00715E34">
        <w:rPr>
          <w:rFonts w:hAnsi="標楷體"/>
          <w:bCs w:val="0"/>
          <w:kern w:val="0"/>
        </w:rPr>
        <w:t>102年</w:t>
      </w:r>
      <w:r w:rsidRPr="00715E34">
        <w:rPr>
          <w:rFonts w:hAnsi="標楷體" w:hint="eastAsia"/>
          <w:bCs w:val="0"/>
          <w:kern w:val="0"/>
        </w:rPr>
        <w:t>間邀集</w:t>
      </w:r>
      <w:r w:rsidRPr="00715E34">
        <w:rPr>
          <w:rFonts w:hAnsi="標楷體"/>
          <w:bCs w:val="0"/>
          <w:kern w:val="0"/>
        </w:rPr>
        <w:t>水利產業協會及育成中心聯合舉辦「水利產業及綠能發展策略專家座談會」</w:t>
      </w:r>
      <w:r w:rsidRPr="00715E34">
        <w:rPr>
          <w:rFonts w:hAnsi="標楷體" w:hint="eastAsia"/>
          <w:bCs w:val="0"/>
          <w:kern w:val="0"/>
        </w:rPr>
        <w:t>後</w:t>
      </w:r>
      <w:r w:rsidRPr="00715E34">
        <w:rPr>
          <w:rFonts w:hAnsi="標楷體"/>
          <w:bCs w:val="0"/>
          <w:kern w:val="0"/>
        </w:rPr>
        <w:t>，已聚焦「防洪減災產業」、「水文資訊與監測技術產業」、「節水技術產業」及「再生能源與新興水源整合性」產業等四</w:t>
      </w:r>
      <w:r w:rsidRPr="00715E34">
        <w:rPr>
          <w:rFonts w:hAnsi="標楷體" w:hint="eastAsia"/>
          <w:bCs w:val="0"/>
          <w:kern w:val="0"/>
        </w:rPr>
        <w:t>項</w:t>
      </w:r>
      <w:r w:rsidRPr="00715E34">
        <w:rPr>
          <w:rFonts w:hAnsi="標楷體"/>
          <w:bCs w:val="0"/>
          <w:kern w:val="0"/>
        </w:rPr>
        <w:t>主軸為推動重點</w:t>
      </w:r>
      <w:r w:rsidRPr="00715E34">
        <w:rPr>
          <w:rFonts w:hAnsi="標楷體" w:hint="eastAsia"/>
          <w:bCs w:val="0"/>
          <w:kern w:val="0"/>
        </w:rPr>
        <w:t>。</w:t>
      </w:r>
      <w:r w:rsidRPr="00715E34">
        <w:rPr>
          <w:rFonts w:hAnsi="標楷體"/>
          <w:bCs w:val="0"/>
          <w:kern w:val="0"/>
        </w:rPr>
        <w:t>現階段考量政府財政狀況、業務導向需求及後續推動發展可行性等條件</w:t>
      </w:r>
      <w:r w:rsidRPr="00715E34">
        <w:rPr>
          <w:rFonts w:hAnsi="標楷體" w:hint="eastAsia"/>
          <w:bCs w:val="0"/>
          <w:kern w:val="0"/>
        </w:rPr>
        <w:t>後</w:t>
      </w:r>
      <w:r w:rsidRPr="00715E34">
        <w:rPr>
          <w:rFonts w:hAnsi="標楷體"/>
          <w:bCs w:val="0"/>
          <w:kern w:val="0"/>
        </w:rPr>
        <w:t>，將優先進行「水文資訊與監測技術產業」</w:t>
      </w:r>
      <w:r w:rsidRPr="00715E34">
        <w:rPr>
          <w:rFonts w:hAnsi="標楷體" w:hint="eastAsia"/>
          <w:bCs w:val="0"/>
          <w:kern w:val="0"/>
        </w:rPr>
        <w:t>（</w:t>
      </w:r>
      <w:r w:rsidRPr="00715E34">
        <w:rPr>
          <w:rFonts w:hAnsi="標楷體"/>
          <w:bCs w:val="0"/>
          <w:kern w:val="0"/>
        </w:rPr>
        <w:t>整合研發水文觀測技術，有效提供防洪預警管理資訊</w:t>
      </w:r>
      <w:r w:rsidRPr="00715E34">
        <w:rPr>
          <w:rFonts w:hAnsi="標楷體" w:hint="eastAsia"/>
          <w:bCs w:val="0"/>
          <w:kern w:val="0"/>
        </w:rPr>
        <w:t>）</w:t>
      </w:r>
      <w:r w:rsidRPr="00715E34">
        <w:rPr>
          <w:rFonts w:hAnsi="標楷體"/>
          <w:bCs w:val="0"/>
          <w:kern w:val="0"/>
        </w:rPr>
        <w:t>及「再生能源與新興水源整合性產業」</w:t>
      </w:r>
      <w:r w:rsidRPr="00715E34">
        <w:rPr>
          <w:rFonts w:hAnsi="標楷體" w:hint="eastAsia"/>
          <w:bCs w:val="0"/>
          <w:kern w:val="0"/>
        </w:rPr>
        <w:t>（將</w:t>
      </w:r>
      <w:r w:rsidRPr="00715E34">
        <w:rPr>
          <w:rFonts w:hAnsi="標楷體"/>
          <w:bCs w:val="0"/>
          <w:kern w:val="0"/>
        </w:rPr>
        <w:t>微</w:t>
      </w:r>
      <w:r w:rsidRPr="00715E34">
        <w:rPr>
          <w:rFonts w:hAnsi="標楷體" w:hint="eastAsia"/>
          <w:bCs w:val="0"/>
          <w:kern w:val="0"/>
        </w:rPr>
        <w:t>﹝</w:t>
      </w:r>
      <w:r w:rsidRPr="00715E34">
        <w:rPr>
          <w:rFonts w:hAnsi="標楷體"/>
          <w:bCs w:val="0"/>
          <w:kern w:val="0"/>
        </w:rPr>
        <w:t>小</w:t>
      </w:r>
      <w:r w:rsidRPr="00715E34">
        <w:rPr>
          <w:rFonts w:hAnsi="標楷體" w:hint="eastAsia"/>
          <w:bCs w:val="0"/>
          <w:kern w:val="0"/>
        </w:rPr>
        <w:t>﹞</w:t>
      </w:r>
      <w:r w:rsidRPr="00715E34">
        <w:rPr>
          <w:rFonts w:hAnsi="標楷體"/>
          <w:bCs w:val="0"/>
          <w:kern w:val="0"/>
        </w:rPr>
        <w:t>水力發電產業發展與綠色能源應用於新興水源處理設備相關技術調查</w:t>
      </w:r>
      <w:r w:rsidRPr="00715E34">
        <w:rPr>
          <w:rFonts w:hAnsi="標楷體" w:hint="eastAsia"/>
          <w:bCs w:val="0"/>
          <w:kern w:val="0"/>
        </w:rPr>
        <w:t>）</w:t>
      </w:r>
      <w:r w:rsidRPr="00715E34">
        <w:rPr>
          <w:rFonts w:hAnsi="標楷體"/>
          <w:bCs w:val="0"/>
          <w:kern w:val="0"/>
        </w:rPr>
        <w:t>等</w:t>
      </w:r>
      <w:r w:rsidRPr="00715E34">
        <w:rPr>
          <w:rFonts w:hAnsi="標楷體" w:hint="eastAsia"/>
          <w:bCs w:val="0"/>
          <w:kern w:val="0"/>
        </w:rPr>
        <w:t>兩項產業</w:t>
      </w:r>
      <w:r w:rsidRPr="00715E34">
        <w:rPr>
          <w:rFonts w:hAnsi="標楷體"/>
          <w:bCs w:val="0"/>
          <w:kern w:val="0"/>
        </w:rPr>
        <w:t>，以解決當前與未來的「水問題」。</w:t>
      </w:r>
    </w:p>
    <w:p w:rsidR="00017F75" w:rsidRPr="00715E34" w:rsidRDefault="00017F75" w:rsidP="00232C83">
      <w:pPr>
        <w:pStyle w:val="3"/>
        <w:widowControl/>
        <w:suppressAutoHyphens/>
        <w:topLinePunct/>
        <w:autoSpaceDE/>
        <w:autoSpaceDN/>
        <w:textAlignment w:val="center"/>
        <w:rPr>
          <w:rFonts w:hAnsi="標楷體"/>
        </w:rPr>
      </w:pPr>
      <w:r w:rsidRPr="00715E34">
        <w:rPr>
          <w:rFonts w:hAnsi="標楷體" w:hint="eastAsia"/>
          <w:szCs w:val="32"/>
        </w:rPr>
        <w:t>至於</w:t>
      </w:r>
      <w:r w:rsidRPr="00715E34">
        <w:rPr>
          <w:rFonts w:hAnsi="標楷體"/>
          <w:szCs w:val="32"/>
        </w:rPr>
        <w:t>推動產業結構轉型，及未來因應產業發展之用水需求、通盤調配考量一節</w:t>
      </w:r>
      <w:r w:rsidRPr="00715E34">
        <w:rPr>
          <w:rFonts w:hAnsi="標楷體" w:hint="eastAsia"/>
          <w:szCs w:val="32"/>
        </w:rPr>
        <w:t>，經濟部函復略以，</w:t>
      </w:r>
      <w:r w:rsidRPr="00715E34">
        <w:rPr>
          <w:rFonts w:hAnsi="標楷體"/>
        </w:rPr>
        <w:t>行政院已於103年10月</w:t>
      </w:r>
      <w:r w:rsidRPr="00715E34">
        <w:rPr>
          <w:rFonts w:hAnsi="標楷體" w:hint="eastAsia"/>
        </w:rPr>
        <w:t>間</w:t>
      </w:r>
      <w:r w:rsidRPr="00715E34">
        <w:rPr>
          <w:rFonts w:hAnsi="標楷體"/>
        </w:rPr>
        <w:t>核定產業升級轉型行動方案，綜合考量國際產業發展趨勢、區域競爭比較優勢、國</w:t>
      </w:r>
      <w:r w:rsidRPr="00715E34">
        <w:rPr>
          <w:rFonts w:hAnsi="標楷體" w:hint="eastAsia"/>
        </w:rPr>
        <w:t>內</w:t>
      </w:r>
      <w:r w:rsidRPr="00715E34">
        <w:rPr>
          <w:rFonts w:hAnsi="標楷體"/>
        </w:rPr>
        <w:t>產業技術、土地與資源限制、促進經濟成長與產業升級轉型、提高薪資與創業就業等綜合面向，並以「維新傳統產業」、「鞏固主力產業」及「育成新興產業」為主軸，分別提出「提升產品品級及價值」、「建構完整產業供應鏈體系」、「建立系統解決方案能力」及「加速新興產業發展」等4</w:t>
      </w:r>
      <w:r w:rsidRPr="00715E34">
        <w:rPr>
          <w:rFonts w:hAnsi="標楷體" w:hint="eastAsia"/>
        </w:rPr>
        <w:t>項</w:t>
      </w:r>
      <w:r w:rsidRPr="00715E34">
        <w:rPr>
          <w:rFonts w:hAnsi="標楷體"/>
        </w:rPr>
        <w:t>轉型策略，搭配政策工具輔助，全力協助產業升級轉型，期能帶動產業高質化（具備智慧化、綠色化及文創化內涵）發展。經濟部依據前產業發展現況，參考「有助國內產業結構進行轉型調整」、「政府在產業發展過程中可扮演重要角色」、「具備成為下一波新成長動能之產業」、「可創造或帶動國內相關就業機會」四大原則，篩選多項短中長期重點發展產</w:t>
      </w:r>
      <w:r w:rsidRPr="00715E34">
        <w:rPr>
          <w:rFonts w:hAnsi="標楷體"/>
        </w:rPr>
        <w:lastRenderedPageBreak/>
        <w:t>業項目（如高值化金屬製品、綠能系統整合與營運、3D列印製造、智慧自動化生產等），未來將持續作滾動式檢討，隨國際與產業發展趨勢，持續檢視方案推動之重點產業項目</w:t>
      </w:r>
      <w:r w:rsidRPr="00715E34">
        <w:rPr>
          <w:rFonts w:hAnsi="標楷體" w:hint="eastAsia"/>
        </w:rPr>
        <w:t>等</w:t>
      </w:r>
      <w:r w:rsidRPr="00715E34">
        <w:rPr>
          <w:rFonts w:hAnsi="標楷體"/>
        </w:rPr>
        <w:t>。</w:t>
      </w:r>
    </w:p>
    <w:p w:rsidR="00017F75" w:rsidRPr="00715E34" w:rsidRDefault="0059592E" w:rsidP="00232C83">
      <w:pPr>
        <w:pStyle w:val="3"/>
        <w:widowControl/>
        <w:suppressAutoHyphens/>
        <w:topLinePunct/>
        <w:autoSpaceDE/>
        <w:autoSpaceDN/>
        <w:textAlignment w:val="center"/>
        <w:rPr>
          <w:rFonts w:hAnsi="標楷體"/>
        </w:rPr>
      </w:pPr>
      <w:r w:rsidRPr="00715E34">
        <w:rPr>
          <w:rFonts w:hAnsi="標楷體" w:hint="eastAsia"/>
        </w:rPr>
        <w:t>臺灣</w:t>
      </w:r>
      <w:r w:rsidR="00017F75" w:rsidRPr="00715E34">
        <w:rPr>
          <w:rFonts w:hAnsi="標楷體"/>
        </w:rPr>
        <w:t>地</w:t>
      </w:r>
      <w:r w:rsidR="00017F75" w:rsidRPr="00715E34">
        <w:rPr>
          <w:rFonts w:hAnsi="標楷體" w:hint="eastAsia"/>
        </w:rPr>
        <w:t>狹</w:t>
      </w:r>
      <w:r w:rsidR="00017F75" w:rsidRPr="00715E34">
        <w:rPr>
          <w:rFonts w:hAnsi="標楷體"/>
        </w:rPr>
        <w:t>人稠</w:t>
      </w:r>
      <w:r w:rsidR="00017F75" w:rsidRPr="00715E34">
        <w:rPr>
          <w:rFonts w:hAnsi="標楷體" w:hint="eastAsia"/>
        </w:rPr>
        <w:t>，天然</w:t>
      </w:r>
      <w:r w:rsidR="00017F75" w:rsidRPr="00715E34">
        <w:rPr>
          <w:rFonts w:hAnsi="標楷體"/>
        </w:rPr>
        <w:t>能源</w:t>
      </w:r>
      <w:r w:rsidR="00017F75" w:rsidRPr="00715E34">
        <w:rPr>
          <w:rFonts w:hAnsi="標楷體" w:hint="eastAsia"/>
        </w:rPr>
        <w:t>（</w:t>
      </w:r>
      <w:r w:rsidR="00017F75" w:rsidRPr="00715E34">
        <w:rPr>
          <w:rFonts w:hAnsi="標楷體"/>
        </w:rPr>
        <w:t>煤、</w:t>
      </w:r>
      <w:r w:rsidR="00017F75" w:rsidRPr="00715E34">
        <w:rPr>
          <w:rFonts w:hAnsi="標楷體" w:hint="eastAsia"/>
        </w:rPr>
        <w:t>石</w:t>
      </w:r>
      <w:r w:rsidR="00017F75" w:rsidRPr="00715E34">
        <w:rPr>
          <w:rFonts w:hAnsi="標楷體"/>
        </w:rPr>
        <w:t>油</w:t>
      </w:r>
      <w:r w:rsidR="00017F75" w:rsidRPr="00715E34">
        <w:rPr>
          <w:rFonts w:hAnsi="標楷體" w:hint="eastAsia"/>
        </w:rPr>
        <w:t>及</w:t>
      </w:r>
      <w:r w:rsidR="00017F75" w:rsidRPr="00715E34">
        <w:rPr>
          <w:rFonts w:hAnsi="標楷體"/>
        </w:rPr>
        <w:t>天然氣等</w:t>
      </w:r>
      <w:r w:rsidR="00017F75" w:rsidRPr="00715E34">
        <w:rPr>
          <w:rFonts w:hAnsi="標楷體" w:hint="eastAsia"/>
        </w:rPr>
        <w:t>）</w:t>
      </w:r>
      <w:r w:rsidR="00017F75" w:rsidRPr="00715E34">
        <w:rPr>
          <w:rFonts w:hAnsi="標楷體"/>
        </w:rPr>
        <w:t>匱乏，</w:t>
      </w:r>
      <w:r w:rsidR="00017F75" w:rsidRPr="00715E34">
        <w:rPr>
          <w:rFonts w:hAnsi="標楷體" w:hint="eastAsia"/>
        </w:rPr>
        <w:t>本不</w:t>
      </w:r>
      <w:r w:rsidR="00017F75" w:rsidRPr="00715E34">
        <w:rPr>
          <w:rFonts w:hAnsi="標楷體"/>
        </w:rPr>
        <w:t>適宜發展高耗水</w:t>
      </w:r>
      <w:r w:rsidR="00017F75" w:rsidRPr="00715E34">
        <w:rPr>
          <w:rFonts w:hAnsi="標楷體" w:hint="eastAsia"/>
        </w:rPr>
        <w:t>、</w:t>
      </w:r>
      <w:r w:rsidR="00017F75" w:rsidRPr="00715E34">
        <w:rPr>
          <w:rFonts w:hAnsi="標楷體"/>
        </w:rPr>
        <w:t>高耗能</w:t>
      </w:r>
      <w:r w:rsidR="00017F75" w:rsidRPr="00715E34">
        <w:rPr>
          <w:rFonts w:hAnsi="標楷體" w:hint="eastAsia"/>
        </w:rPr>
        <w:t>及高</w:t>
      </w:r>
      <w:r w:rsidR="00017F75" w:rsidRPr="00715E34">
        <w:rPr>
          <w:rFonts w:hAnsi="標楷體"/>
        </w:rPr>
        <w:t>污染性</w:t>
      </w:r>
      <w:r w:rsidR="00017F75" w:rsidRPr="00715E34">
        <w:rPr>
          <w:rFonts w:hAnsi="標楷體" w:hint="eastAsia"/>
        </w:rPr>
        <w:t>之</w:t>
      </w:r>
      <w:r w:rsidR="00017F75" w:rsidRPr="00715E34">
        <w:rPr>
          <w:rFonts w:hAnsi="標楷體"/>
        </w:rPr>
        <w:t>產業</w:t>
      </w:r>
      <w:r w:rsidR="00017F75" w:rsidRPr="00715E34">
        <w:rPr>
          <w:rFonts w:hAnsi="標楷體" w:hint="eastAsia"/>
        </w:rPr>
        <w:t>，惟既往</w:t>
      </w:r>
      <w:r w:rsidR="00017F75" w:rsidRPr="00715E34">
        <w:rPr>
          <w:rFonts w:hAnsi="標楷體"/>
        </w:rPr>
        <w:t>產業發展型態著重於石化、鋼鐵及水泥等高耗水、高耗能</w:t>
      </w:r>
      <w:r w:rsidR="00017F75" w:rsidRPr="00715E34">
        <w:rPr>
          <w:rFonts w:hAnsi="標楷體" w:hint="eastAsia"/>
        </w:rPr>
        <w:t>及</w:t>
      </w:r>
      <w:r w:rsidR="00017F75" w:rsidRPr="00715E34">
        <w:rPr>
          <w:rFonts w:hAnsi="標楷體"/>
        </w:rPr>
        <w:t>高污染</w:t>
      </w:r>
      <w:r w:rsidR="00017F75" w:rsidRPr="00715E34">
        <w:rPr>
          <w:rFonts w:hAnsi="標楷體" w:hint="eastAsia"/>
        </w:rPr>
        <w:t>之資本密集</w:t>
      </w:r>
      <w:r w:rsidR="00017F75" w:rsidRPr="00715E34">
        <w:rPr>
          <w:rFonts w:hAnsi="標楷體"/>
        </w:rPr>
        <w:t>產業，</w:t>
      </w:r>
      <w:r w:rsidR="00017F75" w:rsidRPr="00715E34">
        <w:rPr>
          <w:rFonts w:hAnsi="標楷體" w:hint="eastAsia"/>
        </w:rPr>
        <w:t>對</w:t>
      </w:r>
      <w:r w:rsidR="00017F75" w:rsidRPr="00715E34">
        <w:rPr>
          <w:rFonts w:hAnsi="標楷體"/>
        </w:rPr>
        <w:t>自然生態</w:t>
      </w:r>
      <w:r w:rsidR="00017F75" w:rsidRPr="00715E34">
        <w:rPr>
          <w:rFonts w:hAnsi="標楷體" w:hint="eastAsia"/>
        </w:rPr>
        <w:t>之</w:t>
      </w:r>
      <w:r w:rsidR="00017F75" w:rsidRPr="00715E34">
        <w:rPr>
          <w:rFonts w:hAnsi="標楷體"/>
        </w:rPr>
        <w:t>破壞</w:t>
      </w:r>
      <w:r w:rsidR="00017F75" w:rsidRPr="00715E34">
        <w:rPr>
          <w:rFonts w:hAnsi="標楷體" w:hint="eastAsia"/>
        </w:rPr>
        <w:t>及</w:t>
      </w:r>
      <w:r w:rsidR="00017F75" w:rsidRPr="00715E34">
        <w:rPr>
          <w:rFonts w:hAnsi="標楷體"/>
        </w:rPr>
        <w:t>環境品質</w:t>
      </w:r>
      <w:r w:rsidR="00017F75" w:rsidRPr="00715E34">
        <w:rPr>
          <w:rFonts w:hAnsi="標楷體" w:hint="eastAsia"/>
        </w:rPr>
        <w:t>之</w:t>
      </w:r>
      <w:r w:rsidR="00017F75" w:rsidRPr="00715E34">
        <w:rPr>
          <w:rFonts w:hAnsi="標楷體"/>
        </w:rPr>
        <w:t>惡化</w:t>
      </w:r>
      <w:r w:rsidR="00017F75" w:rsidRPr="00715E34">
        <w:rPr>
          <w:rFonts w:hAnsi="標楷體" w:hint="eastAsia"/>
        </w:rPr>
        <w:t>與資源耗竭所致之影響並未周詳考量，有悖</w:t>
      </w:r>
      <w:r w:rsidR="00017F75" w:rsidRPr="00715E34">
        <w:rPr>
          <w:rFonts w:hAnsi="標楷體"/>
        </w:rPr>
        <w:t>「永續發展」</w:t>
      </w:r>
      <w:r w:rsidR="00017F75" w:rsidRPr="00715E34">
        <w:rPr>
          <w:rFonts w:hAnsi="標楷體" w:hint="eastAsia"/>
        </w:rPr>
        <w:t>之</w:t>
      </w:r>
      <w:r w:rsidR="00017F75" w:rsidRPr="00715E34">
        <w:rPr>
          <w:rFonts w:hAnsi="標楷體"/>
        </w:rPr>
        <w:t>精神</w:t>
      </w:r>
      <w:r w:rsidR="00017F75" w:rsidRPr="00715E34">
        <w:rPr>
          <w:rFonts w:hAnsi="標楷體" w:hint="eastAsia"/>
        </w:rPr>
        <w:t>意旨。又</w:t>
      </w:r>
      <w:r w:rsidR="00017F75" w:rsidRPr="00715E34">
        <w:rPr>
          <w:rFonts w:hAnsi="標楷體"/>
        </w:rPr>
        <w:t>近年乾旱風險增大，</w:t>
      </w:r>
      <w:r w:rsidR="00017F75" w:rsidRPr="00715E34">
        <w:rPr>
          <w:rFonts w:hAnsi="標楷體" w:hint="eastAsia"/>
        </w:rPr>
        <w:t>新</w:t>
      </w:r>
      <w:r w:rsidRPr="00715E34">
        <w:rPr>
          <w:rFonts w:hAnsi="標楷體" w:hint="eastAsia"/>
        </w:rPr>
        <w:t>建</w:t>
      </w:r>
      <w:r w:rsidR="00017F75" w:rsidRPr="00715E34">
        <w:rPr>
          <w:rFonts w:hAnsi="標楷體" w:hint="eastAsia"/>
        </w:rPr>
        <w:t>水庫不易之情況下，為有效紓解改善缺水問題，調整產業結構，</w:t>
      </w:r>
      <w:r w:rsidR="00017F75" w:rsidRPr="00715E34">
        <w:rPr>
          <w:rFonts w:hAnsi="標楷體"/>
        </w:rPr>
        <w:t>發展</w:t>
      </w:r>
      <w:r w:rsidR="00017F75" w:rsidRPr="00715E34">
        <w:rPr>
          <w:rFonts w:hAnsi="標楷體" w:hint="eastAsia"/>
        </w:rPr>
        <w:t>節能、省水</w:t>
      </w:r>
      <w:r w:rsidR="00017F75" w:rsidRPr="00715E34">
        <w:rPr>
          <w:rFonts w:hAnsi="標楷體"/>
        </w:rPr>
        <w:t>、低污染</w:t>
      </w:r>
      <w:r w:rsidR="00017F75" w:rsidRPr="00715E34">
        <w:rPr>
          <w:rFonts w:hAnsi="標楷體" w:hint="eastAsia"/>
        </w:rPr>
        <w:t>、高技術</w:t>
      </w:r>
      <w:r w:rsidR="00017F75" w:rsidRPr="00715E34">
        <w:rPr>
          <w:rFonts w:hAnsi="標楷體"/>
        </w:rPr>
        <w:t>與高附加價值之綠色產業，</w:t>
      </w:r>
      <w:r w:rsidR="00017F75" w:rsidRPr="00715E34">
        <w:rPr>
          <w:rFonts w:hAnsi="標楷體" w:hint="eastAsia"/>
        </w:rPr>
        <w:t>並</w:t>
      </w:r>
      <w:r w:rsidR="00017F75" w:rsidRPr="00715E34">
        <w:rPr>
          <w:rFonts w:hAnsi="標楷體"/>
          <w:szCs w:val="32"/>
        </w:rPr>
        <w:t>通盤</w:t>
      </w:r>
      <w:r w:rsidR="00017F75" w:rsidRPr="00715E34">
        <w:rPr>
          <w:rFonts w:hAnsi="標楷體" w:hint="eastAsia"/>
          <w:szCs w:val="32"/>
        </w:rPr>
        <w:t>考量未來</w:t>
      </w:r>
      <w:r w:rsidR="00017F75" w:rsidRPr="00715E34">
        <w:rPr>
          <w:rFonts w:hAnsi="標楷體"/>
          <w:szCs w:val="32"/>
        </w:rPr>
        <w:t>產業發展之用水需求</w:t>
      </w:r>
      <w:r w:rsidR="00017F75" w:rsidRPr="00715E34">
        <w:rPr>
          <w:rFonts w:hAnsi="標楷體" w:hint="eastAsia"/>
          <w:szCs w:val="32"/>
        </w:rPr>
        <w:t>及</w:t>
      </w:r>
      <w:r w:rsidR="00017F75" w:rsidRPr="00715E34">
        <w:rPr>
          <w:rFonts w:hAnsi="標楷體"/>
          <w:szCs w:val="32"/>
        </w:rPr>
        <w:t>調配</w:t>
      </w:r>
      <w:r w:rsidR="00017F75" w:rsidRPr="00715E34">
        <w:rPr>
          <w:rFonts w:hAnsi="標楷體" w:hint="eastAsia"/>
          <w:szCs w:val="32"/>
        </w:rPr>
        <w:t>等，</w:t>
      </w:r>
      <w:r w:rsidR="00017F75" w:rsidRPr="00715E34">
        <w:rPr>
          <w:rFonts w:hAnsi="標楷體" w:hint="eastAsia"/>
        </w:rPr>
        <w:t>實為因應</w:t>
      </w:r>
      <w:r w:rsidR="00017F75" w:rsidRPr="00715E34">
        <w:rPr>
          <w:rFonts w:hAnsi="標楷體"/>
        </w:rPr>
        <w:t>國際</w:t>
      </w:r>
      <w:r w:rsidR="00017F75" w:rsidRPr="00715E34">
        <w:rPr>
          <w:rFonts w:hAnsi="標楷體" w:hint="eastAsia"/>
        </w:rPr>
        <w:t>環保</w:t>
      </w:r>
      <w:r w:rsidR="00017F75" w:rsidRPr="00715E34">
        <w:rPr>
          <w:rFonts w:hAnsi="標楷體"/>
        </w:rPr>
        <w:t>發展趨勢</w:t>
      </w:r>
      <w:r w:rsidR="00017F75" w:rsidRPr="00715E34">
        <w:rPr>
          <w:rFonts w:hAnsi="標楷體" w:hint="eastAsia"/>
        </w:rPr>
        <w:t>及符合國內節水、節能及環保需求之策略方向。職此，</w:t>
      </w:r>
      <w:r w:rsidR="00017F75" w:rsidRPr="00715E34">
        <w:rPr>
          <w:rFonts w:hAnsi="標楷體" w:hint="eastAsia"/>
          <w:bCs w:val="0"/>
        </w:rPr>
        <w:t>經濟部宜賡續檢國內</w:t>
      </w:r>
      <w:r w:rsidR="00017F75" w:rsidRPr="00715E34">
        <w:rPr>
          <w:rFonts w:hAnsi="標楷體"/>
          <w:bCs w:val="0"/>
          <w:kern w:val="0"/>
        </w:rPr>
        <w:t>水利科技</w:t>
      </w:r>
      <w:r w:rsidR="00017F75" w:rsidRPr="00715E34">
        <w:rPr>
          <w:rFonts w:hAnsi="標楷體" w:hint="eastAsia"/>
          <w:bCs w:val="0"/>
          <w:kern w:val="0"/>
        </w:rPr>
        <w:t>發展與</w:t>
      </w:r>
      <w:r w:rsidR="00017F75" w:rsidRPr="00715E34">
        <w:rPr>
          <w:rFonts w:hAnsi="標楷體" w:hint="eastAsia"/>
          <w:bCs w:val="0"/>
        </w:rPr>
        <w:t>產業結構轉型推動發展現況，並研定具體策進作為，以達水資源永續利用目標。</w:t>
      </w:r>
    </w:p>
    <w:p w:rsidR="00017F75" w:rsidRPr="00715E34" w:rsidRDefault="00017F75" w:rsidP="00232C83">
      <w:pPr>
        <w:pStyle w:val="2"/>
        <w:topLinePunct/>
        <w:spacing w:beforeLines="25" w:before="114"/>
        <w:ind w:left="1020" w:hanging="680"/>
        <w:rPr>
          <w:rFonts w:hAnsi="標楷體"/>
          <w:b/>
        </w:rPr>
      </w:pPr>
      <w:bookmarkStart w:id="74" w:name="_Toc458000622"/>
      <w:r w:rsidRPr="00715E34">
        <w:rPr>
          <w:rFonts w:hAnsi="標楷體" w:hint="eastAsia"/>
          <w:b/>
        </w:rPr>
        <w:t>為因應近年來極端氣候肇生缺水威脅，經濟部應健全及靈活運用</w:t>
      </w:r>
      <w:r w:rsidRPr="00715E34">
        <w:rPr>
          <w:rFonts w:hAnsi="標楷體"/>
          <w:b/>
        </w:rPr>
        <w:t>水資源跨域調度</w:t>
      </w:r>
      <w:r w:rsidRPr="00715E34">
        <w:rPr>
          <w:rFonts w:hAnsi="標楷體" w:hint="eastAsia"/>
          <w:b/>
        </w:rPr>
        <w:t>設施及機制，妥善調度水源，並審慎評估長途跨域引水工程施作之可行性，且</w:t>
      </w:r>
      <w:r w:rsidRPr="00715E34">
        <w:rPr>
          <w:rFonts w:hAnsi="標楷體" w:hint="eastAsia"/>
          <w:b/>
          <w:szCs w:val="36"/>
        </w:rPr>
        <w:t>精進相關工程技術，</w:t>
      </w:r>
      <w:r w:rsidRPr="00715E34">
        <w:rPr>
          <w:rFonts w:hAnsi="標楷體" w:hint="eastAsia"/>
          <w:b/>
        </w:rPr>
        <w:t>俾提供穩定之民生用水</w:t>
      </w:r>
      <w:bookmarkEnd w:id="74"/>
    </w:p>
    <w:p w:rsidR="00017F75" w:rsidRPr="00715E34" w:rsidRDefault="0059592E" w:rsidP="00232C83">
      <w:pPr>
        <w:pStyle w:val="3"/>
        <w:numPr>
          <w:ilvl w:val="2"/>
          <w:numId w:val="1"/>
        </w:numPr>
        <w:topLinePunct/>
        <w:rPr>
          <w:rFonts w:hAnsi="標楷體"/>
        </w:rPr>
      </w:pPr>
      <w:r w:rsidRPr="00715E34">
        <w:rPr>
          <w:rFonts w:hAnsi="標楷體" w:hint="eastAsia"/>
        </w:rPr>
        <w:t>臺灣地區</w:t>
      </w:r>
      <w:r w:rsidR="00017F75" w:rsidRPr="00715E34">
        <w:rPr>
          <w:rFonts w:hAnsi="標楷體"/>
        </w:rPr>
        <w:t>每年降雨</w:t>
      </w:r>
      <w:r w:rsidR="00017F75" w:rsidRPr="00715E34">
        <w:rPr>
          <w:rFonts w:hAnsi="標楷體" w:hint="eastAsia"/>
        </w:rPr>
        <w:t>量雖高達</w:t>
      </w:r>
      <w:r w:rsidR="00017F75" w:rsidRPr="00715E34">
        <w:rPr>
          <w:rFonts w:hAnsi="標楷體"/>
        </w:rPr>
        <w:t>95</w:t>
      </w:r>
      <w:r w:rsidR="00017F75" w:rsidRPr="00715E34">
        <w:rPr>
          <w:rFonts w:hAnsi="標楷體" w:hint="eastAsia"/>
        </w:rPr>
        <w:t>0</w:t>
      </w:r>
      <w:r w:rsidR="00017F75" w:rsidRPr="00715E34">
        <w:rPr>
          <w:rFonts w:hAnsi="標楷體"/>
        </w:rPr>
        <w:t>億立方公尺，</w:t>
      </w:r>
      <w:r w:rsidR="00017F75" w:rsidRPr="00715E34">
        <w:rPr>
          <w:rFonts w:hAnsi="標楷體" w:hint="eastAsia"/>
        </w:rPr>
        <w:t>惟因</w:t>
      </w:r>
      <w:r w:rsidR="00017F75" w:rsidRPr="00715E34">
        <w:rPr>
          <w:rFonts w:hAnsi="標楷體"/>
        </w:rPr>
        <w:t>降雨量</w:t>
      </w:r>
      <w:r w:rsidR="00017F75" w:rsidRPr="00715E34">
        <w:rPr>
          <w:rFonts w:hAnsi="標楷體" w:hint="eastAsia"/>
        </w:rPr>
        <w:t>、</w:t>
      </w:r>
      <w:r w:rsidR="00017F75" w:rsidRPr="00715E34">
        <w:rPr>
          <w:rFonts w:hAnsi="標楷體"/>
        </w:rPr>
        <w:t>降雨時間及空間分布</w:t>
      </w:r>
      <w:r w:rsidR="00017F75" w:rsidRPr="00715E34">
        <w:rPr>
          <w:rFonts w:hAnsi="標楷體" w:hint="eastAsia"/>
        </w:rPr>
        <w:t>極為</w:t>
      </w:r>
      <w:r w:rsidR="00017F75" w:rsidRPr="00715E34">
        <w:rPr>
          <w:rFonts w:hAnsi="標楷體"/>
        </w:rPr>
        <w:t>不均</w:t>
      </w:r>
      <w:r w:rsidR="00017F75" w:rsidRPr="00715E34">
        <w:rPr>
          <w:rFonts w:hAnsi="標楷體" w:hint="eastAsia"/>
        </w:rPr>
        <w:t>，</w:t>
      </w:r>
      <w:r w:rsidR="00017F75" w:rsidRPr="00715E34">
        <w:rPr>
          <w:rFonts w:hAnsi="標楷體"/>
        </w:rPr>
        <w:t>適合</w:t>
      </w:r>
      <w:r w:rsidR="00017F75" w:rsidRPr="00715E34">
        <w:rPr>
          <w:rFonts w:hAnsi="標楷體" w:hint="eastAsia"/>
        </w:rPr>
        <w:t>興建水庫</w:t>
      </w:r>
      <w:r w:rsidR="00017F75" w:rsidRPr="00715E34">
        <w:rPr>
          <w:rFonts w:hAnsi="標楷體"/>
        </w:rPr>
        <w:t>地點受限等</w:t>
      </w:r>
      <w:r w:rsidR="00017F75" w:rsidRPr="00715E34">
        <w:rPr>
          <w:rFonts w:hAnsi="標楷體" w:hint="eastAsia"/>
        </w:rPr>
        <w:t>因素，</w:t>
      </w:r>
      <w:r w:rsidR="00017F75" w:rsidRPr="00715E34">
        <w:rPr>
          <w:rFonts w:hAnsi="標楷體"/>
        </w:rPr>
        <w:t>肇致</w:t>
      </w:r>
      <w:r w:rsidR="00017F75" w:rsidRPr="00715E34">
        <w:rPr>
          <w:rFonts w:hAnsi="標楷體" w:hint="eastAsia"/>
        </w:rPr>
        <w:t>時有</w:t>
      </w:r>
      <w:r w:rsidR="00017F75" w:rsidRPr="00715E34">
        <w:rPr>
          <w:rFonts w:hAnsi="標楷體"/>
        </w:rPr>
        <w:t>乾旱及缺水情事頻生</w:t>
      </w:r>
      <w:r w:rsidR="00017F75" w:rsidRPr="00715E34">
        <w:rPr>
          <w:rFonts w:hAnsi="標楷體" w:hint="eastAsia"/>
        </w:rPr>
        <w:t>，成為</w:t>
      </w:r>
      <w:r w:rsidR="00017F75" w:rsidRPr="00715E34">
        <w:rPr>
          <w:rFonts w:hAnsi="標楷體" w:cs="標楷體°...." w:hint="eastAsia"/>
        </w:rPr>
        <w:t>相對缺水的國家。</w:t>
      </w:r>
      <w:r w:rsidR="00017F75" w:rsidRPr="00715E34">
        <w:rPr>
          <w:rFonts w:hAnsi="標楷體"/>
        </w:rPr>
        <w:t>9</w:t>
      </w:r>
      <w:r w:rsidR="00017F75" w:rsidRPr="00715E34">
        <w:rPr>
          <w:rFonts w:hAnsi="標楷體" w:hint="eastAsia"/>
        </w:rPr>
        <w:t>1年間水利署為貫徹水資源總合管理，強化乾旱因應能力，建立水資源供需預警指標，分為五個等級，並以燈號表示，依序</w:t>
      </w:r>
      <w:r w:rsidR="00017F75" w:rsidRPr="00715E34">
        <w:rPr>
          <w:rFonts w:hAnsi="標楷體" w:hint="eastAsia"/>
        </w:rPr>
        <w:lastRenderedPageBreak/>
        <w:t>為藍燈、綠燈、黃燈、橙燈及紅燈，由緩至急以漸進方式代表水源供需情勢，作為啟動相關因應措施之對應指標，並提出多項相關策略及具體作法，其中於</w:t>
      </w:r>
      <w:r w:rsidR="00017F75" w:rsidRPr="00715E34">
        <w:rPr>
          <w:rFonts w:hAnsi="標楷體"/>
        </w:rPr>
        <w:t>92</w:t>
      </w:r>
      <w:r w:rsidR="00017F75" w:rsidRPr="00715E34">
        <w:rPr>
          <w:rFonts w:hAnsi="標楷體" w:hint="eastAsia"/>
        </w:rPr>
        <w:t>年</w:t>
      </w:r>
      <w:r w:rsidR="00017F75" w:rsidRPr="00715E34">
        <w:rPr>
          <w:rFonts w:hAnsi="標楷體"/>
        </w:rPr>
        <w:t>10</w:t>
      </w:r>
      <w:r w:rsidR="00017F75" w:rsidRPr="00715E34">
        <w:rPr>
          <w:rFonts w:hAnsi="標楷體" w:hint="eastAsia"/>
        </w:rPr>
        <w:t>月核定實施「區域水資源調度機制」，該調度機制係配合前開水資源供需預警指標燈號，</w:t>
      </w:r>
      <w:r w:rsidR="004C0212" w:rsidRPr="00715E34">
        <w:rPr>
          <w:rFonts w:hAnsi="標楷體" w:hint="eastAsia"/>
        </w:rPr>
        <w:t>並</w:t>
      </w:r>
      <w:r w:rsidR="00017F75" w:rsidRPr="00715E34">
        <w:rPr>
          <w:rFonts w:hAnsi="標楷體"/>
        </w:rPr>
        <w:t>依水資源特性共分18個水資源調度區</w:t>
      </w:r>
      <w:r w:rsidR="00017F75" w:rsidRPr="00715E34">
        <w:rPr>
          <w:rStyle w:val="aff2"/>
          <w:rFonts w:hAnsi="標楷體"/>
          <w:szCs w:val="32"/>
        </w:rPr>
        <w:footnoteReference w:id="8"/>
      </w:r>
      <w:r w:rsidR="00017F75" w:rsidRPr="00715E34">
        <w:rPr>
          <w:rFonts w:hAnsi="標楷體"/>
        </w:rPr>
        <w:t>，依據各供水區水源豐枯情形調豐濟枯支援水量</w:t>
      </w:r>
      <w:r w:rsidR="00017F75" w:rsidRPr="00715E34">
        <w:rPr>
          <w:rFonts w:hAnsi="標楷體" w:hint="eastAsia"/>
        </w:rPr>
        <w:t>，其</w:t>
      </w:r>
      <w:r w:rsidR="00017F75" w:rsidRPr="00715E34">
        <w:rPr>
          <w:rFonts w:hAnsi="標楷體"/>
        </w:rPr>
        <w:t>水資源調度原則為由內而外</w:t>
      </w:r>
      <w:r w:rsidR="00017F75" w:rsidRPr="00715E34">
        <w:rPr>
          <w:rFonts w:hAnsi="標楷體" w:hint="eastAsia"/>
        </w:rPr>
        <w:t>（</w:t>
      </w:r>
      <w:r w:rsidR="00017F75" w:rsidRPr="00715E34">
        <w:rPr>
          <w:rFonts w:hAnsi="標楷體"/>
        </w:rPr>
        <w:t>同用水標的優先調度，不足則協調由其他標的調度</w:t>
      </w:r>
      <w:r w:rsidR="00017F75" w:rsidRPr="00715E34">
        <w:rPr>
          <w:rFonts w:hAnsi="標楷體" w:hint="eastAsia"/>
        </w:rPr>
        <w:t>）</w:t>
      </w:r>
      <w:r w:rsidR="00017F75" w:rsidRPr="00715E34">
        <w:rPr>
          <w:rFonts w:hAnsi="標楷體"/>
        </w:rPr>
        <w:t>及由近而遠</w:t>
      </w:r>
      <w:r w:rsidR="00017F75" w:rsidRPr="00715E34">
        <w:rPr>
          <w:rFonts w:hAnsi="標楷體" w:hint="eastAsia"/>
        </w:rPr>
        <w:t>（</w:t>
      </w:r>
      <w:r w:rsidR="00017F75" w:rsidRPr="00715E34">
        <w:rPr>
          <w:rFonts w:hAnsi="標楷體"/>
        </w:rPr>
        <w:t>同調度區優先調度，不足再由其他調度區支援</w:t>
      </w:r>
      <w:r w:rsidR="00017F75" w:rsidRPr="00715E34">
        <w:rPr>
          <w:rFonts w:hAnsi="標楷體" w:hint="eastAsia"/>
        </w:rPr>
        <w:t>），俾以</w:t>
      </w:r>
      <w:r w:rsidR="00017F75" w:rsidRPr="00715E34">
        <w:rPr>
          <w:rFonts w:hAnsi="標楷體"/>
        </w:rPr>
        <w:t>減緩旱象</w:t>
      </w:r>
      <w:r w:rsidR="00017F75" w:rsidRPr="00715E34">
        <w:rPr>
          <w:rFonts w:hAnsi="標楷體"/>
          <w:vertAlign w:val="superscript"/>
        </w:rPr>
        <w:footnoteReference w:id="9"/>
      </w:r>
      <w:r w:rsidR="00017F75" w:rsidRPr="00715E34">
        <w:rPr>
          <w:rFonts w:hAnsi="標楷體"/>
        </w:rPr>
        <w:t>。</w:t>
      </w:r>
    </w:p>
    <w:p w:rsidR="00017F75" w:rsidRPr="00715E34" w:rsidRDefault="00017F75" w:rsidP="00232C83">
      <w:pPr>
        <w:pStyle w:val="3"/>
        <w:numPr>
          <w:ilvl w:val="2"/>
          <w:numId w:val="1"/>
        </w:numPr>
        <w:topLinePunct/>
        <w:rPr>
          <w:rFonts w:hAnsi="標楷體"/>
        </w:rPr>
      </w:pPr>
      <w:r w:rsidRPr="00715E34">
        <w:rPr>
          <w:rFonts w:hAnsi="標楷體" w:hint="eastAsia"/>
        </w:rPr>
        <w:t>揆諸歷來</w:t>
      </w:r>
      <w:r w:rsidRPr="00715E34">
        <w:rPr>
          <w:rFonts w:hAnsi="標楷體"/>
        </w:rPr>
        <w:t>水資源相關政策</w:t>
      </w:r>
      <w:r w:rsidR="00EF1C46">
        <w:rPr>
          <w:rFonts w:hAnsi="標楷體" w:hint="eastAsia"/>
        </w:rPr>
        <w:t>研定</w:t>
      </w:r>
      <w:r w:rsidRPr="00715E34">
        <w:rPr>
          <w:rFonts w:hAnsi="標楷體" w:hint="eastAsia"/>
        </w:rPr>
        <w:t>重點，在</w:t>
      </w:r>
      <w:r w:rsidRPr="00715E34">
        <w:rPr>
          <w:rFonts w:hAnsi="標楷體"/>
        </w:rPr>
        <w:t>85年</w:t>
      </w:r>
      <w:r w:rsidRPr="00715E34">
        <w:rPr>
          <w:rFonts w:hAnsi="標楷體" w:hint="eastAsia"/>
        </w:rPr>
        <w:t>間</w:t>
      </w:r>
      <w:r w:rsidRPr="00715E34">
        <w:rPr>
          <w:rFonts w:hAnsi="標楷體"/>
        </w:rPr>
        <w:t>所訂</w:t>
      </w:r>
      <w:r w:rsidRPr="00715E34">
        <w:rPr>
          <w:rFonts w:hAnsi="標楷體" w:hint="eastAsia"/>
        </w:rPr>
        <w:t>定</w:t>
      </w:r>
      <w:r w:rsidRPr="00715E34">
        <w:rPr>
          <w:rFonts w:hAnsi="標楷體"/>
        </w:rPr>
        <w:t>之</w:t>
      </w:r>
      <w:r w:rsidRPr="00715E34">
        <w:rPr>
          <w:rFonts w:hAnsi="標楷體" w:hint="eastAsia"/>
        </w:rPr>
        <w:t>「</w:t>
      </w:r>
      <w:r w:rsidRPr="00715E34">
        <w:rPr>
          <w:rFonts w:hAnsi="標楷體"/>
        </w:rPr>
        <w:t>現階段水資源政策綱領</w:t>
      </w:r>
      <w:r w:rsidRPr="00715E34">
        <w:rPr>
          <w:rFonts w:hAnsi="標楷體" w:hint="eastAsia"/>
        </w:rPr>
        <w:t>」中</w:t>
      </w:r>
      <w:r w:rsidRPr="00715E34">
        <w:rPr>
          <w:rFonts w:hAnsi="標楷體"/>
        </w:rPr>
        <w:t>，水資源利用策略從積極開發水源</w:t>
      </w:r>
      <w:r w:rsidRPr="00715E34">
        <w:rPr>
          <w:rFonts w:hAnsi="標楷體" w:hint="eastAsia"/>
        </w:rPr>
        <w:t>已</w:t>
      </w:r>
      <w:r w:rsidRPr="00715E34">
        <w:rPr>
          <w:rFonts w:hAnsi="標楷體"/>
        </w:rPr>
        <w:t>調整為以區域水資源調度為主；95年</w:t>
      </w:r>
      <w:r w:rsidRPr="00715E34">
        <w:rPr>
          <w:rFonts w:hAnsi="標楷體" w:hint="eastAsia"/>
        </w:rPr>
        <w:t>間</w:t>
      </w:r>
      <w:r w:rsidRPr="00715E34">
        <w:rPr>
          <w:rFonts w:hAnsi="標楷體"/>
        </w:rPr>
        <w:t>之</w:t>
      </w:r>
      <w:r w:rsidRPr="00715E34">
        <w:rPr>
          <w:rFonts w:hAnsi="標楷體" w:hint="eastAsia"/>
        </w:rPr>
        <w:t>「</w:t>
      </w:r>
      <w:r w:rsidRPr="00715E34">
        <w:rPr>
          <w:rFonts w:hAnsi="標楷體"/>
        </w:rPr>
        <w:t>新世紀水資源政策綱領</w:t>
      </w:r>
      <w:r w:rsidRPr="00715E34">
        <w:rPr>
          <w:rFonts w:hAnsi="標楷體" w:hint="eastAsia"/>
        </w:rPr>
        <w:t>」</w:t>
      </w:r>
      <w:r w:rsidRPr="00715E34">
        <w:rPr>
          <w:rFonts w:hAnsi="標楷體"/>
        </w:rPr>
        <w:t>，水資源利用策略則調整以加強已開發水源運用為主</w:t>
      </w:r>
      <w:r w:rsidRPr="00715E34">
        <w:rPr>
          <w:rStyle w:val="aff2"/>
          <w:rFonts w:hAnsi="標楷體"/>
        </w:rPr>
        <w:footnoteReference w:id="10"/>
      </w:r>
      <w:r w:rsidRPr="00715E34">
        <w:rPr>
          <w:rFonts w:hAnsi="標楷體"/>
        </w:rPr>
        <w:t>。</w:t>
      </w:r>
      <w:r w:rsidRPr="00715E34">
        <w:rPr>
          <w:rFonts w:hAnsi="標楷體" w:hint="eastAsia"/>
        </w:rPr>
        <w:t>迨102年間水利署擬定「新紀元水利施政綱領」中，有關</w:t>
      </w:r>
      <w:r w:rsidRPr="00715E34">
        <w:rPr>
          <w:rFonts w:hAnsi="標楷體"/>
        </w:rPr>
        <w:t>施政主軸與策略</w:t>
      </w:r>
      <w:r w:rsidRPr="00715E34">
        <w:rPr>
          <w:rFonts w:hAnsi="標楷體" w:hint="eastAsia"/>
        </w:rPr>
        <w:t>，在「</w:t>
      </w:r>
      <w:r w:rsidRPr="00715E34">
        <w:rPr>
          <w:rFonts w:hAnsi="標楷體"/>
        </w:rPr>
        <w:t>貫徹水資源總合管理，強化乾旱因應能力</w:t>
      </w:r>
      <w:r w:rsidRPr="00715E34">
        <w:rPr>
          <w:rFonts w:hAnsi="標楷體" w:hint="eastAsia"/>
        </w:rPr>
        <w:t>」方面，則為</w:t>
      </w:r>
      <w:r w:rsidRPr="00715E34">
        <w:rPr>
          <w:rFonts w:hAnsi="標楷體"/>
        </w:rPr>
        <w:t>建立水源調度機制及備援系統</w:t>
      </w:r>
      <w:r w:rsidRPr="00715E34">
        <w:rPr>
          <w:rFonts w:hAnsi="標楷體" w:hint="eastAsia"/>
        </w:rPr>
        <w:t>，具體作法則為</w:t>
      </w:r>
      <w:r w:rsidRPr="00715E34">
        <w:rPr>
          <w:rFonts w:hAnsi="標楷體"/>
        </w:rPr>
        <w:t>建立各區域間</w:t>
      </w:r>
      <w:r w:rsidRPr="00715E34">
        <w:rPr>
          <w:rFonts w:hAnsi="標楷體" w:hint="eastAsia"/>
        </w:rPr>
        <w:t>與</w:t>
      </w:r>
      <w:r w:rsidRPr="00715E34">
        <w:rPr>
          <w:rFonts w:hAnsi="標楷體"/>
        </w:rPr>
        <w:t>各標的間水源調配機制</w:t>
      </w:r>
      <w:r w:rsidRPr="00715E34">
        <w:rPr>
          <w:rFonts w:hAnsi="標楷體" w:hint="eastAsia"/>
        </w:rPr>
        <w:t>、</w:t>
      </w:r>
      <w:r w:rsidRPr="00715E34">
        <w:rPr>
          <w:rFonts w:hAnsi="標楷體"/>
        </w:rPr>
        <w:t>建立水源及取水設施備援系統</w:t>
      </w:r>
      <w:r w:rsidRPr="00715E34">
        <w:rPr>
          <w:rFonts w:hAnsi="標楷體" w:hint="eastAsia"/>
        </w:rPr>
        <w:t>與</w:t>
      </w:r>
      <w:r w:rsidRPr="00715E34">
        <w:rPr>
          <w:rFonts w:hAnsi="標楷體"/>
        </w:rPr>
        <w:t>擴大淨水系統備載及管網支援能力</w:t>
      </w:r>
      <w:r w:rsidRPr="00715E34">
        <w:rPr>
          <w:rFonts w:hAnsi="標楷體" w:hint="eastAsia"/>
        </w:rPr>
        <w:t>、</w:t>
      </w:r>
      <w:r w:rsidRPr="00715E34">
        <w:rPr>
          <w:rFonts w:hAnsi="標楷體"/>
        </w:rPr>
        <w:t>建立地面水和地下水聯合運用機制</w:t>
      </w:r>
      <w:r w:rsidRPr="00715E34">
        <w:rPr>
          <w:rFonts w:hAnsi="標楷體" w:hint="eastAsia"/>
        </w:rPr>
        <w:t>並</w:t>
      </w:r>
      <w:r w:rsidRPr="00715E34">
        <w:rPr>
          <w:rFonts w:hAnsi="標楷體"/>
        </w:rPr>
        <w:t>落實執行</w:t>
      </w:r>
      <w:r w:rsidRPr="00715E34">
        <w:rPr>
          <w:rFonts w:hAnsi="標楷體" w:hint="eastAsia"/>
        </w:rPr>
        <w:t>以及</w:t>
      </w:r>
      <w:r w:rsidRPr="00715E34">
        <w:rPr>
          <w:rFonts w:hAnsi="標楷體"/>
        </w:rPr>
        <w:t>調配</w:t>
      </w:r>
      <w:r w:rsidRPr="00715E34">
        <w:rPr>
          <w:rFonts w:hAnsi="標楷體" w:hint="eastAsia"/>
        </w:rPr>
        <w:t>農業</w:t>
      </w:r>
      <w:r w:rsidRPr="00715E34">
        <w:rPr>
          <w:rFonts w:hAnsi="標楷體"/>
        </w:rPr>
        <w:t>水源</w:t>
      </w:r>
      <w:r w:rsidRPr="00715E34">
        <w:rPr>
          <w:rFonts w:hAnsi="標楷體" w:hint="eastAsia"/>
        </w:rPr>
        <w:t>等；嗣該署於103年間「重大水資源規劃作業計畫（103-108年）」中，有關水資源彈性調度部分，</w:t>
      </w:r>
      <w:r w:rsidRPr="00715E34">
        <w:rPr>
          <w:rFonts w:hAnsi="標楷體" w:hint="eastAsia"/>
        </w:rPr>
        <w:lastRenderedPageBreak/>
        <w:t>如為緊急事件之短暫缺水，以跨區調度與備援設施為原則，透過區域聯絡管線之設置，以區域性水源及水利設施靈活彈性的聯合運用供應所需，至於屬中長期之常態水資源調配，應以「在地優先」為原則，即優先滿足在地之需求後，如有剩餘水源且符合成本及能源效益時，再作跨區之調度，中長期彈性調度之規劃計有「加強灌溉管理調度農業用水」、「調度及備援系統</w:t>
      </w:r>
      <w:r w:rsidR="003B21F1">
        <w:rPr>
          <w:rFonts w:hAnsi="標楷體" w:hint="eastAsia"/>
        </w:rPr>
        <w:t>提升</w:t>
      </w:r>
      <w:r w:rsidRPr="00715E34">
        <w:rPr>
          <w:rFonts w:hAnsi="標楷體" w:hint="eastAsia"/>
        </w:rPr>
        <w:t>」等</w:t>
      </w:r>
      <w:r w:rsidRPr="00715E34">
        <w:rPr>
          <w:rFonts w:hAnsi="標楷體"/>
        </w:rPr>
        <w:t>2</w:t>
      </w:r>
      <w:r w:rsidRPr="00715E34">
        <w:rPr>
          <w:rFonts w:hAnsi="標楷體" w:hint="eastAsia"/>
        </w:rPr>
        <w:t>項措施。綜言之，為因應降雨異常缺水威脅及社會大眾穩定供水要求，彈性調度管理雖與多元化水源開發方案相輔相成，惟區域性水資源經常開發不易或開發期程未能配合用水需求，現階段係以水資源彈性調度管理為主，即於</w:t>
      </w:r>
      <w:r w:rsidRPr="00715E34">
        <w:rPr>
          <w:rFonts w:hAnsi="標楷體"/>
        </w:rPr>
        <w:t>水資源調度</w:t>
      </w:r>
      <w:r w:rsidRPr="00715E34">
        <w:rPr>
          <w:rFonts w:hAnsi="標楷體" w:hint="eastAsia"/>
        </w:rPr>
        <w:t>區內以其他</w:t>
      </w:r>
      <w:r w:rsidRPr="00715E34">
        <w:rPr>
          <w:rFonts w:hAnsi="標楷體"/>
        </w:rPr>
        <w:t>用水標的優先調度，不足再由其他調度區支援</w:t>
      </w:r>
      <w:r w:rsidRPr="00715E34">
        <w:rPr>
          <w:rFonts w:hAnsi="標楷體" w:hint="eastAsia"/>
        </w:rPr>
        <w:t>。</w:t>
      </w:r>
    </w:p>
    <w:p w:rsidR="00017F75" w:rsidRPr="00715E34" w:rsidRDefault="00017F75" w:rsidP="00232C83">
      <w:pPr>
        <w:pStyle w:val="3"/>
        <w:numPr>
          <w:ilvl w:val="2"/>
          <w:numId w:val="1"/>
        </w:numPr>
        <w:topLinePunct/>
        <w:rPr>
          <w:rFonts w:hAnsi="標楷體"/>
          <w:szCs w:val="32"/>
        </w:rPr>
      </w:pPr>
      <w:r w:rsidRPr="00715E34">
        <w:rPr>
          <w:rFonts w:hAnsi="標楷體" w:hint="eastAsia"/>
          <w:szCs w:val="32"/>
        </w:rPr>
        <w:t>據水利署查復，近年來考量新</w:t>
      </w:r>
      <w:r w:rsidR="0059592E" w:rsidRPr="00715E34">
        <w:rPr>
          <w:rFonts w:hAnsi="標楷體" w:hint="eastAsia"/>
          <w:szCs w:val="32"/>
        </w:rPr>
        <w:t>興</w:t>
      </w:r>
      <w:r w:rsidRPr="00715E34">
        <w:rPr>
          <w:rFonts w:hAnsi="標楷體" w:hint="eastAsia"/>
          <w:szCs w:val="32"/>
        </w:rPr>
        <w:t>水資源開發不易，已將水資源政策</w:t>
      </w:r>
      <w:r w:rsidRPr="00715E34">
        <w:rPr>
          <w:rFonts w:hAnsi="標楷體"/>
          <w:szCs w:val="32"/>
        </w:rPr>
        <w:t>調整</w:t>
      </w:r>
      <w:r w:rsidRPr="00715E34">
        <w:rPr>
          <w:rFonts w:hAnsi="標楷體" w:hint="eastAsia"/>
          <w:szCs w:val="32"/>
        </w:rPr>
        <w:t>為</w:t>
      </w:r>
      <w:r w:rsidRPr="00715E34">
        <w:rPr>
          <w:rFonts w:hAnsi="標楷體"/>
          <w:szCs w:val="32"/>
        </w:rPr>
        <w:t>以加強已開發水源運用為主</w:t>
      </w:r>
      <w:r w:rsidRPr="00715E34">
        <w:rPr>
          <w:rFonts w:hAnsi="標楷體" w:hint="eastAsia"/>
          <w:szCs w:val="32"/>
        </w:rPr>
        <w:t>。由於無論遭逢短期間之枯旱現象，需調用其他標的或鄰近調度區之用水，抑或長期的水資源調度</w:t>
      </w:r>
      <w:r w:rsidRPr="00715E34">
        <w:rPr>
          <w:rFonts w:hAnsi="標楷體"/>
          <w:szCs w:val="32"/>
        </w:rPr>
        <w:t>支援</w:t>
      </w:r>
      <w:r w:rsidRPr="00715E34">
        <w:rPr>
          <w:rFonts w:hAnsi="標楷體" w:hint="eastAsia"/>
          <w:szCs w:val="32"/>
        </w:rPr>
        <w:t>，均需有靈活跨區聯合調度運用機制，以及完整的自來水管輸送系統，因此，除完善的水源調度演練外，建立完整的自來水管網絡之相互連結更有其必要。例如已施作數年的板新地區供水改善計畫，係以增設「調度幹管」調度新店溪及大漢溪流域水源，將原供應板新地區之部分大漢溪水源南調供應桃園地區之用水需求</w:t>
      </w:r>
      <w:r w:rsidRPr="00715E34">
        <w:rPr>
          <w:rStyle w:val="aff2"/>
          <w:rFonts w:hAnsi="標楷體"/>
          <w:szCs w:val="32"/>
        </w:rPr>
        <w:footnoteReference w:id="11"/>
      </w:r>
      <w:r w:rsidRPr="00715E34">
        <w:rPr>
          <w:rFonts w:hAnsi="標楷體" w:hint="eastAsia"/>
          <w:szCs w:val="32"/>
        </w:rPr>
        <w:t>；另在水資源備援部分，新店溪水源可透過地區間之聯通管路，作為基隆與桃園之間之備用水量；大漢溪水源亦可透過地區間之聯通管路，作為臺北、板新及新竹地區之備</w:t>
      </w:r>
      <w:r w:rsidRPr="00715E34">
        <w:rPr>
          <w:rFonts w:hAnsi="標楷體" w:hint="eastAsia"/>
          <w:szCs w:val="32"/>
        </w:rPr>
        <w:lastRenderedPageBreak/>
        <w:t>用水量</w:t>
      </w:r>
      <w:r w:rsidRPr="00715E34">
        <w:rPr>
          <w:rStyle w:val="aff2"/>
          <w:rFonts w:hAnsi="標楷體"/>
          <w:szCs w:val="32"/>
        </w:rPr>
        <w:footnoteReference w:id="12"/>
      </w:r>
      <w:r w:rsidRPr="00715E34">
        <w:rPr>
          <w:rFonts w:hAnsi="標楷體" w:hint="eastAsia"/>
          <w:szCs w:val="32"/>
        </w:rPr>
        <w:t>，皆說明藉由自來水管網可達成水資源調度之目的，並顯示其重要性。然查，囿於國內長期以來自來水管網絡未能全數連結，不同地區間水資源尚無法全面相互支援，水資源調度成效並不如預期。</w:t>
      </w:r>
    </w:p>
    <w:p w:rsidR="00017F75" w:rsidRPr="00715E34" w:rsidRDefault="00017F75" w:rsidP="00232C83">
      <w:pPr>
        <w:pStyle w:val="3"/>
        <w:numPr>
          <w:ilvl w:val="2"/>
          <w:numId w:val="1"/>
        </w:numPr>
        <w:topLinePunct/>
        <w:rPr>
          <w:rFonts w:hAnsi="標楷體"/>
          <w:szCs w:val="32"/>
        </w:rPr>
      </w:pPr>
      <w:r w:rsidRPr="00715E34">
        <w:rPr>
          <w:rFonts w:hAnsi="標楷體" w:hint="eastAsia"/>
          <w:szCs w:val="32"/>
        </w:rPr>
        <w:t>另查水利署前曾推動「曾文溪越域引水工程計畫」，該</w:t>
      </w:r>
      <w:r w:rsidRPr="00715E34">
        <w:rPr>
          <w:rFonts w:hAnsi="標楷體"/>
          <w:szCs w:val="32"/>
        </w:rPr>
        <w:t>計畫</w:t>
      </w:r>
      <w:r w:rsidRPr="00715E34">
        <w:rPr>
          <w:rFonts w:hAnsi="標楷體" w:hint="eastAsia"/>
          <w:szCs w:val="32"/>
        </w:rPr>
        <w:t>係</w:t>
      </w:r>
      <w:r w:rsidRPr="00715E34">
        <w:rPr>
          <w:rFonts w:hAnsi="標楷體"/>
          <w:szCs w:val="32"/>
        </w:rPr>
        <w:t>利用高屏溪有水量無水庫</w:t>
      </w:r>
      <w:r w:rsidRPr="00715E34">
        <w:rPr>
          <w:rFonts w:hAnsi="標楷體" w:hint="eastAsia"/>
          <w:szCs w:val="32"/>
        </w:rPr>
        <w:t>、</w:t>
      </w:r>
      <w:r w:rsidRPr="00715E34">
        <w:rPr>
          <w:rFonts w:hAnsi="標楷體"/>
          <w:szCs w:val="32"/>
        </w:rPr>
        <w:t>曾文溪有水庫卻水量不足之先天條件，截長補短將高屏溪支流荖濃溪</w:t>
      </w:r>
      <w:r w:rsidRPr="00715E34">
        <w:rPr>
          <w:rFonts w:hAnsi="標楷體" w:hint="eastAsia"/>
          <w:szCs w:val="32"/>
        </w:rPr>
        <w:t>每年5月至10月</w:t>
      </w:r>
      <w:r w:rsidRPr="00715E34">
        <w:rPr>
          <w:rFonts w:hAnsi="標楷體"/>
          <w:szCs w:val="32"/>
        </w:rPr>
        <w:t>豐水期</w:t>
      </w:r>
      <w:r w:rsidRPr="00715E34">
        <w:rPr>
          <w:rFonts w:hAnsi="標楷體" w:hint="eastAsia"/>
          <w:szCs w:val="32"/>
        </w:rPr>
        <w:t>之</w:t>
      </w:r>
      <w:r w:rsidRPr="00715E34">
        <w:rPr>
          <w:rFonts w:hAnsi="標楷體"/>
          <w:szCs w:val="32"/>
        </w:rPr>
        <w:t>餘水越域引入曾文水庫蓄存利用，</w:t>
      </w:r>
      <w:r w:rsidRPr="00715E34">
        <w:rPr>
          <w:rFonts w:hAnsi="標楷體" w:hint="eastAsia"/>
          <w:szCs w:val="32"/>
        </w:rPr>
        <w:t>以</w:t>
      </w:r>
      <w:r w:rsidRPr="00715E34">
        <w:rPr>
          <w:rFonts w:hAnsi="標楷體"/>
          <w:szCs w:val="32"/>
        </w:rPr>
        <w:t>提升水庫供水潛能，滿足南部地區未來用水需求，將水源與蓄水設施結合，發揮區域水資源最大功效</w:t>
      </w:r>
      <w:r w:rsidRPr="00715E34">
        <w:rPr>
          <w:rStyle w:val="aff2"/>
          <w:rFonts w:hAnsi="標楷體"/>
          <w:szCs w:val="32"/>
        </w:rPr>
        <w:footnoteReference w:id="13"/>
      </w:r>
      <w:r w:rsidRPr="00715E34">
        <w:rPr>
          <w:rFonts w:hAnsi="標楷體" w:hint="eastAsia"/>
          <w:szCs w:val="32"/>
        </w:rPr>
        <w:t>。該計畫原立意及構想良好，但由於此計畫有環保上爭議，</w:t>
      </w:r>
      <w:r w:rsidRPr="00715E34">
        <w:rPr>
          <w:rFonts w:hAnsi="標楷體" w:hint="eastAsia"/>
        </w:rPr>
        <w:t>又曾引發以爆破方式的開鑿技術對生態及土石衝擊之疑慮，</w:t>
      </w:r>
      <w:r w:rsidRPr="00715E34">
        <w:rPr>
          <w:rFonts w:hAnsi="標楷體" w:hint="eastAsia"/>
          <w:szCs w:val="32"/>
        </w:rPr>
        <w:t>且近年來極端氣候頻仍，曾引發各界不同的議論。</w:t>
      </w:r>
      <w:r w:rsidRPr="00715E34">
        <w:rPr>
          <w:rFonts w:hAnsi="標楷體"/>
          <w:szCs w:val="32"/>
        </w:rPr>
        <w:t>9</w:t>
      </w:r>
      <w:r w:rsidRPr="00715E34">
        <w:rPr>
          <w:rFonts w:hAnsi="標楷體" w:hint="eastAsia"/>
          <w:szCs w:val="32"/>
        </w:rPr>
        <w:t>8年</w:t>
      </w:r>
      <w:r w:rsidRPr="00715E34">
        <w:rPr>
          <w:rFonts w:hAnsi="標楷體"/>
          <w:szCs w:val="32"/>
        </w:rPr>
        <w:t>8</w:t>
      </w:r>
      <w:r w:rsidRPr="00715E34">
        <w:rPr>
          <w:rFonts w:hAnsi="標楷體" w:hint="eastAsia"/>
          <w:szCs w:val="32"/>
        </w:rPr>
        <w:t>月莫拉克颱風降下超大豪雨，重創曾文溪越域引水計畫已施工構造物，考量荖濃溪主河道未來</w:t>
      </w:r>
      <w:r w:rsidRPr="00715E34">
        <w:rPr>
          <w:rFonts w:hAnsi="標楷體"/>
          <w:szCs w:val="32"/>
        </w:rPr>
        <w:t>10</w:t>
      </w:r>
      <w:r w:rsidRPr="00715E34">
        <w:rPr>
          <w:rFonts w:hAnsi="標楷體" w:hint="eastAsia"/>
          <w:szCs w:val="32"/>
        </w:rPr>
        <w:t>年內將產生變動，近期內無合適地點可供佈設引水工程，故應先辦理山崩土石流及河道變遷調查監測，再檢討引水隧道復建之可行性，目前是項計畫已暫停</w:t>
      </w:r>
      <w:r w:rsidRPr="00715E34">
        <w:rPr>
          <w:rStyle w:val="aff2"/>
          <w:rFonts w:hAnsi="標楷體"/>
          <w:szCs w:val="32"/>
        </w:rPr>
        <w:footnoteReference w:id="14"/>
      </w:r>
      <w:r w:rsidRPr="00715E34">
        <w:rPr>
          <w:rFonts w:hAnsi="標楷體" w:hint="eastAsia"/>
          <w:szCs w:val="32"/>
        </w:rPr>
        <w:t>。爰此，爾後對類此「北水南運」或「南水北運」等長途越域引水工程計畫，須考量對自然環境影響，工程經費龐大，民情反應及極端氣候襲擊，對工程施作之可行性審慎評估，</w:t>
      </w:r>
      <w:r w:rsidRPr="00715E34">
        <w:rPr>
          <w:rFonts w:hAnsi="標楷體" w:hint="eastAsia"/>
        </w:rPr>
        <w:t>並精進相關工程技術</w:t>
      </w:r>
      <w:r w:rsidRPr="00715E34">
        <w:rPr>
          <w:rFonts w:hAnsi="標楷體" w:hint="eastAsia"/>
          <w:szCs w:val="32"/>
        </w:rPr>
        <w:t>。</w:t>
      </w:r>
    </w:p>
    <w:p w:rsidR="00017F75" w:rsidRPr="00715E34" w:rsidRDefault="00017F75" w:rsidP="00232C83">
      <w:pPr>
        <w:pStyle w:val="3"/>
        <w:numPr>
          <w:ilvl w:val="2"/>
          <w:numId w:val="1"/>
        </w:numPr>
        <w:topLinePunct/>
        <w:rPr>
          <w:rFonts w:hAnsi="標楷體"/>
        </w:rPr>
      </w:pPr>
      <w:r w:rsidRPr="00715E34">
        <w:rPr>
          <w:rFonts w:hAnsi="標楷體" w:hint="eastAsia"/>
        </w:rPr>
        <w:t>盱衡近年來極端氣候頻仍已呈常態，肇生降雨異常及枯旱缺水之威脅加重，經濟部允應靈活運用水資</w:t>
      </w:r>
      <w:r w:rsidRPr="00715E34">
        <w:rPr>
          <w:rFonts w:hAnsi="標楷體" w:hint="eastAsia"/>
        </w:rPr>
        <w:lastRenderedPageBreak/>
        <w:t>源跨域調度機制，健全水資源調度設施，並審慎評估長途跨域引水工程施作之可行性，且精進相關工程技術，俾提供穩定之民生用水。</w:t>
      </w:r>
    </w:p>
    <w:p w:rsidR="00473050" w:rsidRPr="00715E34" w:rsidRDefault="00473050" w:rsidP="00232C83">
      <w:pPr>
        <w:pStyle w:val="2"/>
        <w:topLinePunct/>
        <w:spacing w:beforeLines="25" w:before="114"/>
        <w:ind w:left="1020" w:hanging="680"/>
        <w:rPr>
          <w:rFonts w:hAnsi="標楷體"/>
          <w:b/>
          <w:szCs w:val="32"/>
        </w:rPr>
      </w:pPr>
      <w:bookmarkStart w:id="75" w:name="_Toc458000623"/>
      <w:bookmarkEnd w:id="64"/>
      <w:bookmarkEnd w:id="65"/>
      <w:bookmarkEnd w:id="66"/>
      <w:bookmarkEnd w:id="67"/>
      <w:bookmarkEnd w:id="68"/>
      <w:bookmarkEnd w:id="69"/>
      <w:r w:rsidRPr="00715E34">
        <w:rPr>
          <w:rFonts w:hAnsi="標楷體"/>
          <w:b/>
          <w:szCs w:val="32"/>
        </w:rPr>
        <w:t>水利署及農委會深知桃園地區埤塘對於石門水庫供水區之水資源</w:t>
      </w:r>
      <w:r w:rsidRPr="00715E34">
        <w:rPr>
          <w:rFonts w:hAnsi="標楷體"/>
          <w:b/>
          <w:kern w:val="0"/>
          <w:szCs w:val="32"/>
        </w:rPr>
        <w:t>調蓄運用之效能及重要性，</w:t>
      </w:r>
      <w:r w:rsidRPr="00715E34">
        <w:rPr>
          <w:rFonts w:hAnsi="標楷體"/>
          <w:b/>
          <w:szCs w:val="32"/>
        </w:rPr>
        <w:t>允宜審酌加強推動活化其蓄水及滯洪功能，以增加區域備</w:t>
      </w:r>
      <w:r w:rsidRPr="00715E34">
        <w:rPr>
          <w:rFonts w:hAnsi="標楷體" w:hint="eastAsia"/>
          <w:b/>
          <w:szCs w:val="32"/>
        </w:rPr>
        <w:t>援</w:t>
      </w:r>
      <w:r w:rsidRPr="00715E34">
        <w:rPr>
          <w:rFonts w:hAnsi="標楷體"/>
          <w:b/>
          <w:szCs w:val="32"/>
        </w:rPr>
        <w:t>供水能力</w:t>
      </w:r>
      <w:bookmarkEnd w:id="75"/>
    </w:p>
    <w:p w:rsidR="00473050" w:rsidRPr="00715E34" w:rsidRDefault="00473050" w:rsidP="00232C83">
      <w:pPr>
        <w:pStyle w:val="3"/>
        <w:widowControl/>
        <w:suppressAutoHyphens/>
        <w:topLinePunct/>
        <w:autoSpaceDE/>
        <w:autoSpaceDN/>
        <w:textAlignment w:val="center"/>
        <w:rPr>
          <w:rFonts w:hAnsi="標楷體"/>
          <w:sz w:val="23"/>
          <w:szCs w:val="23"/>
        </w:rPr>
      </w:pPr>
      <w:r w:rsidRPr="00715E34">
        <w:rPr>
          <w:rFonts w:hAnsi="標楷體" w:hint="eastAsia"/>
        </w:rPr>
        <w:t>按</w:t>
      </w:r>
      <w:r w:rsidRPr="00715E34">
        <w:rPr>
          <w:rFonts w:hAnsi="標楷體"/>
        </w:rPr>
        <w:t>桃園地區因河川流路短，集水區小，因此除了大雨及雨季</w:t>
      </w:r>
      <w:r w:rsidRPr="00715E34">
        <w:rPr>
          <w:rFonts w:hAnsi="標楷體" w:hint="eastAsia"/>
        </w:rPr>
        <w:t>方擁</w:t>
      </w:r>
      <w:r w:rsidRPr="00715E34">
        <w:rPr>
          <w:rFonts w:hAnsi="標楷體"/>
        </w:rPr>
        <w:t>有充足的供水灌溉外，</w:t>
      </w:r>
      <w:r w:rsidRPr="00715E34">
        <w:rPr>
          <w:rFonts w:hAnsi="標楷體" w:hint="eastAsia"/>
        </w:rPr>
        <w:t>其餘則</w:t>
      </w:r>
      <w:r w:rsidRPr="00715E34">
        <w:rPr>
          <w:rFonts w:hAnsi="標楷體"/>
        </w:rPr>
        <w:t>經常涓涓細流，甚至成為乾谷，農民為了儲存雨水供灌溉所需，乃興築埤塘</w:t>
      </w:r>
      <w:r w:rsidRPr="00715E34">
        <w:rPr>
          <w:rFonts w:hAnsi="標楷體" w:hint="eastAsia"/>
        </w:rPr>
        <w:t>，成為</w:t>
      </w:r>
      <w:r w:rsidRPr="00715E34">
        <w:rPr>
          <w:rFonts w:hAnsi="標楷體"/>
          <w:kern w:val="0"/>
          <w:szCs w:val="32"/>
        </w:rPr>
        <w:t>「</w:t>
      </w:r>
      <w:r w:rsidRPr="00715E34">
        <w:rPr>
          <w:rFonts w:hAnsi="標楷體" w:hint="eastAsia"/>
          <w:kern w:val="0"/>
          <w:szCs w:val="32"/>
        </w:rPr>
        <w:t>千塘之鄉</w:t>
      </w:r>
      <w:r w:rsidRPr="00715E34">
        <w:rPr>
          <w:rFonts w:hAnsi="標楷體"/>
          <w:kern w:val="0"/>
          <w:szCs w:val="32"/>
        </w:rPr>
        <w:t>」</w:t>
      </w:r>
      <w:r w:rsidRPr="00715E34">
        <w:rPr>
          <w:rFonts w:hAnsi="標楷體"/>
        </w:rPr>
        <w:t>。</w:t>
      </w:r>
      <w:r w:rsidR="00F56CFA" w:rsidRPr="00715E34">
        <w:rPr>
          <w:rFonts w:hAnsi="標楷體" w:hint="eastAsia"/>
        </w:rPr>
        <w:t>於</w:t>
      </w:r>
      <w:r w:rsidRPr="00715E34">
        <w:rPr>
          <w:rFonts w:hAnsi="標楷體" w:hint="eastAsia"/>
        </w:rPr>
        <w:t>民國2</w:t>
      </w:r>
      <w:r w:rsidRPr="00715E34">
        <w:rPr>
          <w:rFonts w:hAnsi="標楷體"/>
        </w:rPr>
        <w:t>年大旱前，桃園臺地約有一萬個大小不一之埤塘，為埤塘數量最高時期，當時埤塘與埤塘間的水源已能完全串連，形成一個具有規模的水利灌溉系統，也使得桃園臺地農產大增，在石門水庫未興建前，埤塘為該地區主要的灌溉水源。52年石門水庫完成後，桃園市內仍約有8,845口埤塘，</w:t>
      </w:r>
      <w:r w:rsidRPr="00715E34">
        <w:rPr>
          <w:rFonts w:hAnsi="標楷體"/>
          <w:kern w:val="0"/>
          <w:szCs w:val="32"/>
        </w:rPr>
        <w:t>如同分布各處的小型水庫</w:t>
      </w:r>
      <w:r w:rsidRPr="00715E34">
        <w:rPr>
          <w:rStyle w:val="aff2"/>
          <w:rFonts w:hAnsi="標楷體"/>
        </w:rPr>
        <w:footnoteReference w:id="15"/>
      </w:r>
      <w:r w:rsidRPr="00715E34">
        <w:rPr>
          <w:rFonts w:hAnsi="標楷體"/>
        </w:rPr>
        <w:t>。</w:t>
      </w:r>
      <w:r w:rsidRPr="00715E34">
        <w:rPr>
          <w:rFonts w:hAnsi="標楷體"/>
          <w:kern w:val="0"/>
          <w:szCs w:val="32"/>
        </w:rPr>
        <w:t>再觀諸農委會於104年4月10日「旱災中央災害應變中心第3次工作會報」報告有關抗旱期間農業用水節約措施也提及，為因應104年枯旱</w:t>
      </w:r>
      <w:r w:rsidRPr="00715E34">
        <w:rPr>
          <w:rFonts w:hAnsi="標楷體" w:hint="eastAsia"/>
          <w:kern w:val="0"/>
          <w:szCs w:val="32"/>
        </w:rPr>
        <w:t>水情，曾於104年1月中旬函請各農田水利會，請加強管理所轄埤塘，蓄水利用以農田用水供應為主，發揮灌溉水源最大利用效益；而當時石門水利會所轄埤塘蓄水量約為</w:t>
      </w:r>
      <w:r w:rsidRPr="00715E34">
        <w:rPr>
          <w:rFonts w:hAnsi="標楷體"/>
          <w:kern w:val="0"/>
          <w:szCs w:val="32"/>
        </w:rPr>
        <w:t>620</w:t>
      </w:r>
      <w:r w:rsidRPr="00715E34">
        <w:rPr>
          <w:rFonts w:hAnsi="標楷體" w:hint="eastAsia"/>
          <w:kern w:val="0"/>
          <w:szCs w:val="32"/>
        </w:rPr>
        <w:t>萬</w:t>
      </w:r>
      <w:r w:rsidR="003B0352" w:rsidRPr="00715E34">
        <w:rPr>
          <w:rFonts w:hAnsi="標楷體" w:hint="eastAsia"/>
          <w:kern w:val="0"/>
          <w:szCs w:val="32"/>
        </w:rPr>
        <w:t>立方公尺</w:t>
      </w:r>
      <w:r w:rsidRPr="00715E34">
        <w:rPr>
          <w:rFonts w:hAnsi="標楷體" w:hint="eastAsia"/>
          <w:kern w:val="0"/>
          <w:szCs w:val="32"/>
        </w:rPr>
        <w:t>，優先以供應灌溉為原則，不足部分再以石門水庫水源補充等。</w:t>
      </w:r>
      <w:r w:rsidRPr="00715E34">
        <w:rPr>
          <w:rFonts w:hAnsi="標楷體" w:hint="eastAsia"/>
        </w:rPr>
        <w:t>綜上可徵，埤塘長期以來對於桃園地區水資源蓄積</w:t>
      </w:r>
      <w:r w:rsidRPr="00715E34">
        <w:rPr>
          <w:rFonts w:hAnsi="標楷體" w:hint="eastAsia"/>
          <w:kern w:val="0"/>
          <w:szCs w:val="32"/>
        </w:rPr>
        <w:t>及</w:t>
      </w:r>
      <w:r w:rsidRPr="00715E34">
        <w:rPr>
          <w:rFonts w:hAnsi="標楷體"/>
          <w:kern w:val="0"/>
          <w:szCs w:val="32"/>
        </w:rPr>
        <w:t>調度運用</w:t>
      </w:r>
      <w:r w:rsidRPr="00715E34">
        <w:rPr>
          <w:rFonts w:hAnsi="標楷體" w:hint="eastAsia"/>
          <w:kern w:val="0"/>
          <w:szCs w:val="32"/>
        </w:rPr>
        <w:t>發揮重要功能，深具歷史意義。</w:t>
      </w:r>
    </w:p>
    <w:p w:rsidR="00473050" w:rsidRPr="00715E34" w:rsidRDefault="00473050" w:rsidP="00232C83">
      <w:pPr>
        <w:pStyle w:val="3"/>
        <w:widowControl/>
        <w:suppressAutoHyphens/>
        <w:topLinePunct/>
        <w:autoSpaceDE/>
        <w:autoSpaceDN/>
        <w:textAlignment w:val="center"/>
        <w:rPr>
          <w:rFonts w:hAnsi="標楷體"/>
          <w:sz w:val="23"/>
          <w:szCs w:val="23"/>
        </w:rPr>
      </w:pPr>
      <w:r w:rsidRPr="00715E34">
        <w:rPr>
          <w:rFonts w:hAnsi="標楷體"/>
          <w:szCs w:val="32"/>
        </w:rPr>
        <w:lastRenderedPageBreak/>
        <w:t>查水利署於97年1月15日假石門水庫管理中心召開之「臺灣北部區域水資源經理綜合研討會」會議紀錄，</w:t>
      </w:r>
      <w:r w:rsidRPr="00715E34">
        <w:rPr>
          <w:rFonts w:hAnsi="標楷體" w:hint="eastAsia"/>
        </w:rPr>
        <w:t>該</w:t>
      </w:r>
      <w:r w:rsidRPr="00715E34">
        <w:rPr>
          <w:rFonts w:hAnsi="標楷體"/>
        </w:rPr>
        <w:t>署北區水資源局</w:t>
      </w:r>
      <w:r w:rsidRPr="00715E34">
        <w:rPr>
          <w:rFonts w:hAnsi="標楷體" w:hint="eastAsia"/>
        </w:rPr>
        <w:t>（下稱北水局）</w:t>
      </w:r>
      <w:r w:rsidRPr="00715E34">
        <w:rPr>
          <w:rFonts w:hAnsi="標楷體"/>
          <w:szCs w:val="32"/>
        </w:rPr>
        <w:t>人員提及：「桃園埤塘如天上之繁星，包括桃園大圳均由早年八田與一技師規劃、設計及建設，農業發展的結果才造成今天桃園。如何找回埤塘之生機，相關之研究已相當多，缺少的只是執行，埤塘若能恢復生機，作為民生、工業、農業、生態及滯洪等多元功能，水源環境自然獲得改善。」</w:t>
      </w:r>
      <w:r w:rsidRPr="00715E34">
        <w:rPr>
          <w:rFonts w:hAnsi="標楷體"/>
        </w:rPr>
        <w:t>再據</w:t>
      </w:r>
      <w:r w:rsidRPr="00715E34">
        <w:rPr>
          <w:rFonts w:hAnsi="標楷體"/>
          <w:szCs w:val="32"/>
        </w:rPr>
        <w:t>該</w:t>
      </w:r>
      <w:r w:rsidRPr="00715E34">
        <w:rPr>
          <w:rFonts w:hAnsi="標楷體"/>
        </w:rPr>
        <w:t>署於98年間委託辦理之「石門水庫供水區整體水源利用規劃」之研究成果略以：埤塘示範區推動計畫可由水利署進行審議，北水局負責示範區工程規劃；示範區營運管理，宜由水利署擔任決策及督導角色，北水局則為石門水庫調度供水機關；桃園地區用水供需檢討結果，中程則以埤塘改善（配合浚深）、搭排管理、水源調配調度手段及河川整治，增加水源利用量，使桃園地區供水無虞。而</w:t>
      </w:r>
      <w:r w:rsidRPr="00715E34">
        <w:rPr>
          <w:rFonts w:hAnsi="標楷體"/>
          <w:szCs w:val="32"/>
        </w:rPr>
        <w:t>檢討與建議亦</w:t>
      </w:r>
      <w:r w:rsidRPr="00715E34">
        <w:rPr>
          <w:rFonts w:hAnsi="標楷體"/>
        </w:rPr>
        <w:t>提出：桃園及石門灌溉</w:t>
      </w:r>
      <w:r w:rsidR="00CF200C" w:rsidRPr="00715E34">
        <w:rPr>
          <w:rFonts w:hAnsi="標楷體"/>
        </w:rPr>
        <w:t>系統用水多須藉由埤塘調節，這些埤塘可做為石門水庫下游的平面水庫</w:t>
      </w:r>
      <w:r w:rsidRPr="00715E34">
        <w:rPr>
          <w:rFonts w:hAnsi="標楷體"/>
          <w:kern w:val="0"/>
          <w:szCs w:val="32"/>
        </w:rPr>
        <w:t>，此外可配合石門水庫與河川水源研定調配水之操作規則。不僅於颱風來臨前放空埤塘，做為滯洪池，颱風過後埤塘蓄滿，以供枯水期使用，兼具防災及防洪等功能。</w:t>
      </w:r>
      <w:r w:rsidRPr="00715E34">
        <w:rPr>
          <w:rFonts w:hAnsi="標楷體"/>
          <w:szCs w:val="32"/>
        </w:rPr>
        <w:t>又</w:t>
      </w:r>
      <w:r w:rsidRPr="00715E34">
        <w:rPr>
          <w:rFonts w:hAnsi="標楷體"/>
          <w:kern w:val="0"/>
          <w:szCs w:val="32"/>
        </w:rPr>
        <w:t>詢據</w:t>
      </w:r>
      <w:r w:rsidRPr="00715E34">
        <w:rPr>
          <w:rFonts w:hAnsi="標楷體"/>
        </w:rPr>
        <w:t>農委會亦稱，該會</w:t>
      </w:r>
      <w:r w:rsidRPr="00715E34">
        <w:rPr>
          <w:rFonts w:hAnsi="標楷體"/>
          <w:kern w:val="0"/>
          <w:szCs w:val="32"/>
        </w:rPr>
        <w:t>透過圳路連結埤塘與水庫，提升灌溉用水調蓄運用效能，以桃園地區為例，674口埤塘總有效容量約0.5億</w:t>
      </w:r>
      <w:r w:rsidR="003B0352" w:rsidRPr="00715E34">
        <w:rPr>
          <w:rFonts w:hAnsi="標楷體"/>
          <w:kern w:val="0"/>
          <w:szCs w:val="32"/>
        </w:rPr>
        <w:t>立方公尺</w:t>
      </w:r>
      <w:r w:rsidRPr="00715E34">
        <w:rPr>
          <w:rFonts w:hAnsi="標楷體"/>
          <w:kern w:val="0"/>
          <w:szCs w:val="32"/>
        </w:rPr>
        <w:t>，利用各蓄水埤塘間之連通水路作為水庫與農田間調蓄緩衝之用，在雨季可儲蓄降雨，枯季時供灌溉之需等語。顯見水利署</w:t>
      </w:r>
      <w:r w:rsidRPr="00715E34">
        <w:rPr>
          <w:rFonts w:hAnsi="標楷體"/>
          <w:szCs w:val="32"/>
        </w:rPr>
        <w:t>及農委會</w:t>
      </w:r>
      <w:r w:rsidRPr="00715E34">
        <w:rPr>
          <w:rFonts w:hAnsi="標楷體"/>
          <w:kern w:val="0"/>
          <w:szCs w:val="32"/>
        </w:rPr>
        <w:t>深知桃園市境內埤塘數量眾多，且對</w:t>
      </w:r>
      <w:r w:rsidRPr="00715E34">
        <w:rPr>
          <w:rFonts w:hAnsi="標楷體"/>
          <w:szCs w:val="32"/>
        </w:rPr>
        <w:t>於石門水庫供水區之水資源</w:t>
      </w:r>
      <w:r w:rsidRPr="00715E34">
        <w:rPr>
          <w:rFonts w:hAnsi="標楷體"/>
          <w:kern w:val="0"/>
          <w:szCs w:val="32"/>
        </w:rPr>
        <w:t>調蓄運用之效能及重要性。</w:t>
      </w:r>
    </w:p>
    <w:p w:rsidR="00473050" w:rsidRPr="00715E34" w:rsidRDefault="00473050" w:rsidP="00232C83">
      <w:pPr>
        <w:pStyle w:val="3"/>
        <w:widowControl/>
        <w:suppressAutoHyphens/>
        <w:topLinePunct/>
        <w:autoSpaceDE/>
        <w:autoSpaceDN/>
        <w:textAlignment w:val="center"/>
        <w:rPr>
          <w:rFonts w:hAnsi="標楷體"/>
          <w:szCs w:val="32"/>
        </w:rPr>
      </w:pPr>
      <w:r w:rsidRPr="00715E34">
        <w:rPr>
          <w:rFonts w:hAnsi="標楷體"/>
          <w:kern w:val="0"/>
          <w:szCs w:val="32"/>
        </w:rPr>
        <w:lastRenderedPageBreak/>
        <w:t>另</w:t>
      </w:r>
      <w:r w:rsidRPr="00715E34">
        <w:rPr>
          <w:rFonts w:hAnsi="標楷體"/>
          <w:szCs w:val="32"/>
        </w:rPr>
        <w:t>本院諮詢黃教授</w:t>
      </w:r>
      <w:r w:rsidR="00A47126">
        <w:rPr>
          <w:rFonts w:hAnsi="標楷體"/>
          <w:szCs w:val="32"/>
        </w:rPr>
        <w:t>○○</w:t>
      </w:r>
      <w:r w:rsidRPr="00715E34">
        <w:rPr>
          <w:rFonts w:hAnsi="標楷體"/>
          <w:szCs w:val="32"/>
        </w:rPr>
        <w:t>指出：</w:t>
      </w:r>
      <w:r w:rsidRPr="00715E34">
        <w:rPr>
          <w:rFonts w:hAnsi="標楷體" w:hint="eastAsia"/>
          <w:szCs w:val="32"/>
        </w:rPr>
        <w:t>現況而言，</w:t>
      </w:r>
      <w:r w:rsidRPr="00715E34">
        <w:rPr>
          <w:rFonts w:hAnsi="標楷體"/>
          <w:szCs w:val="32"/>
        </w:rPr>
        <w:t>桃園</w:t>
      </w:r>
      <w:r w:rsidRPr="00715E34">
        <w:rPr>
          <w:rFonts w:hAnsi="標楷體" w:hint="eastAsia"/>
          <w:szCs w:val="32"/>
        </w:rPr>
        <w:t>約</w:t>
      </w:r>
      <w:r w:rsidRPr="00715E34">
        <w:rPr>
          <w:rFonts w:hAnsi="標楷體"/>
          <w:szCs w:val="32"/>
        </w:rPr>
        <w:t>有2,600口埤塘，埤塘就是人工湖，水資源蘊含量很大，曾經辦理「石門水庫供水區水資源活化規劃」，先串連3個埤塘來示範運作，現在這3口埤塘已經有提供工業用水，運作成效良好，是示範的案例；桃園埤塘數量多，建議可推動將其串連供應水資源應用。濬挖200多口埤塘，費用不到10億元，蓄水量就是中庄調整池</w:t>
      </w:r>
      <w:r w:rsidRPr="00715E34">
        <w:rPr>
          <w:rStyle w:val="aff2"/>
          <w:rFonts w:hAnsi="標楷體"/>
          <w:szCs w:val="32"/>
        </w:rPr>
        <w:footnoteReference w:id="16"/>
      </w:r>
      <w:r w:rsidRPr="00715E34">
        <w:rPr>
          <w:rFonts w:hAnsi="標楷體"/>
          <w:szCs w:val="32"/>
        </w:rPr>
        <w:t>的13倍，而且中庄調整池需花費40多億元。</w:t>
      </w:r>
    </w:p>
    <w:p w:rsidR="00473050" w:rsidRPr="00715E34" w:rsidRDefault="00473050" w:rsidP="00232C83">
      <w:pPr>
        <w:pStyle w:val="3"/>
        <w:topLinePunct/>
        <w:rPr>
          <w:rFonts w:hAnsi="標楷體"/>
          <w:lang w:eastAsia="zh-HK"/>
        </w:rPr>
      </w:pPr>
      <w:r w:rsidRPr="00715E34">
        <w:rPr>
          <w:rFonts w:hAnsi="標楷體"/>
        </w:rPr>
        <w:t>綜上，桃園地區埤塘數量繁多，水利署及農委會深知其</w:t>
      </w:r>
      <w:r w:rsidRPr="00715E34">
        <w:rPr>
          <w:rFonts w:hAnsi="標楷體" w:hint="eastAsia"/>
        </w:rPr>
        <w:t>長期以來</w:t>
      </w:r>
      <w:r w:rsidRPr="00715E34">
        <w:rPr>
          <w:rFonts w:hAnsi="標楷體"/>
        </w:rPr>
        <w:t>對於石門水庫供水區之水資源蓄存及調度功能之重要性，農委會亦</w:t>
      </w:r>
      <w:r w:rsidRPr="00715E34">
        <w:rPr>
          <w:rFonts w:hAnsi="標楷體"/>
          <w:kern w:val="0"/>
        </w:rPr>
        <w:t>透過圳路連結埤塘與水庫，提升灌溉用水調蓄運用效能；</w:t>
      </w:r>
      <w:r w:rsidRPr="00715E34">
        <w:rPr>
          <w:rFonts w:hAnsi="標楷體"/>
        </w:rPr>
        <w:t>本院諮詢專家更明確指出推動埤塘活化蓄水已有示範案例，且具減省成本之經濟效益等，值此全球異常氣候趨於頻繁，國內水資源短缺問題日益嚴重，供水風險日增之際，允宜衡酌加強推動活化其蓄水及滯洪功能，以增加區域備</w:t>
      </w:r>
      <w:r w:rsidRPr="00715E34">
        <w:rPr>
          <w:rFonts w:hAnsi="標楷體" w:hint="eastAsia"/>
        </w:rPr>
        <w:t>援</w:t>
      </w:r>
      <w:r w:rsidRPr="00715E34">
        <w:rPr>
          <w:rFonts w:hAnsi="標楷體"/>
        </w:rPr>
        <w:t>供水能力。</w:t>
      </w:r>
    </w:p>
    <w:p w:rsidR="003604B3" w:rsidRPr="00715E34" w:rsidRDefault="003604B3" w:rsidP="00232C83">
      <w:pPr>
        <w:pStyle w:val="2"/>
        <w:topLinePunct/>
        <w:spacing w:beforeLines="25" w:before="114"/>
        <w:ind w:left="1020" w:hanging="680"/>
        <w:rPr>
          <w:rFonts w:hAnsi="標楷體"/>
          <w:b/>
        </w:rPr>
      </w:pPr>
      <w:bookmarkStart w:id="76" w:name="_Toc458000624"/>
      <w:r w:rsidRPr="00715E34">
        <w:rPr>
          <w:rFonts w:hAnsi="標楷體"/>
          <w:b/>
        </w:rPr>
        <w:t>為因應國內缺水窘況，水利署允應</w:t>
      </w:r>
      <w:r w:rsidRPr="00715E34">
        <w:rPr>
          <w:rFonts w:hAnsi="標楷體" w:hint="eastAsia"/>
          <w:b/>
        </w:rPr>
        <w:t>賡續探討掌握伏流水相關可開發之潛在能量，並就既有之伏流水取水工程計畫研擬適切推動策略；並</w:t>
      </w:r>
      <w:r w:rsidRPr="00715E34">
        <w:rPr>
          <w:rFonts w:hAnsi="標楷體"/>
          <w:b/>
        </w:rPr>
        <w:t>檢視既往長期地下水觀測研究資料，務實審酌推動地下水庫建置之可行性</w:t>
      </w:r>
      <w:r w:rsidRPr="00715E34">
        <w:rPr>
          <w:rFonts w:hAnsi="標楷體" w:hint="eastAsia"/>
          <w:b/>
        </w:rPr>
        <w:t>，以增加供水水源及備援能力</w:t>
      </w:r>
      <w:bookmarkEnd w:id="76"/>
    </w:p>
    <w:p w:rsidR="003604B3" w:rsidRPr="00715E34" w:rsidRDefault="003604B3" w:rsidP="00232C83">
      <w:pPr>
        <w:pStyle w:val="3"/>
        <w:topLinePunct/>
        <w:rPr>
          <w:rFonts w:hAnsi="標楷體"/>
        </w:rPr>
      </w:pPr>
      <w:r w:rsidRPr="00715E34">
        <w:rPr>
          <w:rFonts w:hAnsi="標楷體" w:hint="eastAsia"/>
        </w:rPr>
        <w:t>據查</w:t>
      </w:r>
      <w:r w:rsidRPr="00715E34">
        <w:rPr>
          <w:rFonts w:hAnsi="標楷體"/>
        </w:rPr>
        <w:t>伏流水</w:t>
      </w:r>
      <w:r w:rsidRPr="00715E34">
        <w:rPr>
          <w:rFonts w:hAnsi="標楷體" w:hint="eastAsia"/>
        </w:rPr>
        <w:t>係</w:t>
      </w:r>
      <w:r w:rsidRPr="00715E34">
        <w:rPr>
          <w:rFonts w:hAnsi="標楷體"/>
        </w:rPr>
        <w:t>指流動或儲存於河床下方砂礫石層中的水源</w:t>
      </w:r>
      <w:r w:rsidRPr="00715E34">
        <w:rPr>
          <w:rFonts w:hAnsi="標楷體" w:hint="eastAsia"/>
        </w:rPr>
        <w:t>，一般地表</w:t>
      </w:r>
      <w:r w:rsidRPr="00715E34">
        <w:rPr>
          <w:rFonts w:hAnsi="標楷體"/>
        </w:rPr>
        <w:t>河川水流流速較快，降雨過後</w:t>
      </w:r>
      <w:r w:rsidRPr="00715E34">
        <w:rPr>
          <w:rFonts w:hAnsi="標楷體" w:hint="eastAsia"/>
        </w:rPr>
        <w:t>河</w:t>
      </w:r>
      <w:r w:rsidRPr="00715E34">
        <w:rPr>
          <w:rFonts w:hAnsi="標楷體" w:hint="eastAsia"/>
        </w:rPr>
        <w:lastRenderedPageBreak/>
        <w:t>水</w:t>
      </w:r>
      <w:r w:rsidRPr="00715E34">
        <w:rPr>
          <w:rFonts w:hAnsi="標楷體"/>
        </w:rPr>
        <w:t>快速流入大海，雖設置攔河堰後可取用，</w:t>
      </w:r>
      <w:r w:rsidRPr="00715E34">
        <w:rPr>
          <w:rFonts w:hAnsi="標楷體" w:hint="eastAsia"/>
        </w:rPr>
        <w:t>惟每當</w:t>
      </w:r>
      <w:r w:rsidRPr="00715E34">
        <w:rPr>
          <w:rFonts w:hAnsi="標楷體"/>
        </w:rPr>
        <w:t>大雨過後河水濁度</w:t>
      </w:r>
      <w:r w:rsidRPr="00715E34">
        <w:rPr>
          <w:rFonts w:hAnsi="標楷體" w:hint="eastAsia"/>
        </w:rPr>
        <w:t>升高時即</w:t>
      </w:r>
      <w:r w:rsidRPr="00715E34">
        <w:rPr>
          <w:rFonts w:hAnsi="標楷體"/>
        </w:rPr>
        <w:t>難以運用</w:t>
      </w:r>
      <w:r w:rsidRPr="00715E34">
        <w:rPr>
          <w:rFonts w:hAnsi="標楷體" w:hint="eastAsia"/>
        </w:rPr>
        <w:t>。</w:t>
      </w:r>
      <w:r w:rsidRPr="00715E34">
        <w:rPr>
          <w:rFonts w:hAnsi="標楷體"/>
        </w:rPr>
        <w:t>伏流水流速</w:t>
      </w:r>
      <w:r w:rsidRPr="00715E34">
        <w:rPr>
          <w:rFonts w:hAnsi="標楷體" w:hint="eastAsia"/>
        </w:rPr>
        <w:t>相對</w:t>
      </w:r>
      <w:r w:rsidRPr="00715E34">
        <w:rPr>
          <w:rFonts w:hAnsi="標楷體"/>
        </w:rPr>
        <w:t>緩慢，水量相對穩定，且透過入滲的過程</w:t>
      </w:r>
      <w:r w:rsidRPr="00715E34">
        <w:rPr>
          <w:rFonts w:hAnsi="標楷體" w:hint="eastAsia"/>
        </w:rPr>
        <w:t>可</w:t>
      </w:r>
      <w:r w:rsidRPr="00715E34">
        <w:rPr>
          <w:rFonts w:hAnsi="標楷體"/>
        </w:rPr>
        <w:t>淨化水質，可解決原水濁度太高的問題。伏流水資源的開發相較於等規模之水利構造物具有優點</w:t>
      </w:r>
      <w:r w:rsidR="00104A85" w:rsidRPr="00715E34">
        <w:rPr>
          <w:rFonts w:hAnsi="標楷體" w:hint="eastAsia"/>
        </w:rPr>
        <w:t>包括</w:t>
      </w:r>
      <w:r w:rsidRPr="00715E34">
        <w:rPr>
          <w:rFonts w:hAnsi="標楷體"/>
        </w:rPr>
        <w:t>構築方式對環境生態衝擊較小</w:t>
      </w:r>
      <w:r w:rsidRPr="00715E34">
        <w:rPr>
          <w:rFonts w:hAnsi="標楷體" w:hint="eastAsia"/>
        </w:rPr>
        <w:t>、</w:t>
      </w:r>
      <w:r w:rsidRPr="00715E34">
        <w:rPr>
          <w:rFonts w:hAnsi="標楷體"/>
        </w:rPr>
        <w:t>水質較潔淨</w:t>
      </w:r>
      <w:r w:rsidRPr="00715E34">
        <w:rPr>
          <w:rFonts w:hAnsi="標楷體" w:hint="eastAsia"/>
        </w:rPr>
        <w:t>、</w:t>
      </w:r>
      <w:r w:rsidRPr="00715E34">
        <w:rPr>
          <w:rFonts w:hAnsi="標楷體"/>
        </w:rPr>
        <w:t>豐枯水期皆能取水</w:t>
      </w:r>
      <w:r w:rsidRPr="00715E34">
        <w:rPr>
          <w:rFonts w:hAnsi="標楷體" w:hint="eastAsia"/>
        </w:rPr>
        <w:t>、</w:t>
      </w:r>
      <w:r w:rsidRPr="00715E34">
        <w:rPr>
          <w:rFonts w:hAnsi="標楷體"/>
        </w:rPr>
        <w:t>施工期間短</w:t>
      </w:r>
      <w:r w:rsidRPr="00715E34">
        <w:rPr>
          <w:rFonts w:hAnsi="標楷體" w:hint="eastAsia"/>
        </w:rPr>
        <w:t>且</w:t>
      </w:r>
      <w:r w:rsidRPr="00715E34">
        <w:rPr>
          <w:rFonts w:hAnsi="標楷體"/>
        </w:rPr>
        <w:t>造價便宜</w:t>
      </w:r>
      <w:r w:rsidRPr="00715E34">
        <w:rPr>
          <w:rFonts w:hAnsi="標楷體" w:hint="eastAsia"/>
        </w:rPr>
        <w:t>、</w:t>
      </w:r>
      <w:r w:rsidRPr="00715E34">
        <w:rPr>
          <w:rFonts w:hAnsi="標楷體"/>
        </w:rPr>
        <w:t>具永續性</w:t>
      </w:r>
      <w:r w:rsidRPr="00715E34">
        <w:rPr>
          <w:rFonts w:hAnsi="標楷體" w:hint="eastAsia"/>
        </w:rPr>
        <w:t>等</w:t>
      </w:r>
      <w:r w:rsidRPr="00715E34">
        <w:rPr>
          <w:rStyle w:val="aff2"/>
          <w:rFonts w:hAnsi="標楷體"/>
        </w:rPr>
        <w:footnoteReference w:id="17"/>
      </w:r>
      <w:r w:rsidRPr="00715E34">
        <w:rPr>
          <w:rFonts w:hAnsi="標楷體" w:hint="eastAsia"/>
        </w:rPr>
        <w:t>。詢</w:t>
      </w:r>
      <w:r w:rsidRPr="00715E34">
        <w:rPr>
          <w:rFonts w:hAnsi="標楷體"/>
        </w:rPr>
        <w:t>據水利署</w:t>
      </w:r>
      <w:r w:rsidRPr="00715E34">
        <w:rPr>
          <w:rFonts w:hAnsi="標楷體" w:hint="eastAsia"/>
        </w:rPr>
        <w:t>所復</w:t>
      </w:r>
      <w:r w:rsidRPr="00715E34">
        <w:rPr>
          <w:rFonts w:hAnsi="標楷體"/>
        </w:rPr>
        <w:t>，伏流水開發有其適地性，目前執行中之伏流水開發計畫為高屏溪伏流水工程，必須因地制宜進行伏流水可用水量調查評估，就具備開發潛能區位進行規劃，並視需要辦理模場試驗工作驗證開發利用可行性</w:t>
      </w:r>
      <w:r w:rsidRPr="00715E34">
        <w:rPr>
          <w:rFonts w:hAnsi="標楷體" w:hint="eastAsia"/>
        </w:rPr>
        <w:t>；</w:t>
      </w:r>
      <w:r w:rsidRPr="00715E34">
        <w:rPr>
          <w:rFonts w:hAnsi="標楷體"/>
        </w:rPr>
        <w:t>伏流水枯水期取水量較不穩定，非屬可常態穩定供應水源，且為避免影響鄰近及下游既有水權人之用水權益，新增之伏流水設施多以豐水期備援為主（如高濁度情況），對於取用</w:t>
      </w:r>
      <w:r w:rsidRPr="00715E34">
        <w:rPr>
          <w:rFonts w:hAnsi="標楷體"/>
          <w:snapToGrid w:val="0"/>
        </w:rPr>
        <w:t>伏流水可有效改善旱季水情吃緊情形</w:t>
      </w:r>
      <w:r w:rsidRPr="00715E34">
        <w:rPr>
          <w:rFonts w:hAnsi="標楷體"/>
        </w:rPr>
        <w:t>，</w:t>
      </w:r>
      <w:r w:rsidRPr="00715E34">
        <w:rPr>
          <w:rFonts w:hAnsi="標楷體"/>
          <w:snapToGrid w:val="0"/>
        </w:rPr>
        <w:t>並不過度樂觀期待</w:t>
      </w:r>
      <w:r w:rsidRPr="00715E34">
        <w:rPr>
          <w:rFonts w:hAnsi="標楷體" w:hint="eastAsia"/>
          <w:snapToGrid w:val="0"/>
        </w:rPr>
        <w:t>等語</w:t>
      </w:r>
      <w:r w:rsidRPr="00715E34">
        <w:rPr>
          <w:rFonts w:hAnsi="標楷體"/>
          <w:snapToGrid w:val="0"/>
        </w:rPr>
        <w:t>。</w:t>
      </w:r>
    </w:p>
    <w:p w:rsidR="003604B3" w:rsidRPr="00715E34" w:rsidRDefault="003604B3" w:rsidP="00232C83">
      <w:pPr>
        <w:pStyle w:val="3"/>
        <w:topLinePunct/>
        <w:rPr>
          <w:rFonts w:hAnsi="標楷體"/>
        </w:rPr>
      </w:pPr>
      <w:r w:rsidRPr="00715E34">
        <w:rPr>
          <w:rFonts w:hAnsi="標楷體"/>
        </w:rPr>
        <w:t>另依水利署103年度年報所載，</w:t>
      </w:r>
      <w:r w:rsidRPr="00715E34">
        <w:rPr>
          <w:rFonts w:hAnsi="標楷體" w:hint="eastAsia"/>
        </w:rPr>
        <w:t>該署</w:t>
      </w:r>
      <w:r w:rsidRPr="00715E34">
        <w:rPr>
          <w:rFonts w:hAnsi="標楷體"/>
          <w:lang w:val="x-none" w:eastAsia="x-none"/>
        </w:rPr>
        <w:t>為求南部地區水源穩定供給，近年來辦理伏流水資源開發作業，並評估開發之可行性，以增加南部地區自有水源及提供南部地區緊急事件時之備援水源</w:t>
      </w:r>
      <w:r w:rsidRPr="00715E34">
        <w:rPr>
          <w:rFonts w:hAnsi="標楷體"/>
          <w:lang w:val="x-none"/>
        </w:rPr>
        <w:t>，除前揭高屏溪伏流水工程，</w:t>
      </w:r>
      <w:r w:rsidRPr="00715E34">
        <w:rPr>
          <w:rFonts w:hAnsi="標楷體"/>
          <w:szCs w:val="32"/>
          <w:lang w:val="x-none"/>
        </w:rPr>
        <w:t>尚辦理「</w:t>
      </w:r>
      <w:r w:rsidRPr="00715E34">
        <w:rPr>
          <w:rFonts w:hAnsi="標楷體"/>
          <w:szCs w:val="32"/>
        </w:rPr>
        <w:t>東港溪地下水及伏流水調查規劃」，</w:t>
      </w:r>
      <w:r w:rsidRPr="00715E34">
        <w:rPr>
          <w:rFonts w:hAnsi="標楷體"/>
          <w:szCs w:val="32"/>
          <w:lang w:val="x-none" w:eastAsia="x-none"/>
        </w:rPr>
        <w:t>針對東港溪伏流水及地下水潛能進行探討</w:t>
      </w:r>
      <w:r w:rsidRPr="00715E34">
        <w:rPr>
          <w:rFonts w:hAnsi="標楷體"/>
          <w:szCs w:val="32"/>
          <w:lang w:val="x-none"/>
        </w:rPr>
        <w:t>，</w:t>
      </w:r>
      <w:r w:rsidRPr="00715E34">
        <w:rPr>
          <w:rFonts w:hAnsi="標楷體"/>
          <w:szCs w:val="32"/>
        </w:rPr>
        <w:t>以</w:t>
      </w:r>
      <w:r w:rsidRPr="00715E34">
        <w:rPr>
          <w:rFonts w:hAnsi="標楷體"/>
          <w:szCs w:val="32"/>
          <w:lang w:val="x-none" w:eastAsia="x-none"/>
        </w:rPr>
        <w:t>瞭解東港溪整體水資源運用及掌握可開發之潛能量</w:t>
      </w:r>
      <w:r w:rsidRPr="00715E34">
        <w:rPr>
          <w:rFonts w:hAnsi="標楷體"/>
          <w:szCs w:val="32"/>
          <w:lang w:val="x-none"/>
        </w:rPr>
        <w:t>（</w:t>
      </w:r>
      <w:r w:rsidRPr="00715E34">
        <w:rPr>
          <w:rFonts w:hAnsi="標楷體"/>
          <w:szCs w:val="32"/>
          <w:lang w:val="zh-TW"/>
        </w:rPr>
        <w:t>東港溪地面水每年引取約</w:t>
      </w:r>
      <w:r w:rsidRPr="00715E34">
        <w:rPr>
          <w:rFonts w:hAnsi="標楷體"/>
          <w:szCs w:val="32"/>
          <w:lang w:val="x-none" w:eastAsia="x-none"/>
        </w:rPr>
        <w:t>1.9億立方公尺，占港西抽水站年計平均逕流量9.9億立方公尺之19%</w:t>
      </w:r>
      <w:r w:rsidRPr="00715E34">
        <w:rPr>
          <w:rFonts w:hAnsi="標楷體"/>
          <w:szCs w:val="32"/>
          <w:lang w:val="x-none"/>
        </w:rPr>
        <w:t>）</w:t>
      </w:r>
      <w:r w:rsidRPr="00715E34">
        <w:rPr>
          <w:rFonts w:hAnsi="標楷體"/>
          <w:szCs w:val="32"/>
          <w:lang w:val="x-none" w:eastAsia="x-none"/>
        </w:rPr>
        <w:t>，並透過現場調查與試驗，研擬適切之水源開發策略，期使東港溪水資源</w:t>
      </w:r>
      <w:r w:rsidRPr="00715E34">
        <w:rPr>
          <w:rFonts w:hAnsi="標楷體"/>
          <w:szCs w:val="32"/>
          <w:lang w:val="x-none"/>
        </w:rPr>
        <w:t>有效</w:t>
      </w:r>
      <w:r w:rsidRPr="00715E34">
        <w:rPr>
          <w:rFonts w:hAnsi="標楷體"/>
          <w:szCs w:val="32"/>
          <w:lang w:val="x-none" w:eastAsia="x-none"/>
        </w:rPr>
        <w:t>運用，增加</w:t>
      </w:r>
      <w:r w:rsidRPr="00715E34">
        <w:rPr>
          <w:rFonts w:hAnsi="標楷體"/>
          <w:szCs w:val="32"/>
          <w:lang w:val="x-none" w:eastAsia="x-none"/>
        </w:rPr>
        <w:lastRenderedPageBreak/>
        <w:t>區域用水穩定</w:t>
      </w:r>
      <w:r w:rsidRPr="00715E34">
        <w:rPr>
          <w:rFonts w:hAnsi="標楷體"/>
          <w:lang w:val="x-none" w:eastAsia="x-none"/>
        </w:rPr>
        <w:t>。</w:t>
      </w:r>
      <w:r w:rsidRPr="00715E34">
        <w:rPr>
          <w:rFonts w:hAnsi="標楷體"/>
          <w:lang w:val="x-none"/>
        </w:rPr>
        <w:t>而規劃之</w:t>
      </w:r>
      <w:r w:rsidRPr="00715E34">
        <w:rPr>
          <w:rFonts w:hAnsi="標楷體"/>
        </w:rPr>
        <w:t>伏流水工程位於新潮州大橋上游處，取水設施以輻射井或集水暗渠（平行河道）開發方式較為可行</w:t>
      </w:r>
      <w:r w:rsidRPr="00715E34">
        <w:rPr>
          <w:rFonts w:hAnsi="標楷體" w:hint="eastAsia"/>
        </w:rPr>
        <w:t>等。綜上，水利署既知伏流水之水質、水量較之河水相對穩定，可</w:t>
      </w:r>
      <w:r w:rsidRPr="00715E34">
        <w:rPr>
          <w:rFonts w:hAnsi="標楷體"/>
          <w:lang w:val="x-none" w:eastAsia="x-none"/>
        </w:rPr>
        <w:t>增加南部地區自有水源及備援水源</w:t>
      </w:r>
      <w:r w:rsidRPr="00715E34">
        <w:rPr>
          <w:rFonts w:hAnsi="標楷體" w:hint="eastAsia"/>
          <w:lang w:val="x-none"/>
        </w:rPr>
        <w:t>，</w:t>
      </w:r>
      <w:r w:rsidRPr="00715E34">
        <w:rPr>
          <w:rFonts w:hAnsi="標楷體"/>
        </w:rPr>
        <w:t>允應</w:t>
      </w:r>
      <w:r w:rsidRPr="00715E34">
        <w:rPr>
          <w:rFonts w:hAnsi="標楷體" w:hint="eastAsia"/>
        </w:rPr>
        <w:t>賡續探討掌握伏流水相關可開發之潛在能量，並就既有之伏流水取水工程計畫研擬適切推動策略。</w:t>
      </w:r>
    </w:p>
    <w:p w:rsidR="003604B3" w:rsidRPr="00715E34" w:rsidRDefault="003604B3" w:rsidP="00232C83">
      <w:pPr>
        <w:pStyle w:val="3"/>
        <w:topLinePunct/>
        <w:rPr>
          <w:rFonts w:hAnsi="標楷體"/>
        </w:rPr>
      </w:pPr>
      <w:r w:rsidRPr="00715E34">
        <w:rPr>
          <w:rFonts w:hAnsi="標楷體" w:hint="eastAsia"/>
        </w:rPr>
        <w:t>續</w:t>
      </w:r>
      <w:r w:rsidRPr="00715E34">
        <w:rPr>
          <w:rFonts w:hAnsi="標楷體"/>
        </w:rPr>
        <w:t>查</w:t>
      </w:r>
      <w:r w:rsidRPr="00715E34">
        <w:rPr>
          <w:rFonts w:hAnsi="標楷體" w:hint="eastAsia"/>
        </w:rPr>
        <w:t>，國內</w:t>
      </w:r>
      <w:r w:rsidRPr="00715E34">
        <w:rPr>
          <w:rFonts w:hAnsi="標楷體"/>
        </w:rPr>
        <w:t>第1</w:t>
      </w:r>
      <w:r w:rsidRPr="00715E34">
        <w:rPr>
          <w:rFonts w:hAnsi="標楷體" w:hint="eastAsia"/>
        </w:rPr>
        <w:t>座</w:t>
      </w:r>
      <w:hyperlink r:id="rId11" w:history="1">
        <w:r w:rsidRPr="00715E34">
          <w:rPr>
            <w:rFonts w:hAnsi="標楷體"/>
          </w:rPr>
          <w:t>地下水</w:t>
        </w:r>
      </w:hyperlink>
      <w:r w:rsidRPr="00715E34">
        <w:rPr>
          <w:rFonts w:hAnsi="標楷體"/>
        </w:rPr>
        <w:t>庫為澎湖縣白沙鄉的「赤崁</w:t>
      </w:r>
      <w:hyperlink r:id="rId12" w:history="1">
        <w:r w:rsidRPr="00715E34">
          <w:rPr>
            <w:rFonts w:hAnsi="標楷體"/>
          </w:rPr>
          <w:t>地下水</w:t>
        </w:r>
      </w:hyperlink>
      <w:r w:rsidRPr="00715E34">
        <w:rPr>
          <w:rFonts w:hAnsi="標楷體"/>
        </w:rPr>
        <w:t>庫」，於74年7月間開始施工，在76年8月間完工並開始蓄水，設計年供水量為70萬立方公尺，提供澎湖地區民生及農業用水。然因降雨量不足及該</w:t>
      </w:r>
      <w:hyperlink r:id="rId13" w:history="1">
        <w:r w:rsidRPr="00715E34">
          <w:rPr>
            <w:rFonts w:hAnsi="標楷體"/>
          </w:rPr>
          <w:t>地下水</w:t>
        </w:r>
      </w:hyperlink>
      <w:r w:rsidRPr="00715E34">
        <w:rPr>
          <w:rFonts w:hAnsi="標楷體"/>
        </w:rPr>
        <w:t>庫鄰近海岸，發生</w:t>
      </w:r>
      <w:hyperlink r:id="rId14" w:history="1">
        <w:r w:rsidRPr="00715E34">
          <w:rPr>
            <w:rFonts w:hAnsi="標楷體"/>
          </w:rPr>
          <w:t>海水入侵</w:t>
        </w:r>
      </w:hyperlink>
      <w:r w:rsidRPr="00715E34">
        <w:rPr>
          <w:rFonts w:hAnsi="標楷體"/>
        </w:rPr>
        <w:t>現象，造成水質鹽化致功能大為降低。依水利署103年度年報所載，該地下水庫102年有效容量為51萬立方公尺，惟供水量僅有13萬立方公尺。澎湖地區曾規劃續建「</w:t>
      </w:r>
      <w:hyperlink r:id="rId15" w:history="1">
        <w:r w:rsidRPr="00715E34">
          <w:rPr>
            <w:rFonts w:hAnsi="標楷體"/>
          </w:rPr>
          <w:t>隘門</w:t>
        </w:r>
      </w:hyperlink>
      <w:hyperlink r:id="rId16" w:history="1">
        <w:r w:rsidRPr="00715E34">
          <w:rPr>
            <w:rFonts w:hAnsi="標楷體"/>
          </w:rPr>
          <w:t>地下水</w:t>
        </w:r>
      </w:hyperlink>
      <w:r w:rsidRPr="00715E34">
        <w:rPr>
          <w:rFonts w:hAnsi="標楷體"/>
        </w:rPr>
        <w:t>庫」，但因水源遭污染而擱置。另</w:t>
      </w:r>
      <w:hyperlink r:id="rId17" w:history="1">
        <w:r w:rsidRPr="00715E34">
          <w:rPr>
            <w:rFonts w:hAnsi="標楷體"/>
          </w:rPr>
          <w:t>經濟部中央地質調查所</w:t>
        </w:r>
      </w:hyperlink>
      <w:r w:rsidRPr="00715E34">
        <w:rPr>
          <w:rFonts w:hAnsi="標楷體"/>
        </w:rPr>
        <w:t>調查發現，國內具備</w:t>
      </w:r>
      <w:hyperlink r:id="rId18" w:history="1">
        <w:r w:rsidRPr="00715E34">
          <w:rPr>
            <w:rFonts w:hAnsi="標楷體"/>
          </w:rPr>
          <w:t>地下水庫</w:t>
        </w:r>
      </w:hyperlink>
      <w:r w:rsidR="00104A85" w:rsidRPr="00715E34">
        <w:rPr>
          <w:rFonts w:hAnsi="標楷體"/>
        </w:rPr>
        <w:t>潛力的地區包括</w:t>
      </w:r>
      <w:hyperlink r:id="rId19" w:history="1">
        <w:r w:rsidRPr="00715E34">
          <w:rPr>
            <w:rFonts w:hAnsi="標楷體"/>
          </w:rPr>
          <w:t>濁水溪</w:t>
        </w:r>
      </w:hyperlink>
      <w:r w:rsidRPr="00715E34">
        <w:rPr>
          <w:rFonts w:hAnsi="標楷體"/>
        </w:rPr>
        <w:t>中游段的</w:t>
      </w:r>
      <w:hyperlink r:id="rId20" w:history="1">
        <w:r w:rsidRPr="00715E34">
          <w:rPr>
            <w:rFonts w:hAnsi="標楷體"/>
          </w:rPr>
          <w:t>名竹盆地</w:t>
        </w:r>
      </w:hyperlink>
      <w:r w:rsidRPr="00715E34">
        <w:rPr>
          <w:rFonts w:hAnsi="標楷體"/>
        </w:rPr>
        <w:t>（位於名間、竹山之間）、</w:t>
      </w:r>
      <w:hyperlink r:id="rId21" w:history="1">
        <w:r w:rsidRPr="00715E34">
          <w:rPr>
            <w:rFonts w:hAnsi="標楷體"/>
          </w:rPr>
          <w:t>埔里盆地</w:t>
        </w:r>
      </w:hyperlink>
      <w:r w:rsidRPr="00715E34">
        <w:rPr>
          <w:rFonts w:hAnsi="標楷體"/>
        </w:rPr>
        <w:t>與大</w:t>
      </w:r>
      <w:hyperlink r:id="rId22" w:history="1">
        <w:r w:rsidRPr="00715E34">
          <w:rPr>
            <w:rFonts w:hAnsi="標楷體"/>
          </w:rPr>
          <w:t>臺中盆地</w:t>
        </w:r>
      </w:hyperlink>
      <w:r w:rsidRPr="00715E34">
        <w:rPr>
          <w:rFonts w:hAnsi="標楷體"/>
        </w:rPr>
        <w:t>；其中</w:t>
      </w:r>
      <w:hyperlink r:id="rId23" w:history="1">
        <w:r w:rsidRPr="00715E34">
          <w:rPr>
            <w:rFonts w:hAnsi="標楷體"/>
          </w:rPr>
          <w:t>名竹盆地</w:t>
        </w:r>
      </w:hyperlink>
      <w:r w:rsidRPr="00715E34">
        <w:rPr>
          <w:rFonts w:hAnsi="標楷體"/>
        </w:rPr>
        <w:t>潛在含水初估1年可用地下水量達兩億立方公尺，大約是</w:t>
      </w:r>
      <w:hyperlink r:id="rId24" w:history="1">
        <w:r w:rsidRPr="00715E34">
          <w:rPr>
            <w:rFonts w:hAnsi="標楷體"/>
          </w:rPr>
          <w:t>石門水庫</w:t>
        </w:r>
      </w:hyperlink>
      <w:r w:rsidRPr="00715E34">
        <w:rPr>
          <w:rFonts w:hAnsi="標楷體"/>
        </w:rPr>
        <w:t>的總蓄水量。水利署表示，因</w:t>
      </w:r>
      <w:hyperlink r:id="rId25" w:history="1">
        <w:r w:rsidRPr="00715E34">
          <w:rPr>
            <w:rFonts w:hAnsi="標楷體"/>
          </w:rPr>
          <w:t>地下水庫</w:t>
        </w:r>
      </w:hyperlink>
      <w:r w:rsidRPr="00715E34">
        <w:rPr>
          <w:rFonts w:hAnsi="標楷體"/>
        </w:rPr>
        <w:t>不需大興土木，成本低，未來發展成功與否，將會是國內</w:t>
      </w:r>
      <w:hyperlink r:id="rId26" w:history="1">
        <w:r w:rsidRPr="00715E34">
          <w:rPr>
            <w:rFonts w:hAnsi="標楷體"/>
          </w:rPr>
          <w:t>水資源開發</w:t>
        </w:r>
      </w:hyperlink>
      <w:r w:rsidRPr="00715E34">
        <w:rPr>
          <w:rFonts w:hAnsi="標楷體"/>
        </w:rPr>
        <w:t>的轉捩點，惟仍須考量地下水源開發難度與技術可行性。</w:t>
      </w:r>
    </w:p>
    <w:p w:rsidR="003604B3" w:rsidRPr="00715E34" w:rsidRDefault="003604B3" w:rsidP="00232C83">
      <w:pPr>
        <w:pStyle w:val="3"/>
        <w:topLinePunct/>
        <w:rPr>
          <w:rFonts w:hAnsi="標楷體"/>
        </w:rPr>
      </w:pPr>
      <w:r w:rsidRPr="00715E34">
        <w:rPr>
          <w:rFonts w:hAnsi="標楷體"/>
        </w:rPr>
        <w:t>據</w:t>
      </w:r>
      <w:r w:rsidRPr="00715E34">
        <w:rPr>
          <w:rFonts w:hAnsi="標楷體" w:hint="eastAsia"/>
        </w:rPr>
        <w:t>國立</w:t>
      </w:r>
      <w:r w:rsidRPr="00715E34">
        <w:rPr>
          <w:rFonts w:hAnsi="標楷體"/>
        </w:rPr>
        <w:t>臺灣大學地質科學系名譽教授劉</w:t>
      </w:r>
      <w:r w:rsidR="00A47126">
        <w:rPr>
          <w:rFonts w:hAnsi="標楷體"/>
        </w:rPr>
        <w:t>○○</w:t>
      </w:r>
      <w:r w:rsidRPr="00715E34">
        <w:rPr>
          <w:rFonts w:hAnsi="標楷體"/>
        </w:rPr>
        <w:t>指出</w:t>
      </w:r>
      <w:r w:rsidRPr="00715E34">
        <w:rPr>
          <w:rStyle w:val="aff2"/>
          <w:rFonts w:hAnsi="標楷體"/>
        </w:rPr>
        <w:footnoteReference w:id="18"/>
      </w:r>
      <w:r w:rsidRPr="00715E34">
        <w:rPr>
          <w:rFonts w:hAnsi="標楷體"/>
        </w:rPr>
        <w:t>，近20餘年來水利署與經濟部中央地質調查所執行「臺灣地區地下水觀測網計畫」所獲得的豐碩成果，其實就提供了一個根本解決中部地區日益嚴重</w:t>
      </w:r>
      <w:r w:rsidRPr="00715E34">
        <w:rPr>
          <w:rFonts w:hAnsi="標楷體"/>
        </w:rPr>
        <w:lastRenderedPageBreak/>
        <w:t>缺水問題的途徑，而不必只能望天興嘆、乾著急，那就是近在腳下、沒有淤積問題的「地下水庫」。</w:t>
      </w:r>
      <w:r w:rsidRPr="00715E34">
        <w:rPr>
          <w:rFonts w:hAnsi="標楷體" w:hint="eastAsia"/>
        </w:rPr>
        <w:t>國內</w:t>
      </w:r>
      <w:r w:rsidRPr="00715E34">
        <w:rPr>
          <w:rFonts w:hAnsi="標楷體"/>
        </w:rPr>
        <w:t>有數個具「地下水庫」條件的地方，其中尤其優越的是「臺中盆地」地下水庫。臺中盆地面積約370平方公里，地層以礫石為主，估計厚達1,000公尺以上，為一優良的地下水庫，能提供穩定、量多、質優、具長期經濟效益的地下水。臺中盆地地下水補注極快，補注量非常豐富，每年至少可達6億立方公尺，地下水儲量將近17億立方公尺，大約相當於曾文水庫（約7.4億立方公尺）、石門水庫（約4.8億立方公尺）及翡翠水庫（約4.6</w:t>
      </w:r>
      <w:r w:rsidR="007E5DCF" w:rsidRPr="00715E34">
        <w:rPr>
          <w:rFonts w:hAnsi="標楷體"/>
        </w:rPr>
        <w:t>億立方公尺）的總和。耗費十</w:t>
      </w:r>
      <w:r w:rsidR="007E5DCF" w:rsidRPr="00715E34">
        <w:rPr>
          <w:rFonts w:hAnsi="標楷體" w:hint="eastAsia"/>
        </w:rPr>
        <w:t>餘</w:t>
      </w:r>
      <w:r w:rsidRPr="00715E34">
        <w:rPr>
          <w:rFonts w:hAnsi="標楷體"/>
        </w:rPr>
        <w:t>億元建置的地下水觀測網計畫已獲得豐富的成果，宜進一步延伸地下水觀測網的效益，妥善規劃這個水文地質條件極為優越的地下水庫的永續利用，發揮其寶貴的地下水資源價值。</w:t>
      </w:r>
    </w:p>
    <w:p w:rsidR="003604B3" w:rsidRPr="00715E34" w:rsidRDefault="003604B3" w:rsidP="00232C83">
      <w:pPr>
        <w:pStyle w:val="3"/>
        <w:topLinePunct/>
        <w:rPr>
          <w:rFonts w:hAnsi="標楷體"/>
        </w:rPr>
      </w:pPr>
      <w:r w:rsidRPr="00715E34">
        <w:rPr>
          <w:rFonts w:hAnsi="標楷體"/>
        </w:rPr>
        <w:t>針對上篇報導水利署回應略以，</w:t>
      </w:r>
      <w:r w:rsidRPr="00715E34">
        <w:rPr>
          <w:rFonts w:hAnsi="標楷體"/>
          <w:szCs w:val="32"/>
        </w:rPr>
        <w:t>臺中盆地因地下水補注快速且多為礫石之地質條件，確為地下水庫適宜之場址區位，惟地下水蘊藏量尚非等同地下水可用水量，抽用地下水應考量是否會產生地層下陷、海水入侵、河川基流量減少及地下水水位過度下降等不良影響；臺中盆地因位處內陸及其地質條件優良，抽用地下水應不致產生地層下陷或海水入侵等不良影響，惟過度抽用仍可能產生河川基流減少及地下水水位過度下降等危害，仍應通盤考量避免可能之不良影響。該</w:t>
      </w:r>
      <w:r w:rsidRPr="00715E34">
        <w:rPr>
          <w:rFonts w:hAnsi="標楷體"/>
          <w:bCs w:val="0"/>
          <w:szCs w:val="32"/>
        </w:rPr>
        <w:t>署已於</w:t>
      </w:r>
      <w:r w:rsidRPr="00715E34">
        <w:rPr>
          <w:rFonts w:hAnsi="標楷體"/>
          <w:szCs w:val="32"/>
        </w:rPr>
        <w:t>98年至100年辦理「臺中盆地地下水資源利用調查評估」，105年辦理「臺中盆地地下水資源調查開發評估」，期在已使用地下水量、地下水分布、地下水質及不影響河川流量條件下，擬定地下水開發方案，俾達維持地下水資源之永續利用。</w:t>
      </w:r>
    </w:p>
    <w:p w:rsidR="003604B3" w:rsidRPr="00715E34" w:rsidRDefault="003604B3" w:rsidP="00232C83">
      <w:pPr>
        <w:pStyle w:val="3"/>
        <w:topLinePunct/>
        <w:rPr>
          <w:rFonts w:hAnsi="標楷體"/>
        </w:rPr>
      </w:pPr>
      <w:r w:rsidRPr="00715E34">
        <w:rPr>
          <w:rFonts w:hAnsi="標楷體"/>
          <w:szCs w:val="32"/>
        </w:rPr>
        <w:lastRenderedPageBreak/>
        <w:t>盱衡</w:t>
      </w:r>
      <w:r w:rsidRPr="00715E34">
        <w:rPr>
          <w:rFonts w:hAnsi="標楷體" w:hint="eastAsia"/>
        </w:rPr>
        <w:t>臺灣南部地區因豐水季與枯水季雨量差距極大，導致</w:t>
      </w:r>
      <w:r w:rsidRPr="00715E34">
        <w:rPr>
          <w:rFonts w:hAnsi="標楷體"/>
        </w:rPr>
        <w:t>水資源時空分配不均</w:t>
      </w:r>
      <w:r w:rsidRPr="00715E34">
        <w:rPr>
          <w:rFonts w:hAnsi="標楷體" w:hint="eastAsia"/>
        </w:rPr>
        <w:t>，時而</w:t>
      </w:r>
      <w:r w:rsidRPr="00715E34">
        <w:rPr>
          <w:rFonts w:hAnsi="標楷體"/>
        </w:rPr>
        <w:t>面臨水源供需失衡</w:t>
      </w:r>
      <w:r w:rsidRPr="00715E34">
        <w:rPr>
          <w:rFonts w:hAnsi="標楷體" w:hint="eastAsia"/>
        </w:rPr>
        <w:t>及缺水危機，開發伏流水可</w:t>
      </w:r>
      <w:r w:rsidRPr="00715E34">
        <w:rPr>
          <w:rFonts w:hAnsi="標楷體"/>
          <w:lang w:val="x-none" w:eastAsia="x-none"/>
        </w:rPr>
        <w:t>增加南部地區自有水源及備援水源</w:t>
      </w:r>
      <w:r w:rsidRPr="00715E34">
        <w:rPr>
          <w:rFonts w:hAnsi="標楷體" w:hint="eastAsia"/>
        </w:rPr>
        <w:t>；另</w:t>
      </w:r>
      <w:r w:rsidRPr="00715E34">
        <w:rPr>
          <w:rFonts w:hAnsi="標楷體" w:hint="eastAsia"/>
          <w:szCs w:val="32"/>
        </w:rPr>
        <w:t>地下水</w:t>
      </w:r>
      <w:r w:rsidRPr="00715E34">
        <w:rPr>
          <w:rFonts w:hAnsi="標楷體"/>
        </w:rPr>
        <w:t>年平均地下水總抽用量約56億立方公尺，占年用水總量177億立方公尺</w:t>
      </w:r>
      <w:r w:rsidRPr="00715E34">
        <w:rPr>
          <w:rFonts w:hAnsi="標楷體" w:hint="eastAsia"/>
        </w:rPr>
        <w:t>之</w:t>
      </w:r>
      <w:r w:rsidRPr="00715E34">
        <w:rPr>
          <w:rFonts w:hAnsi="標楷體"/>
        </w:rPr>
        <w:t>32%，</w:t>
      </w:r>
      <w:r w:rsidRPr="00715E34">
        <w:rPr>
          <w:rFonts w:hAnsi="標楷體" w:hint="eastAsia"/>
        </w:rPr>
        <w:t>亦</w:t>
      </w:r>
      <w:r w:rsidRPr="00715E34">
        <w:rPr>
          <w:rFonts w:hAnsi="標楷體"/>
        </w:rPr>
        <w:t>為重要之供水水源，水利署長期進行地下水觀測計畫，</w:t>
      </w:r>
      <w:r w:rsidRPr="00715E34">
        <w:rPr>
          <w:rFonts w:hAnsi="標楷體" w:hint="eastAsia"/>
        </w:rPr>
        <w:t>且</w:t>
      </w:r>
      <w:r w:rsidRPr="00715E34">
        <w:rPr>
          <w:rFonts w:hAnsi="標楷體"/>
        </w:rPr>
        <w:t>於澎湖地區建置地下水庫等</w:t>
      </w:r>
      <w:r w:rsidRPr="00715E34">
        <w:rPr>
          <w:rFonts w:hAnsi="標楷體" w:hint="eastAsia"/>
        </w:rPr>
        <w:t>。</w:t>
      </w:r>
      <w:r w:rsidRPr="00715E34">
        <w:rPr>
          <w:rFonts w:hAnsi="標楷體"/>
        </w:rPr>
        <w:t>爰為因應國內缺水窘況，除海水淡化及再生水等新興水源外，水利署允應</w:t>
      </w:r>
      <w:r w:rsidRPr="00715E34">
        <w:rPr>
          <w:rFonts w:hAnsi="標楷體" w:hint="eastAsia"/>
        </w:rPr>
        <w:t>賡續探討掌握伏流水相關可開發之潛在能量，並就既有之伏流水取水工程計畫研擬適切推動策略，並</w:t>
      </w:r>
      <w:r w:rsidRPr="00715E34">
        <w:rPr>
          <w:rFonts w:hAnsi="標楷體"/>
        </w:rPr>
        <w:t>檢視既往長期地下水觀測研究資料，務實審酌推動地下水庫建置之可行性</w:t>
      </w:r>
      <w:r w:rsidRPr="00715E34">
        <w:rPr>
          <w:rFonts w:hAnsi="標楷體" w:hint="eastAsia"/>
        </w:rPr>
        <w:t>，以增加供水水源及備援能力</w:t>
      </w:r>
      <w:r w:rsidRPr="00715E34">
        <w:rPr>
          <w:rFonts w:hAnsi="標楷體"/>
        </w:rPr>
        <w:t>。</w:t>
      </w:r>
    </w:p>
    <w:p w:rsidR="00140A2F" w:rsidRPr="001D74AE" w:rsidRDefault="00140A2F" w:rsidP="005354F6">
      <w:pPr>
        <w:pStyle w:val="afffff9"/>
        <w:numPr>
          <w:ilvl w:val="0"/>
          <w:numId w:val="0"/>
        </w:numPr>
        <w:topLinePunct/>
        <w:spacing w:beforeLines="25" w:before="114"/>
        <w:ind w:leftChars="25" w:left="85"/>
        <w:rPr>
          <w:b/>
          <w:i/>
        </w:rPr>
      </w:pPr>
      <w:bookmarkStart w:id="77" w:name="_Toc458000625"/>
      <w:r w:rsidRPr="001D74AE">
        <w:rPr>
          <w:rFonts w:hint="eastAsia"/>
          <w:b/>
          <w:i/>
        </w:rPr>
        <w:t>《法令面》</w:t>
      </w:r>
      <w:bookmarkEnd w:id="77"/>
    </w:p>
    <w:p w:rsidR="00644F08" w:rsidRPr="00C30C6A" w:rsidRDefault="00644F08" w:rsidP="00644F08">
      <w:pPr>
        <w:topLinePunct/>
        <w:ind w:left="680" w:firstLine="680"/>
        <w:rPr>
          <w:i/>
          <w:sz w:val="30"/>
          <w:szCs w:val="30"/>
        </w:rPr>
      </w:pPr>
      <w:r w:rsidRPr="00C30C6A">
        <w:rPr>
          <w:rFonts w:hint="eastAsia"/>
          <w:i/>
          <w:sz w:val="30"/>
          <w:szCs w:val="30"/>
        </w:rPr>
        <w:t>經濟部</w:t>
      </w:r>
      <w:r w:rsidR="00B72A54" w:rsidRPr="00C30C6A">
        <w:rPr>
          <w:rFonts w:hint="eastAsia"/>
          <w:i/>
          <w:sz w:val="30"/>
          <w:szCs w:val="30"/>
        </w:rPr>
        <w:t>怠</w:t>
      </w:r>
      <w:r w:rsidRPr="00C30C6A">
        <w:rPr>
          <w:rFonts w:hint="eastAsia"/>
          <w:i/>
          <w:sz w:val="30"/>
          <w:szCs w:val="30"/>
        </w:rPr>
        <w:t>未</w:t>
      </w:r>
      <w:r w:rsidR="00B72A54" w:rsidRPr="00C30C6A">
        <w:rPr>
          <w:rFonts w:hint="eastAsia"/>
          <w:i/>
          <w:sz w:val="30"/>
          <w:szCs w:val="30"/>
        </w:rPr>
        <w:t>依</w:t>
      </w:r>
      <w:r w:rsidRPr="00C30C6A">
        <w:rPr>
          <w:rFonts w:hint="eastAsia"/>
          <w:i/>
          <w:sz w:val="30"/>
          <w:szCs w:val="30"/>
        </w:rPr>
        <w:t>自來水法授權訂定水費折扣辦法，即貿然實施「節約用水優惠措施」，</w:t>
      </w:r>
      <w:r w:rsidR="007914C8" w:rsidRPr="00C30C6A">
        <w:rPr>
          <w:rFonts w:hint="eastAsia"/>
          <w:i/>
          <w:sz w:val="30"/>
          <w:szCs w:val="30"/>
        </w:rPr>
        <w:t>且</w:t>
      </w:r>
      <w:r w:rsidRPr="00C30C6A">
        <w:rPr>
          <w:rFonts w:hint="eastAsia"/>
          <w:i/>
          <w:sz w:val="30"/>
          <w:szCs w:val="30"/>
        </w:rPr>
        <w:t>以水資源作業基金補貼水費折扣</w:t>
      </w:r>
      <w:r w:rsidRPr="00C30C6A">
        <w:rPr>
          <w:rFonts w:hAnsi="標楷體" w:hint="eastAsia"/>
          <w:i/>
          <w:sz w:val="30"/>
          <w:szCs w:val="30"/>
        </w:rPr>
        <w:t>、未</w:t>
      </w:r>
      <w:r w:rsidR="007914C8" w:rsidRPr="00C30C6A">
        <w:rPr>
          <w:rFonts w:hAnsi="標楷體" w:hint="eastAsia"/>
          <w:i/>
          <w:sz w:val="30"/>
          <w:szCs w:val="30"/>
        </w:rPr>
        <w:t>編列</w:t>
      </w:r>
      <w:r w:rsidRPr="00C30C6A">
        <w:rPr>
          <w:rFonts w:hAnsi="標楷體" w:hint="eastAsia"/>
          <w:i/>
          <w:sz w:val="30"/>
          <w:szCs w:val="30"/>
        </w:rPr>
        <w:t>預算</w:t>
      </w:r>
      <w:r w:rsidR="007914C8" w:rsidRPr="00C30C6A">
        <w:rPr>
          <w:rFonts w:hAnsi="標楷體" w:hint="eastAsia"/>
          <w:i/>
          <w:sz w:val="30"/>
          <w:szCs w:val="30"/>
        </w:rPr>
        <w:t>足額</w:t>
      </w:r>
      <w:r w:rsidRPr="00C30C6A">
        <w:rPr>
          <w:rFonts w:hAnsi="標楷體" w:hint="eastAsia"/>
          <w:i/>
          <w:sz w:val="30"/>
          <w:szCs w:val="30"/>
        </w:rPr>
        <w:t>撥補離島</w:t>
      </w:r>
      <w:r w:rsidR="00B72A54" w:rsidRPr="00C30C6A">
        <w:rPr>
          <w:rFonts w:hAnsi="標楷體" w:hint="eastAsia"/>
          <w:i/>
          <w:sz w:val="30"/>
          <w:szCs w:val="30"/>
        </w:rPr>
        <w:t>及</w:t>
      </w:r>
      <w:r w:rsidR="00056ED0" w:rsidRPr="00C30C6A">
        <w:rPr>
          <w:rFonts w:hAnsi="標楷體" w:hint="eastAsia"/>
          <w:i/>
          <w:sz w:val="30"/>
          <w:szCs w:val="30"/>
        </w:rPr>
        <w:t>國中小學水價差額、枯旱期移撥農業用水給工業使用、市政公共用水優待</w:t>
      </w:r>
      <w:r w:rsidR="007914C8" w:rsidRPr="00C30C6A">
        <w:rPr>
          <w:rFonts w:hAnsi="標楷體" w:hint="eastAsia"/>
          <w:i/>
          <w:sz w:val="30"/>
          <w:szCs w:val="30"/>
        </w:rPr>
        <w:t>等</w:t>
      </w:r>
      <w:r w:rsidR="007301EE" w:rsidRPr="00C30C6A">
        <w:rPr>
          <w:rFonts w:hAnsi="標楷體" w:hint="eastAsia"/>
          <w:i/>
          <w:sz w:val="30"/>
          <w:szCs w:val="30"/>
        </w:rPr>
        <w:t>便宜做法</w:t>
      </w:r>
      <w:r w:rsidR="007914C8" w:rsidRPr="00C30C6A">
        <w:rPr>
          <w:rFonts w:hAnsi="標楷體" w:hint="eastAsia"/>
          <w:i/>
          <w:sz w:val="30"/>
          <w:szCs w:val="30"/>
        </w:rPr>
        <w:t>，</w:t>
      </w:r>
      <w:r w:rsidR="007301EE" w:rsidRPr="00C30C6A">
        <w:rPr>
          <w:rFonts w:hAnsi="標楷體" w:hint="eastAsia"/>
          <w:i/>
          <w:sz w:val="30"/>
          <w:szCs w:val="30"/>
        </w:rPr>
        <w:t>均</w:t>
      </w:r>
      <w:r w:rsidR="007914C8" w:rsidRPr="00C30C6A">
        <w:rPr>
          <w:rFonts w:hAnsi="標楷體" w:hint="eastAsia"/>
          <w:i/>
          <w:sz w:val="30"/>
          <w:szCs w:val="30"/>
        </w:rPr>
        <w:t>與現行法令有悖；</w:t>
      </w:r>
      <w:r w:rsidR="007914C8" w:rsidRPr="00C30C6A">
        <w:rPr>
          <w:rFonts w:hint="eastAsia"/>
          <w:i/>
          <w:sz w:val="30"/>
          <w:szCs w:val="30"/>
        </w:rPr>
        <w:t>另再生水資源發展條例施行後</w:t>
      </w:r>
      <w:r w:rsidR="007914C8" w:rsidRPr="00C30C6A">
        <w:rPr>
          <w:rFonts w:hAnsi="標楷體" w:hint="eastAsia"/>
          <w:i/>
          <w:sz w:val="30"/>
          <w:szCs w:val="30"/>
        </w:rPr>
        <w:t>，</w:t>
      </w:r>
      <w:r w:rsidR="007914C8" w:rsidRPr="00C30C6A">
        <w:rPr>
          <w:rFonts w:hint="eastAsia"/>
          <w:i/>
          <w:sz w:val="30"/>
          <w:szCs w:val="30"/>
        </w:rPr>
        <w:t>有關廢污水</w:t>
      </w:r>
      <w:r w:rsidR="0034345B" w:rsidRPr="00C30C6A">
        <w:rPr>
          <w:rFonts w:hint="eastAsia"/>
          <w:i/>
          <w:sz w:val="30"/>
          <w:szCs w:val="30"/>
        </w:rPr>
        <w:t>做為再生水源</w:t>
      </w:r>
      <w:r w:rsidR="007301EE" w:rsidRPr="00C30C6A">
        <w:rPr>
          <w:rFonts w:hint="eastAsia"/>
          <w:i/>
          <w:sz w:val="30"/>
          <w:szCs w:val="30"/>
        </w:rPr>
        <w:t>配套</w:t>
      </w:r>
      <w:r w:rsidR="007914C8" w:rsidRPr="00C30C6A">
        <w:rPr>
          <w:rFonts w:hint="eastAsia"/>
          <w:i/>
          <w:sz w:val="30"/>
          <w:szCs w:val="30"/>
        </w:rPr>
        <w:t>子法</w:t>
      </w:r>
      <w:r w:rsidR="00BE5667" w:rsidRPr="00C30C6A">
        <w:rPr>
          <w:rFonts w:hint="eastAsia"/>
          <w:i/>
          <w:sz w:val="30"/>
          <w:szCs w:val="30"/>
        </w:rPr>
        <w:t>之</w:t>
      </w:r>
      <w:r w:rsidR="00EF1C46">
        <w:rPr>
          <w:rFonts w:hint="eastAsia"/>
          <w:i/>
          <w:sz w:val="30"/>
          <w:szCs w:val="30"/>
        </w:rPr>
        <w:t>研定</w:t>
      </w:r>
      <w:r w:rsidR="0034345B" w:rsidRPr="00C30C6A">
        <w:rPr>
          <w:rFonts w:hAnsi="標楷體" w:hint="eastAsia"/>
          <w:i/>
          <w:sz w:val="30"/>
          <w:szCs w:val="30"/>
        </w:rPr>
        <w:t>，</w:t>
      </w:r>
      <w:r w:rsidR="0034345B" w:rsidRPr="00C30C6A">
        <w:rPr>
          <w:rFonts w:hint="eastAsia"/>
          <w:i/>
          <w:sz w:val="30"/>
          <w:szCs w:val="30"/>
        </w:rPr>
        <w:t>以及高耗水產業別之定義</w:t>
      </w:r>
      <w:r w:rsidR="0034345B" w:rsidRPr="00C30C6A">
        <w:rPr>
          <w:rFonts w:hAnsi="標楷體" w:hint="eastAsia"/>
          <w:i/>
          <w:sz w:val="30"/>
          <w:szCs w:val="30"/>
        </w:rPr>
        <w:t>、</w:t>
      </w:r>
      <w:r w:rsidR="0034345B" w:rsidRPr="00C30C6A">
        <w:rPr>
          <w:rFonts w:hint="eastAsia"/>
          <w:i/>
          <w:sz w:val="30"/>
          <w:szCs w:val="30"/>
        </w:rPr>
        <w:t>各產業申請開發時所提用水計畫書之審查及管制程序闕漏等</w:t>
      </w:r>
      <w:r w:rsidR="007301EE" w:rsidRPr="00C30C6A">
        <w:rPr>
          <w:rFonts w:hint="eastAsia"/>
          <w:i/>
          <w:sz w:val="30"/>
          <w:szCs w:val="30"/>
        </w:rPr>
        <w:t>問題</w:t>
      </w:r>
      <w:r w:rsidR="0034345B" w:rsidRPr="00C30C6A">
        <w:rPr>
          <w:rFonts w:hAnsi="標楷體" w:hint="eastAsia"/>
          <w:i/>
          <w:sz w:val="30"/>
          <w:szCs w:val="30"/>
        </w:rPr>
        <w:t>，</w:t>
      </w:r>
      <w:r w:rsidR="0034345B" w:rsidRPr="00C30C6A">
        <w:rPr>
          <w:rFonts w:hint="eastAsia"/>
          <w:i/>
          <w:sz w:val="30"/>
          <w:szCs w:val="30"/>
        </w:rPr>
        <w:t>均</w:t>
      </w:r>
      <w:r w:rsidR="00756634" w:rsidRPr="00C30C6A">
        <w:rPr>
          <w:rFonts w:hint="eastAsia"/>
          <w:i/>
          <w:sz w:val="30"/>
          <w:szCs w:val="30"/>
        </w:rPr>
        <w:t>尚</w:t>
      </w:r>
      <w:r w:rsidR="0034345B" w:rsidRPr="00C30C6A">
        <w:rPr>
          <w:rFonts w:hint="eastAsia"/>
          <w:i/>
          <w:sz w:val="30"/>
          <w:szCs w:val="30"/>
        </w:rPr>
        <w:t>待賡續修法</w:t>
      </w:r>
      <w:r w:rsidR="00EC4BA1" w:rsidRPr="00C30C6A">
        <w:rPr>
          <w:rFonts w:hint="eastAsia"/>
          <w:i/>
          <w:sz w:val="30"/>
          <w:szCs w:val="30"/>
        </w:rPr>
        <w:t>補正</w:t>
      </w:r>
      <w:r w:rsidR="00EC4BA1" w:rsidRPr="00C30C6A">
        <w:rPr>
          <w:rFonts w:hAnsi="標楷體" w:hint="eastAsia"/>
          <w:i/>
          <w:sz w:val="30"/>
          <w:szCs w:val="30"/>
        </w:rPr>
        <w:t>。</w:t>
      </w:r>
    </w:p>
    <w:p w:rsidR="009D065A" w:rsidRPr="00715E34" w:rsidRDefault="005F654A" w:rsidP="005354F6">
      <w:pPr>
        <w:pStyle w:val="2"/>
        <w:topLinePunct/>
        <w:autoSpaceDE/>
        <w:autoSpaceDN/>
        <w:spacing w:beforeLines="25" w:before="114"/>
        <w:ind w:left="1020" w:hanging="680"/>
        <w:rPr>
          <w:rFonts w:hAnsi="標楷體"/>
          <w:b/>
          <w:lang w:eastAsia="zh-HK"/>
        </w:rPr>
      </w:pPr>
      <w:bookmarkStart w:id="78" w:name="_Toc458000626"/>
      <w:bookmarkStart w:id="79" w:name="_Toc455922273"/>
      <w:bookmarkStart w:id="80" w:name="_Toc455922474"/>
      <w:bookmarkStart w:id="81" w:name="_Toc455922898"/>
      <w:bookmarkEnd w:id="70"/>
      <w:bookmarkEnd w:id="71"/>
      <w:bookmarkEnd w:id="72"/>
      <w:r w:rsidRPr="00715E34">
        <w:rPr>
          <w:rFonts w:hAnsi="標楷體" w:hint="eastAsia"/>
          <w:b/>
          <w:lang w:eastAsia="zh-HK"/>
        </w:rPr>
        <w:t>經濟部未遵照自來水法之授權訂定水費折扣辦法，怠於立法即貿然實施「節約用水優惠措施」，並以水資源作業基金補貼水費折扣，不僅有違法令規定之情事，且囿於水價過於低廉，節水折扣亦難收減輕供水壓力預期效益，其前置規劃評估作業顯有不周;另該部對於離島地區用水之補貼，長年未</w:t>
      </w:r>
      <w:r w:rsidR="00260E6E">
        <w:rPr>
          <w:rFonts w:hAnsi="標楷體" w:hint="eastAsia"/>
          <w:b/>
        </w:rPr>
        <w:t>督促所屬</w:t>
      </w:r>
      <w:r w:rsidRPr="00715E34">
        <w:rPr>
          <w:rFonts w:hAnsi="標楷體" w:hint="eastAsia"/>
          <w:b/>
          <w:lang w:eastAsia="zh-HK"/>
        </w:rPr>
        <w:t>依離島建設條例規定，編列預算足額撥補，均有違失</w:t>
      </w:r>
      <w:bookmarkEnd w:id="78"/>
    </w:p>
    <w:p w:rsidR="009D065A" w:rsidRPr="00715E34" w:rsidRDefault="009D065A" w:rsidP="00232C83">
      <w:pPr>
        <w:pStyle w:val="3"/>
        <w:topLinePunct/>
        <w:autoSpaceDE/>
        <w:autoSpaceDN/>
        <w:rPr>
          <w:rFonts w:hAnsi="標楷體"/>
        </w:rPr>
      </w:pPr>
      <w:r w:rsidRPr="00715E34">
        <w:rPr>
          <w:rFonts w:hAnsi="標楷體"/>
        </w:rPr>
        <w:lastRenderedPageBreak/>
        <w:t>按自來水法第59條第3項規定，用戶使用度數較上年度同期比較如負成長，自來水事業體得視營業收支盈虧狀況，給予費用折扣，其辦法，由主管機關會同自來水事業訂定。另水資源作業基金之用途範圍為：1、辦理水庫、海堤、河川或排水設施之管理及疏濬；2、辦理水庫、海堤、河川或排水設施之災害搶修搶險；3、相關人才培訓；4、辦理回饋措施，水利法第89條之1第1項定有明文。</w:t>
      </w:r>
    </w:p>
    <w:p w:rsidR="009D065A" w:rsidRPr="00715E34" w:rsidRDefault="009D065A" w:rsidP="0081564E">
      <w:pPr>
        <w:pStyle w:val="3"/>
        <w:topLinePunct/>
        <w:autoSpaceDE/>
        <w:autoSpaceDN/>
        <w:spacing w:after="240"/>
        <w:ind w:left="1360" w:hanging="680"/>
        <w:rPr>
          <w:rFonts w:hAnsi="標楷體"/>
          <w:kern w:val="0"/>
        </w:rPr>
      </w:pPr>
      <w:r w:rsidRPr="00715E34">
        <w:rPr>
          <w:rFonts w:hAnsi="標楷體"/>
        </w:rPr>
        <w:t>經查，經濟部為讓民眾能節約用水，配合水情實況（如乾旱缺水）曾於99年與104年辦理「節約用水優惠措施」，對節約用水之用戶給予一定水費折扣。以台水公司104年一般用水戶為例，自104年4月起至7月止之用水，用戶當期日平均用水量較上年同期日平均用水量減少10%以上未達20%，打95折；減少20%以上未達30%，打9折；減少30%以上打85折。經統計各自來水事業99年與104年獎勵節水費用，合計4億2,165萬元（如下表所示）</w:t>
      </w:r>
      <w:r w:rsidRPr="00715E34">
        <w:rPr>
          <w:rFonts w:hAnsi="標楷體" w:hint="eastAsia"/>
        </w:rPr>
        <w:t>，此對配合節水者雖有獎勵作用，</w:t>
      </w:r>
      <w:r w:rsidRPr="00715E34">
        <w:rPr>
          <w:rFonts w:hAnsi="標楷體"/>
        </w:rPr>
        <w:t>惟據經濟部所復，迄今尚未依照前揭自來水法第59條第3項規定會同自來水事業訂定水費折扣辦法，</w:t>
      </w:r>
      <w:r w:rsidRPr="00715E34">
        <w:rPr>
          <w:rFonts w:hAnsi="標楷體" w:hint="eastAsia"/>
          <w:lang w:eastAsia="zh-HK"/>
        </w:rPr>
        <w:t>在未切實做好法規訂定之影響評估前</w:t>
      </w:r>
      <w:r w:rsidRPr="00715E34">
        <w:rPr>
          <w:rFonts w:hAnsi="標楷體"/>
        </w:rPr>
        <w:t>，該部及各自來水事業卻</w:t>
      </w:r>
      <w:r w:rsidRPr="00715E34">
        <w:rPr>
          <w:rFonts w:hAnsi="標楷體" w:hint="eastAsia"/>
          <w:lang w:eastAsia="zh-HK"/>
        </w:rPr>
        <w:t>便宜將事</w:t>
      </w:r>
      <w:r w:rsidRPr="00715E34">
        <w:rPr>
          <w:rFonts w:hAnsi="標楷體"/>
        </w:rPr>
        <w:t>率予實施節水獎勵措施，於法</w:t>
      </w:r>
      <w:r w:rsidRPr="00715E34">
        <w:rPr>
          <w:rFonts w:hAnsi="標楷體" w:hint="eastAsia"/>
          <w:lang w:eastAsia="zh-HK"/>
        </w:rPr>
        <w:t>制上尚未周延</w:t>
      </w:r>
      <w:r w:rsidRPr="00715E34">
        <w:rPr>
          <w:rFonts w:hAnsi="標楷體"/>
        </w:rPr>
        <w:t>。</w:t>
      </w:r>
    </w:p>
    <w:tbl>
      <w:tblPr>
        <w:tblStyle w:val="afb"/>
        <w:tblW w:w="6849" w:type="dxa"/>
        <w:tblInd w:w="1418" w:type="dxa"/>
        <w:tblCellMar>
          <w:left w:w="28" w:type="dxa"/>
          <w:right w:w="28" w:type="dxa"/>
        </w:tblCellMar>
        <w:tblLook w:val="00A0" w:firstRow="1" w:lastRow="0" w:firstColumn="1" w:lastColumn="0" w:noHBand="0" w:noVBand="0"/>
      </w:tblPr>
      <w:tblGrid>
        <w:gridCol w:w="1229"/>
        <w:gridCol w:w="1621"/>
        <w:gridCol w:w="1164"/>
        <w:gridCol w:w="1701"/>
        <w:gridCol w:w="1134"/>
      </w:tblGrid>
      <w:tr w:rsidR="0081564E" w:rsidRPr="00715E34" w:rsidTr="00FF0913">
        <w:trPr>
          <w:trHeight w:val="624"/>
          <w:tblHeader/>
        </w:trPr>
        <w:tc>
          <w:tcPr>
            <w:tcW w:w="1229" w:type="dxa"/>
            <w:vAlign w:val="center"/>
          </w:tcPr>
          <w:p w:rsidR="0081564E" w:rsidRPr="00715E34" w:rsidRDefault="0081564E" w:rsidP="00B64B56">
            <w:pPr>
              <w:pStyle w:val="121"/>
              <w:widowControl/>
              <w:suppressAutoHyphens/>
              <w:topLinePunct/>
              <w:autoSpaceDE/>
              <w:autoSpaceDN/>
              <w:jc w:val="center"/>
              <w:textAlignment w:val="center"/>
              <w:rPr>
                <w:rFonts w:hAnsi="標楷體"/>
              </w:rPr>
            </w:pPr>
            <w:r w:rsidRPr="00715E34">
              <w:rPr>
                <w:rFonts w:hAnsi="標楷體"/>
              </w:rPr>
              <w:t>自來水事業</w:t>
            </w:r>
          </w:p>
        </w:tc>
        <w:tc>
          <w:tcPr>
            <w:tcW w:w="1621" w:type="dxa"/>
            <w:vAlign w:val="center"/>
          </w:tcPr>
          <w:p w:rsidR="0081564E" w:rsidRPr="00715E34" w:rsidRDefault="0081564E" w:rsidP="00B64B56">
            <w:pPr>
              <w:pStyle w:val="121"/>
              <w:widowControl/>
              <w:suppressAutoHyphens/>
              <w:topLinePunct/>
              <w:autoSpaceDE/>
              <w:autoSpaceDN/>
              <w:jc w:val="center"/>
              <w:textAlignment w:val="center"/>
              <w:rPr>
                <w:rFonts w:hAnsi="標楷體"/>
              </w:rPr>
            </w:pPr>
            <w:r w:rsidRPr="00715E34">
              <w:rPr>
                <w:rFonts w:hAnsi="標楷體"/>
              </w:rPr>
              <w:t>獎勵期間</w:t>
            </w:r>
          </w:p>
        </w:tc>
        <w:tc>
          <w:tcPr>
            <w:tcW w:w="1164" w:type="dxa"/>
            <w:vAlign w:val="center"/>
          </w:tcPr>
          <w:p w:rsidR="0081564E" w:rsidRPr="00715E34" w:rsidRDefault="0081564E" w:rsidP="00B64B56">
            <w:pPr>
              <w:pStyle w:val="121"/>
              <w:widowControl/>
              <w:suppressAutoHyphens/>
              <w:topLinePunct/>
              <w:autoSpaceDE/>
              <w:autoSpaceDN/>
              <w:jc w:val="center"/>
              <w:textAlignment w:val="center"/>
              <w:rPr>
                <w:rFonts w:hAnsi="標楷體"/>
              </w:rPr>
            </w:pPr>
            <w:r w:rsidRPr="00715E34">
              <w:rPr>
                <w:rFonts w:hAnsi="標楷體"/>
              </w:rPr>
              <w:t>節約水量</w:t>
            </w:r>
          </w:p>
          <w:p w:rsidR="0081564E" w:rsidRPr="00715E34" w:rsidRDefault="0081564E" w:rsidP="00B64B56">
            <w:pPr>
              <w:pStyle w:val="121"/>
              <w:widowControl/>
              <w:suppressAutoHyphens/>
              <w:topLinePunct/>
              <w:autoSpaceDE/>
              <w:autoSpaceDN/>
              <w:jc w:val="center"/>
              <w:textAlignment w:val="center"/>
              <w:rPr>
                <w:rFonts w:hAnsi="標楷體"/>
              </w:rPr>
            </w:pPr>
            <w:r w:rsidRPr="00715E34">
              <w:rPr>
                <w:rFonts w:hAnsi="標楷體"/>
              </w:rPr>
              <w:t>（萬度）</w:t>
            </w:r>
          </w:p>
        </w:tc>
        <w:tc>
          <w:tcPr>
            <w:tcW w:w="1701" w:type="dxa"/>
            <w:vAlign w:val="center"/>
          </w:tcPr>
          <w:p w:rsidR="0081564E" w:rsidRPr="00715E34" w:rsidRDefault="0081564E" w:rsidP="00B64B56">
            <w:pPr>
              <w:pStyle w:val="121"/>
              <w:widowControl/>
              <w:suppressAutoHyphens/>
              <w:topLinePunct/>
              <w:autoSpaceDE/>
              <w:autoSpaceDN/>
              <w:jc w:val="center"/>
              <w:textAlignment w:val="center"/>
              <w:rPr>
                <w:rFonts w:hAnsi="標楷體"/>
              </w:rPr>
            </w:pPr>
            <w:r w:rsidRPr="00715E34">
              <w:rPr>
                <w:rFonts w:hAnsi="標楷體"/>
              </w:rPr>
              <w:t>平均單月節水量（萬度）</w:t>
            </w:r>
          </w:p>
        </w:tc>
        <w:tc>
          <w:tcPr>
            <w:tcW w:w="1134" w:type="dxa"/>
            <w:vAlign w:val="center"/>
          </w:tcPr>
          <w:p w:rsidR="0081564E" w:rsidRPr="00715E34" w:rsidRDefault="0081564E" w:rsidP="00B64B56">
            <w:pPr>
              <w:pStyle w:val="121"/>
              <w:widowControl/>
              <w:suppressAutoHyphens/>
              <w:topLinePunct/>
              <w:autoSpaceDE/>
              <w:autoSpaceDN/>
              <w:jc w:val="center"/>
              <w:textAlignment w:val="center"/>
              <w:rPr>
                <w:rFonts w:hAnsi="標楷體"/>
              </w:rPr>
            </w:pPr>
            <w:r w:rsidRPr="00715E34">
              <w:rPr>
                <w:rFonts w:hAnsi="標楷體"/>
              </w:rPr>
              <w:t>節水折扣</w:t>
            </w:r>
          </w:p>
          <w:p w:rsidR="0081564E" w:rsidRPr="00715E34" w:rsidRDefault="0081564E" w:rsidP="00B64B56">
            <w:pPr>
              <w:pStyle w:val="121"/>
              <w:widowControl/>
              <w:suppressAutoHyphens/>
              <w:topLinePunct/>
              <w:autoSpaceDE/>
              <w:autoSpaceDN/>
              <w:jc w:val="center"/>
              <w:textAlignment w:val="center"/>
              <w:rPr>
                <w:rFonts w:hAnsi="標楷體"/>
              </w:rPr>
            </w:pPr>
            <w:r w:rsidRPr="00715E34">
              <w:rPr>
                <w:rFonts w:hAnsi="標楷體"/>
              </w:rPr>
              <w:t>（萬元）</w:t>
            </w:r>
          </w:p>
        </w:tc>
      </w:tr>
      <w:tr w:rsidR="0081564E" w:rsidRPr="00715E34" w:rsidTr="00FF0913">
        <w:tc>
          <w:tcPr>
            <w:tcW w:w="1229" w:type="dxa"/>
            <w:vMerge w:val="restart"/>
            <w:vAlign w:val="center"/>
          </w:tcPr>
          <w:p w:rsidR="0081564E" w:rsidRPr="00715E34" w:rsidRDefault="0081564E" w:rsidP="00B64B56">
            <w:pPr>
              <w:pStyle w:val="121"/>
              <w:widowControl/>
              <w:suppressAutoHyphens/>
              <w:topLinePunct/>
              <w:autoSpaceDE/>
              <w:autoSpaceDN/>
              <w:jc w:val="center"/>
              <w:textAlignment w:val="center"/>
              <w:rPr>
                <w:rFonts w:hAnsi="標楷體"/>
              </w:rPr>
            </w:pPr>
            <w:r w:rsidRPr="00715E34">
              <w:rPr>
                <w:rFonts w:hAnsi="標楷體"/>
              </w:rPr>
              <w:t>台水公司</w:t>
            </w:r>
          </w:p>
        </w:tc>
        <w:tc>
          <w:tcPr>
            <w:tcW w:w="1621" w:type="dxa"/>
          </w:tcPr>
          <w:p w:rsidR="0081564E" w:rsidRPr="00715E34" w:rsidRDefault="0081564E" w:rsidP="00B64B56">
            <w:pPr>
              <w:pStyle w:val="121"/>
              <w:widowControl/>
              <w:suppressAutoHyphens/>
              <w:topLinePunct/>
              <w:autoSpaceDE/>
              <w:autoSpaceDN/>
              <w:jc w:val="right"/>
              <w:textAlignment w:val="center"/>
              <w:rPr>
                <w:rFonts w:hAnsi="標楷體"/>
              </w:rPr>
            </w:pPr>
            <w:r w:rsidRPr="00715E34">
              <w:rPr>
                <w:rFonts w:hAnsi="標楷體"/>
              </w:rPr>
              <w:t>99年1月至6月</w:t>
            </w:r>
          </w:p>
        </w:tc>
        <w:tc>
          <w:tcPr>
            <w:tcW w:w="1164" w:type="dxa"/>
          </w:tcPr>
          <w:p w:rsidR="0081564E" w:rsidRPr="00715E34" w:rsidRDefault="0081564E" w:rsidP="00B64B56">
            <w:pPr>
              <w:pStyle w:val="121"/>
              <w:widowControl/>
              <w:suppressAutoHyphens/>
              <w:topLinePunct/>
              <w:autoSpaceDE/>
              <w:autoSpaceDN/>
              <w:jc w:val="right"/>
              <w:textAlignment w:val="center"/>
              <w:rPr>
                <w:rFonts w:hAnsi="標楷體"/>
              </w:rPr>
            </w:pPr>
            <w:r w:rsidRPr="00715E34">
              <w:rPr>
                <w:rFonts w:hAnsi="標楷體"/>
              </w:rPr>
              <w:t>11,334</w:t>
            </w:r>
          </w:p>
        </w:tc>
        <w:tc>
          <w:tcPr>
            <w:tcW w:w="1701" w:type="dxa"/>
            <w:vAlign w:val="center"/>
          </w:tcPr>
          <w:p w:rsidR="0081564E" w:rsidRPr="00715E34" w:rsidRDefault="0081564E" w:rsidP="00B64B56">
            <w:pPr>
              <w:topLinePunct/>
              <w:snapToGrid w:val="0"/>
              <w:spacing w:line="300" w:lineRule="exact"/>
              <w:jc w:val="right"/>
              <w:rPr>
                <w:rFonts w:hAnsi="標楷體"/>
                <w:snapToGrid w:val="0"/>
                <w:spacing w:val="-14"/>
                <w:kern w:val="0"/>
                <w:sz w:val="24"/>
                <w:szCs w:val="24"/>
              </w:rPr>
            </w:pPr>
            <w:r w:rsidRPr="00715E34">
              <w:rPr>
                <w:rFonts w:hAnsi="標楷體"/>
                <w:snapToGrid w:val="0"/>
                <w:spacing w:val="-14"/>
                <w:kern w:val="0"/>
                <w:sz w:val="24"/>
                <w:szCs w:val="24"/>
              </w:rPr>
              <w:t>1,889</w:t>
            </w:r>
          </w:p>
        </w:tc>
        <w:tc>
          <w:tcPr>
            <w:tcW w:w="1134" w:type="dxa"/>
          </w:tcPr>
          <w:p w:rsidR="0081564E" w:rsidRPr="00715E34" w:rsidRDefault="0081564E" w:rsidP="00B64B56">
            <w:pPr>
              <w:pStyle w:val="121"/>
              <w:widowControl/>
              <w:suppressAutoHyphens/>
              <w:topLinePunct/>
              <w:autoSpaceDE/>
              <w:autoSpaceDN/>
              <w:jc w:val="right"/>
              <w:textAlignment w:val="center"/>
              <w:rPr>
                <w:rFonts w:hAnsi="標楷體"/>
              </w:rPr>
            </w:pPr>
            <w:r w:rsidRPr="00715E34">
              <w:rPr>
                <w:rFonts w:hAnsi="標楷體"/>
              </w:rPr>
              <w:t>22,865</w:t>
            </w:r>
          </w:p>
        </w:tc>
      </w:tr>
      <w:tr w:rsidR="0081564E" w:rsidRPr="00715E34" w:rsidTr="00FF0913">
        <w:tc>
          <w:tcPr>
            <w:tcW w:w="1229" w:type="dxa"/>
            <w:vMerge/>
            <w:vAlign w:val="center"/>
          </w:tcPr>
          <w:p w:rsidR="0081564E" w:rsidRPr="00715E34" w:rsidRDefault="0081564E" w:rsidP="00B64B56">
            <w:pPr>
              <w:pStyle w:val="121"/>
              <w:widowControl/>
              <w:suppressAutoHyphens/>
              <w:topLinePunct/>
              <w:autoSpaceDE/>
              <w:autoSpaceDN/>
              <w:jc w:val="center"/>
              <w:textAlignment w:val="center"/>
              <w:rPr>
                <w:rFonts w:hAnsi="標楷體"/>
              </w:rPr>
            </w:pPr>
          </w:p>
        </w:tc>
        <w:tc>
          <w:tcPr>
            <w:tcW w:w="1621" w:type="dxa"/>
          </w:tcPr>
          <w:p w:rsidR="0081564E" w:rsidRPr="00715E34" w:rsidRDefault="0081564E" w:rsidP="00B64B56">
            <w:pPr>
              <w:pStyle w:val="121"/>
              <w:widowControl/>
              <w:suppressAutoHyphens/>
              <w:topLinePunct/>
              <w:autoSpaceDE/>
              <w:autoSpaceDN/>
              <w:jc w:val="right"/>
              <w:textAlignment w:val="center"/>
              <w:rPr>
                <w:rFonts w:hAnsi="標楷體"/>
              </w:rPr>
            </w:pPr>
            <w:r w:rsidRPr="00715E34">
              <w:rPr>
                <w:rFonts w:hAnsi="標楷體"/>
              </w:rPr>
              <w:t>104年4月至7月</w:t>
            </w:r>
          </w:p>
        </w:tc>
        <w:tc>
          <w:tcPr>
            <w:tcW w:w="1164" w:type="dxa"/>
          </w:tcPr>
          <w:p w:rsidR="0081564E" w:rsidRPr="00715E34" w:rsidRDefault="0081564E" w:rsidP="00B64B56">
            <w:pPr>
              <w:pStyle w:val="121"/>
              <w:widowControl/>
              <w:suppressAutoHyphens/>
              <w:topLinePunct/>
              <w:autoSpaceDE/>
              <w:autoSpaceDN/>
              <w:jc w:val="right"/>
              <w:textAlignment w:val="center"/>
              <w:rPr>
                <w:rFonts w:hAnsi="標楷體"/>
              </w:rPr>
            </w:pPr>
            <w:r w:rsidRPr="00715E34">
              <w:rPr>
                <w:rFonts w:hAnsi="標楷體"/>
              </w:rPr>
              <w:t>6,653</w:t>
            </w:r>
          </w:p>
        </w:tc>
        <w:tc>
          <w:tcPr>
            <w:tcW w:w="1701" w:type="dxa"/>
            <w:vAlign w:val="center"/>
          </w:tcPr>
          <w:p w:rsidR="0081564E" w:rsidRPr="00715E34" w:rsidRDefault="0081564E" w:rsidP="00B64B56">
            <w:pPr>
              <w:topLinePunct/>
              <w:snapToGrid w:val="0"/>
              <w:spacing w:line="300" w:lineRule="exact"/>
              <w:jc w:val="right"/>
              <w:rPr>
                <w:rFonts w:hAnsi="標楷體"/>
                <w:snapToGrid w:val="0"/>
                <w:spacing w:val="-14"/>
                <w:kern w:val="0"/>
                <w:sz w:val="24"/>
                <w:szCs w:val="24"/>
              </w:rPr>
            </w:pPr>
            <w:r w:rsidRPr="00715E34">
              <w:rPr>
                <w:rFonts w:hAnsi="標楷體"/>
                <w:snapToGrid w:val="0"/>
                <w:spacing w:val="-14"/>
                <w:kern w:val="0"/>
                <w:sz w:val="24"/>
                <w:szCs w:val="24"/>
              </w:rPr>
              <w:t>1,663</w:t>
            </w:r>
          </w:p>
        </w:tc>
        <w:tc>
          <w:tcPr>
            <w:tcW w:w="1134" w:type="dxa"/>
          </w:tcPr>
          <w:p w:rsidR="0081564E" w:rsidRPr="00715E34" w:rsidRDefault="0081564E" w:rsidP="00B64B56">
            <w:pPr>
              <w:pStyle w:val="121"/>
              <w:widowControl/>
              <w:suppressAutoHyphens/>
              <w:topLinePunct/>
              <w:autoSpaceDE/>
              <w:autoSpaceDN/>
              <w:jc w:val="right"/>
              <w:textAlignment w:val="center"/>
              <w:rPr>
                <w:rFonts w:hAnsi="標楷體"/>
              </w:rPr>
            </w:pPr>
            <w:r w:rsidRPr="00715E34">
              <w:rPr>
                <w:rFonts w:hAnsi="標楷體"/>
              </w:rPr>
              <w:t>11,463</w:t>
            </w:r>
          </w:p>
        </w:tc>
      </w:tr>
      <w:tr w:rsidR="0081564E" w:rsidRPr="00715E34" w:rsidTr="00FF0913">
        <w:tc>
          <w:tcPr>
            <w:tcW w:w="1229" w:type="dxa"/>
            <w:vMerge/>
            <w:vAlign w:val="center"/>
          </w:tcPr>
          <w:p w:rsidR="0081564E" w:rsidRPr="00715E34" w:rsidRDefault="0081564E" w:rsidP="00B64B56">
            <w:pPr>
              <w:pStyle w:val="121"/>
              <w:widowControl/>
              <w:suppressAutoHyphens/>
              <w:topLinePunct/>
              <w:autoSpaceDE/>
              <w:autoSpaceDN/>
              <w:jc w:val="center"/>
              <w:textAlignment w:val="center"/>
              <w:rPr>
                <w:rFonts w:hAnsi="標楷體"/>
              </w:rPr>
            </w:pPr>
          </w:p>
        </w:tc>
        <w:tc>
          <w:tcPr>
            <w:tcW w:w="4486" w:type="dxa"/>
            <w:gridSpan w:val="3"/>
          </w:tcPr>
          <w:p w:rsidR="0081564E" w:rsidRPr="00715E34" w:rsidRDefault="0081564E" w:rsidP="00B64B56">
            <w:pPr>
              <w:pStyle w:val="121"/>
              <w:widowControl/>
              <w:suppressAutoHyphens/>
              <w:topLinePunct/>
              <w:autoSpaceDE/>
              <w:autoSpaceDN/>
              <w:jc w:val="right"/>
              <w:textAlignment w:val="center"/>
              <w:rPr>
                <w:rFonts w:hAnsi="標楷體"/>
              </w:rPr>
            </w:pPr>
            <w:r w:rsidRPr="00715E34">
              <w:rPr>
                <w:rFonts w:hAnsi="標楷體"/>
              </w:rPr>
              <w:t>小　　計</w:t>
            </w:r>
          </w:p>
        </w:tc>
        <w:tc>
          <w:tcPr>
            <w:tcW w:w="1134" w:type="dxa"/>
            <w:vAlign w:val="center"/>
          </w:tcPr>
          <w:p w:rsidR="0081564E" w:rsidRPr="00715E34" w:rsidRDefault="0081564E" w:rsidP="00B64B56">
            <w:pPr>
              <w:pStyle w:val="121"/>
              <w:widowControl/>
              <w:suppressAutoHyphens/>
              <w:topLinePunct/>
              <w:autoSpaceDE/>
              <w:autoSpaceDN/>
              <w:jc w:val="right"/>
              <w:textAlignment w:val="center"/>
              <w:rPr>
                <w:rFonts w:hAnsi="標楷體"/>
              </w:rPr>
            </w:pPr>
            <w:r w:rsidRPr="00715E34">
              <w:rPr>
                <w:rFonts w:hAnsi="標楷體"/>
              </w:rPr>
              <w:t>34,328</w:t>
            </w:r>
          </w:p>
        </w:tc>
      </w:tr>
      <w:tr w:rsidR="0081564E" w:rsidRPr="00715E34" w:rsidTr="00FF0913">
        <w:tc>
          <w:tcPr>
            <w:tcW w:w="1229" w:type="dxa"/>
            <w:vMerge w:val="restart"/>
            <w:vAlign w:val="center"/>
          </w:tcPr>
          <w:p w:rsidR="0081564E" w:rsidRPr="00715E34" w:rsidRDefault="0081564E" w:rsidP="00B64B56">
            <w:pPr>
              <w:pStyle w:val="121"/>
              <w:widowControl/>
              <w:suppressAutoHyphens/>
              <w:topLinePunct/>
              <w:autoSpaceDE/>
              <w:autoSpaceDN/>
              <w:jc w:val="center"/>
              <w:textAlignment w:val="center"/>
              <w:rPr>
                <w:rFonts w:hAnsi="標楷體"/>
              </w:rPr>
            </w:pPr>
            <w:r w:rsidRPr="00715E34">
              <w:rPr>
                <w:rFonts w:hAnsi="標楷體"/>
              </w:rPr>
              <w:t>北水處</w:t>
            </w:r>
          </w:p>
        </w:tc>
        <w:tc>
          <w:tcPr>
            <w:tcW w:w="1621" w:type="dxa"/>
          </w:tcPr>
          <w:p w:rsidR="0081564E" w:rsidRPr="00715E34" w:rsidRDefault="0081564E" w:rsidP="00B64B56">
            <w:pPr>
              <w:pStyle w:val="121"/>
              <w:widowControl/>
              <w:suppressAutoHyphens/>
              <w:topLinePunct/>
              <w:autoSpaceDE/>
              <w:autoSpaceDN/>
              <w:jc w:val="right"/>
              <w:textAlignment w:val="center"/>
              <w:rPr>
                <w:rFonts w:hAnsi="標楷體"/>
              </w:rPr>
            </w:pPr>
            <w:r w:rsidRPr="00715E34">
              <w:rPr>
                <w:rFonts w:hAnsi="標楷體"/>
              </w:rPr>
              <w:t>99年1月至6月</w:t>
            </w:r>
          </w:p>
        </w:tc>
        <w:tc>
          <w:tcPr>
            <w:tcW w:w="1164" w:type="dxa"/>
          </w:tcPr>
          <w:p w:rsidR="0081564E" w:rsidRPr="00715E34" w:rsidRDefault="0081564E" w:rsidP="00B64B56">
            <w:pPr>
              <w:pStyle w:val="121"/>
              <w:widowControl/>
              <w:suppressAutoHyphens/>
              <w:topLinePunct/>
              <w:autoSpaceDE/>
              <w:autoSpaceDN/>
              <w:jc w:val="right"/>
              <w:textAlignment w:val="center"/>
              <w:rPr>
                <w:rFonts w:hAnsi="標楷體"/>
              </w:rPr>
            </w:pPr>
            <w:r w:rsidRPr="00715E34">
              <w:rPr>
                <w:rFonts w:hAnsi="標楷體"/>
              </w:rPr>
              <w:t>3,084</w:t>
            </w:r>
          </w:p>
        </w:tc>
        <w:tc>
          <w:tcPr>
            <w:tcW w:w="1701" w:type="dxa"/>
            <w:vAlign w:val="center"/>
          </w:tcPr>
          <w:p w:rsidR="0081564E" w:rsidRPr="00715E34" w:rsidRDefault="0081564E" w:rsidP="00B64B56">
            <w:pPr>
              <w:topLinePunct/>
              <w:snapToGrid w:val="0"/>
              <w:spacing w:line="300" w:lineRule="exact"/>
              <w:jc w:val="right"/>
              <w:rPr>
                <w:rFonts w:hAnsi="標楷體"/>
                <w:snapToGrid w:val="0"/>
                <w:spacing w:val="-14"/>
                <w:kern w:val="0"/>
                <w:sz w:val="24"/>
                <w:szCs w:val="24"/>
              </w:rPr>
            </w:pPr>
            <w:r w:rsidRPr="00715E34">
              <w:rPr>
                <w:rFonts w:hAnsi="標楷體"/>
                <w:snapToGrid w:val="0"/>
                <w:spacing w:val="-14"/>
                <w:kern w:val="0"/>
                <w:sz w:val="24"/>
                <w:szCs w:val="24"/>
              </w:rPr>
              <w:t>514</w:t>
            </w:r>
          </w:p>
        </w:tc>
        <w:tc>
          <w:tcPr>
            <w:tcW w:w="1134" w:type="dxa"/>
          </w:tcPr>
          <w:p w:rsidR="0081564E" w:rsidRPr="00715E34" w:rsidRDefault="0081564E" w:rsidP="00B64B56">
            <w:pPr>
              <w:pStyle w:val="121"/>
              <w:widowControl/>
              <w:suppressAutoHyphens/>
              <w:topLinePunct/>
              <w:autoSpaceDE/>
              <w:autoSpaceDN/>
              <w:jc w:val="right"/>
              <w:textAlignment w:val="center"/>
              <w:rPr>
                <w:rFonts w:hAnsi="標楷體"/>
              </w:rPr>
            </w:pPr>
            <w:r w:rsidRPr="00715E34">
              <w:rPr>
                <w:rFonts w:hAnsi="標楷體"/>
              </w:rPr>
              <w:t>3,782</w:t>
            </w:r>
          </w:p>
        </w:tc>
      </w:tr>
      <w:tr w:rsidR="0081564E" w:rsidRPr="00715E34" w:rsidTr="00FF0913">
        <w:tc>
          <w:tcPr>
            <w:tcW w:w="1229" w:type="dxa"/>
            <w:vMerge/>
            <w:vAlign w:val="center"/>
          </w:tcPr>
          <w:p w:rsidR="0081564E" w:rsidRPr="00715E34" w:rsidRDefault="0081564E" w:rsidP="00B64B56">
            <w:pPr>
              <w:pStyle w:val="121"/>
              <w:widowControl/>
              <w:suppressAutoHyphens/>
              <w:topLinePunct/>
              <w:autoSpaceDE/>
              <w:autoSpaceDN/>
              <w:jc w:val="center"/>
              <w:textAlignment w:val="center"/>
              <w:rPr>
                <w:rFonts w:hAnsi="標楷體"/>
              </w:rPr>
            </w:pPr>
          </w:p>
        </w:tc>
        <w:tc>
          <w:tcPr>
            <w:tcW w:w="1621" w:type="dxa"/>
          </w:tcPr>
          <w:p w:rsidR="0081564E" w:rsidRPr="00715E34" w:rsidRDefault="0081564E" w:rsidP="00B64B56">
            <w:pPr>
              <w:pStyle w:val="121"/>
              <w:widowControl/>
              <w:suppressAutoHyphens/>
              <w:topLinePunct/>
              <w:autoSpaceDE/>
              <w:autoSpaceDN/>
              <w:jc w:val="right"/>
              <w:textAlignment w:val="center"/>
              <w:rPr>
                <w:rFonts w:hAnsi="標楷體"/>
              </w:rPr>
            </w:pPr>
            <w:r w:rsidRPr="00715E34">
              <w:rPr>
                <w:rFonts w:hAnsi="標楷體"/>
              </w:rPr>
              <w:t>104年2月至6月</w:t>
            </w:r>
          </w:p>
        </w:tc>
        <w:tc>
          <w:tcPr>
            <w:tcW w:w="1164" w:type="dxa"/>
          </w:tcPr>
          <w:p w:rsidR="0081564E" w:rsidRPr="00715E34" w:rsidRDefault="0081564E" w:rsidP="00B64B56">
            <w:pPr>
              <w:pStyle w:val="121"/>
              <w:widowControl/>
              <w:suppressAutoHyphens/>
              <w:topLinePunct/>
              <w:autoSpaceDE/>
              <w:autoSpaceDN/>
              <w:jc w:val="right"/>
              <w:textAlignment w:val="center"/>
              <w:rPr>
                <w:rFonts w:hAnsi="標楷體"/>
              </w:rPr>
            </w:pPr>
            <w:r w:rsidRPr="00715E34">
              <w:rPr>
                <w:rFonts w:hAnsi="標楷體"/>
              </w:rPr>
              <w:t>1,982</w:t>
            </w:r>
          </w:p>
        </w:tc>
        <w:tc>
          <w:tcPr>
            <w:tcW w:w="1701" w:type="dxa"/>
            <w:vAlign w:val="center"/>
          </w:tcPr>
          <w:p w:rsidR="0081564E" w:rsidRPr="00715E34" w:rsidRDefault="0081564E" w:rsidP="00B64B56">
            <w:pPr>
              <w:topLinePunct/>
              <w:snapToGrid w:val="0"/>
              <w:spacing w:line="300" w:lineRule="exact"/>
              <w:jc w:val="right"/>
              <w:rPr>
                <w:rFonts w:hAnsi="標楷體"/>
                <w:snapToGrid w:val="0"/>
                <w:spacing w:val="-14"/>
                <w:kern w:val="0"/>
                <w:sz w:val="24"/>
                <w:szCs w:val="24"/>
              </w:rPr>
            </w:pPr>
            <w:r w:rsidRPr="00715E34">
              <w:rPr>
                <w:rFonts w:hAnsi="標楷體"/>
                <w:snapToGrid w:val="0"/>
                <w:spacing w:val="-14"/>
                <w:kern w:val="0"/>
                <w:sz w:val="24"/>
                <w:szCs w:val="24"/>
              </w:rPr>
              <w:t>396</w:t>
            </w:r>
          </w:p>
        </w:tc>
        <w:tc>
          <w:tcPr>
            <w:tcW w:w="1134" w:type="dxa"/>
          </w:tcPr>
          <w:p w:rsidR="0081564E" w:rsidRPr="00715E34" w:rsidRDefault="0081564E" w:rsidP="00B64B56">
            <w:pPr>
              <w:pStyle w:val="121"/>
              <w:widowControl/>
              <w:suppressAutoHyphens/>
              <w:topLinePunct/>
              <w:autoSpaceDE/>
              <w:autoSpaceDN/>
              <w:jc w:val="right"/>
              <w:textAlignment w:val="center"/>
              <w:rPr>
                <w:rFonts w:hAnsi="標楷體"/>
              </w:rPr>
            </w:pPr>
            <w:r w:rsidRPr="00715E34">
              <w:rPr>
                <w:rFonts w:hAnsi="標楷體"/>
              </w:rPr>
              <w:t>3,973</w:t>
            </w:r>
          </w:p>
        </w:tc>
      </w:tr>
      <w:tr w:rsidR="0081564E" w:rsidRPr="00715E34" w:rsidTr="00FF0913">
        <w:tc>
          <w:tcPr>
            <w:tcW w:w="1229" w:type="dxa"/>
            <w:vMerge/>
            <w:vAlign w:val="center"/>
          </w:tcPr>
          <w:p w:rsidR="0081564E" w:rsidRPr="00715E34" w:rsidRDefault="0081564E" w:rsidP="00B64B56">
            <w:pPr>
              <w:pStyle w:val="121"/>
              <w:widowControl/>
              <w:suppressAutoHyphens/>
              <w:topLinePunct/>
              <w:autoSpaceDE/>
              <w:autoSpaceDN/>
              <w:jc w:val="center"/>
              <w:textAlignment w:val="center"/>
              <w:rPr>
                <w:rFonts w:hAnsi="標楷體"/>
              </w:rPr>
            </w:pPr>
          </w:p>
        </w:tc>
        <w:tc>
          <w:tcPr>
            <w:tcW w:w="4486" w:type="dxa"/>
            <w:gridSpan w:val="3"/>
          </w:tcPr>
          <w:p w:rsidR="0081564E" w:rsidRPr="00715E34" w:rsidRDefault="0081564E" w:rsidP="00B64B56">
            <w:pPr>
              <w:pStyle w:val="121"/>
              <w:widowControl/>
              <w:suppressAutoHyphens/>
              <w:topLinePunct/>
              <w:autoSpaceDE/>
              <w:autoSpaceDN/>
              <w:jc w:val="right"/>
              <w:textAlignment w:val="center"/>
              <w:rPr>
                <w:rFonts w:hAnsi="標楷體"/>
              </w:rPr>
            </w:pPr>
            <w:r w:rsidRPr="00715E34">
              <w:rPr>
                <w:rFonts w:hAnsi="標楷體"/>
              </w:rPr>
              <w:t>小　　計</w:t>
            </w:r>
          </w:p>
        </w:tc>
        <w:tc>
          <w:tcPr>
            <w:tcW w:w="1134" w:type="dxa"/>
            <w:vAlign w:val="center"/>
          </w:tcPr>
          <w:p w:rsidR="0081564E" w:rsidRPr="00715E34" w:rsidRDefault="0081564E" w:rsidP="00B64B56">
            <w:pPr>
              <w:pStyle w:val="121"/>
              <w:widowControl/>
              <w:suppressAutoHyphens/>
              <w:topLinePunct/>
              <w:autoSpaceDE/>
              <w:autoSpaceDN/>
              <w:jc w:val="right"/>
              <w:textAlignment w:val="center"/>
              <w:rPr>
                <w:rFonts w:hAnsi="標楷體"/>
              </w:rPr>
            </w:pPr>
            <w:r w:rsidRPr="00715E34">
              <w:rPr>
                <w:rFonts w:hAnsi="標楷體"/>
              </w:rPr>
              <w:t>7,755</w:t>
            </w:r>
          </w:p>
        </w:tc>
      </w:tr>
      <w:tr w:rsidR="0081564E" w:rsidRPr="00715E34" w:rsidTr="00FF0913">
        <w:tc>
          <w:tcPr>
            <w:tcW w:w="1229" w:type="dxa"/>
            <w:vMerge w:val="restart"/>
            <w:vAlign w:val="center"/>
          </w:tcPr>
          <w:p w:rsidR="0081564E" w:rsidRPr="00715E34" w:rsidRDefault="0081564E" w:rsidP="00B64B56">
            <w:pPr>
              <w:pStyle w:val="121"/>
              <w:widowControl/>
              <w:suppressAutoHyphens/>
              <w:topLinePunct/>
              <w:autoSpaceDE/>
              <w:autoSpaceDN/>
              <w:jc w:val="center"/>
              <w:textAlignment w:val="center"/>
              <w:rPr>
                <w:rFonts w:hAnsi="標楷體"/>
              </w:rPr>
            </w:pPr>
            <w:r w:rsidRPr="00715E34">
              <w:rPr>
                <w:rFonts w:hAnsi="標楷體"/>
              </w:rPr>
              <w:t>金門水廠</w:t>
            </w:r>
          </w:p>
        </w:tc>
        <w:tc>
          <w:tcPr>
            <w:tcW w:w="1621" w:type="dxa"/>
          </w:tcPr>
          <w:p w:rsidR="0081564E" w:rsidRPr="00715E34" w:rsidRDefault="0081564E" w:rsidP="00B64B56">
            <w:pPr>
              <w:pStyle w:val="121"/>
              <w:widowControl/>
              <w:suppressAutoHyphens/>
              <w:topLinePunct/>
              <w:autoSpaceDE/>
              <w:autoSpaceDN/>
              <w:jc w:val="right"/>
              <w:textAlignment w:val="center"/>
              <w:rPr>
                <w:rFonts w:hAnsi="標楷體"/>
              </w:rPr>
            </w:pPr>
            <w:r w:rsidRPr="00715E34">
              <w:rPr>
                <w:rFonts w:hAnsi="標楷體"/>
              </w:rPr>
              <w:t>99年1月至6月</w:t>
            </w:r>
          </w:p>
        </w:tc>
        <w:tc>
          <w:tcPr>
            <w:tcW w:w="1164" w:type="dxa"/>
          </w:tcPr>
          <w:p w:rsidR="0081564E" w:rsidRPr="00715E34" w:rsidRDefault="0081564E" w:rsidP="00B64B56">
            <w:pPr>
              <w:pStyle w:val="121"/>
              <w:widowControl/>
              <w:suppressAutoHyphens/>
              <w:topLinePunct/>
              <w:autoSpaceDE/>
              <w:autoSpaceDN/>
              <w:jc w:val="right"/>
              <w:textAlignment w:val="center"/>
              <w:rPr>
                <w:rFonts w:hAnsi="標楷體"/>
              </w:rPr>
            </w:pPr>
            <w:r w:rsidRPr="00715E34">
              <w:rPr>
                <w:rFonts w:hAnsi="標楷體"/>
              </w:rPr>
              <w:t>20</w:t>
            </w:r>
          </w:p>
        </w:tc>
        <w:tc>
          <w:tcPr>
            <w:tcW w:w="1701" w:type="dxa"/>
            <w:vAlign w:val="center"/>
          </w:tcPr>
          <w:p w:rsidR="0081564E" w:rsidRPr="00715E34" w:rsidRDefault="0081564E" w:rsidP="00B64B56">
            <w:pPr>
              <w:topLinePunct/>
              <w:snapToGrid w:val="0"/>
              <w:spacing w:line="300" w:lineRule="exact"/>
              <w:jc w:val="right"/>
              <w:rPr>
                <w:rFonts w:hAnsi="標楷體"/>
                <w:snapToGrid w:val="0"/>
                <w:spacing w:val="-14"/>
                <w:kern w:val="0"/>
                <w:sz w:val="24"/>
                <w:szCs w:val="24"/>
              </w:rPr>
            </w:pPr>
            <w:r w:rsidRPr="00715E34">
              <w:rPr>
                <w:rFonts w:hAnsi="標楷體"/>
                <w:snapToGrid w:val="0"/>
                <w:spacing w:val="-14"/>
                <w:kern w:val="0"/>
                <w:sz w:val="24"/>
                <w:szCs w:val="24"/>
              </w:rPr>
              <w:t>3</w:t>
            </w:r>
          </w:p>
        </w:tc>
        <w:tc>
          <w:tcPr>
            <w:tcW w:w="1134" w:type="dxa"/>
          </w:tcPr>
          <w:p w:rsidR="0081564E" w:rsidRPr="00715E34" w:rsidRDefault="0081564E" w:rsidP="00B64B56">
            <w:pPr>
              <w:pStyle w:val="121"/>
              <w:widowControl/>
              <w:suppressAutoHyphens/>
              <w:topLinePunct/>
              <w:autoSpaceDE/>
              <w:autoSpaceDN/>
              <w:jc w:val="right"/>
              <w:textAlignment w:val="center"/>
              <w:rPr>
                <w:rFonts w:hAnsi="標楷體"/>
              </w:rPr>
            </w:pPr>
            <w:r w:rsidRPr="00715E34">
              <w:rPr>
                <w:rFonts w:hAnsi="標楷體"/>
              </w:rPr>
              <w:t>32</w:t>
            </w:r>
          </w:p>
        </w:tc>
      </w:tr>
      <w:tr w:rsidR="0081564E" w:rsidRPr="00715E34" w:rsidTr="00FF0913">
        <w:tc>
          <w:tcPr>
            <w:tcW w:w="1229" w:type="dxa"/>
            <w:vMerge/>
            <w:vAlign w:val="center"/>
          </w:tcPr>
          <w:p w:rsidR="0081564E" w:rsidRPr="00715E34" w:rsidRDefault="0081564E" w:rsidP="00B64B56">
            <w:pPr>
              <w:pStyle w:val="121"/>
              <w:widowControl/>
              <w:suppressAutoHyphens/>
              <w:topLinePunct/>
              <w:autoSpaceDE/>
              <w:autoSpaceDN/>
              <w:jc w:val="center"/>
              <w:textAlignment w:val="center"/>
              <w:rPr>
                <w:rFonts w:hAnsi="標楷體"/>
              </w:rPr>
            </w:pPr>
          </w:p>
        </w:tc>
        <w:tc>
          <w:tcPr>
            <w:tcW w:w="1621" w:type="dxa"/>
          </w:tcPr>
          <w:p w:rsidR="0081564E" w:rsidRPr="00715E34" w:rsidRDefault="0081564E" w:rsidP="00B64B56">
            <w:pPr>
              <w:pStyle w:val="121"/>
              <w:widowControl/>
              <w:suppressAutoHyphens/>
              <w:topLinePunct/>
              <w:autoSpaceDE/>
              <w:autoSpaceDN/>
              <w:jc w:val="right"/>
              <w:textAlignment w:val="center"/>
              <w:rPr>
                <w:rFonts w:hAnsi="標楷體"/>
              </w:rPr>
            </w:pPr>
            <w:r w:rsidRPr="00715E34">
              <w:rPr>
                <w:rFonts w:hAnsi="標楷體"/>
              </w:rPr>
              <w:t>104年4月至7月</w:t>
            </w:r>
          </w:p>
        </w:tc>
        <w:tc>
          <w:tcPr>
            <w:tcW w:w="1164" w:type="dxa"/>
          </w:tcPr>
          <w:p w:rsidR="0081564E" w:rsidRPr="00715E34" w:rsidRDefault="0081564E" w:rsidP="00B64B56">
            <w:pPr>
              <w:pStyle w:val="121"/>
              <w:widowControl/>
              <w:suppressAutoHyphens/>
              <w:topLinePunct/>
              <w:autoSpaceDE/>
              <w:autoSpaceDN/>
              <w:jc w:val="right"/>
              <w:textAlignment w:val="center"/>
              <w:rPr>
                <w:rFonts w:hAnsi="標楷體"/>
              </w:rPr>
            </w:pPr>
            <w:r w:rsidRPr="00715E34">
              <w:rPr>
                <w:rFonts w:hAnsi="標楷體"/>
              </w:rPr>
              <w:t>19</w:t>
            </w:r>
          </w:p>
        </w:tc>
        <w:tc>
          <w:tcPr>
            <w:tcW w:w="1701" w:type="dxa"/>
            <w:vAlign w:val="center"/>
          </w:tcPr>
          <w:p w:rsidR="0081564E" w:rsidRPr="00715E34" w:rsidRDefault="0081564E" w:rsidP="00B64B56">
            <w:pPr>
              <w:topLinePunct/>
              <w:snapToGrid w:val="0"/>
              <w:spacing w:line="300" w:lineRule="exact"/>
              <w:jc w:val="right"/>
              <w:rPr>
                <w:rFonts w:hAnsi="標楷體"/>
                <w:snapToGrid w:val="0"/>
                <w:spacing w:val="-14"/>
                <w:kern w:val="0"/>
                <w:sz w:val="24"/>
                <w:szCs w:val="24"/>
              </w:rPr>
            </w:pPr>
            <w:r w:rsidRPr="00715E34">
              <w:rPr>
                <w:rFonts w:hAnsi="標楷體"/>
                <w:snapToGrid w:val="0"/>
                <w:spacing w:val="-14"/>
                <w:kern w:val="0"/>
                <w:sz w:val="24"/>
                <w:szCs w:val="24"/>
              </w:rPr>
              <w:t>4</w:t>
            </w:r>
          </w:p>
        </w:tc>
        <w:tc>
          <w:tcPr>
            <w:tcW w:w="1134" w:type="dxa"/>
          </w:tcPr>
          <w:p w:rsidR="0081564E" w:rsidRPr="00715E34" w:rsidRDefault="0081564E" w:rsidP="00B64B56">
            <w:pPr>
              <w:pStyle w:val="121"/>
              <w:widowControl/>
              <w:suppressAutoHyphens/>
              <w:topLinePunct/>
              <w:autoSpaceDE/>
              <w:autoSpaceDN/>
              <w:jc w:val="right"/>
              <w:textAlignment w:val="center"/>
              <w:rPr>
                <w:rFonts w:hAnsi="標楷體"/>
              </w:rPr>
            </w:pPr>
            <w:r w:rsidRPr="00715E34">
              <w:rPr>
                <w:rFonts w:hAnsi="標楷體"/>
              </w:rPr>
              <w:t>44</w:t>
            </w:r>
          </w:p>
        </w:tc>
      </w:tr>
      <w:tr w:rsidR="0081564E" w:rsidRPr="00715E34" w:rsidTr="00FF0913">
        <w:tc>
          <w:tcPr>
            <w:tcW w:w="1229" w:type="dxa"/>
            <w:vMerge/>
            <w:vAlign w:val="center"/>
          </w:tcPr>
          <w:p w:rsidR="0081564E" w:rsidRPr="00715E34" w:rsidRDefault="0081564E" w:rsidP="00B64B56">
            <w:pPr>
              <w:pStyle w:val="121"/>
              <w:widowControl/>
              <w:suppressAutoHyphens/>
              <w:topLinePunct/>
              <w:autoSpaceDE/>
              <w:autoSpaceDN/>
              <w:jc w:val="center"/>
              <w:textAlignment w:val="center"/>
              <w:rPr>
                <w:rFonts w:hAnsi="標楷體"/>
              </w:rPr>
            </w:pPr>
          </w:p>
        </w:tc>
        <w:tc>
          <w:tcPr>
            <w:tcW w:w="4486" w:type="dxa"/>
            <w:gridSpan w:val="3"/>
          </w:tcPr>
          <w:p w:rsidR="0081564E" w:rsidRPr="00715E34" w:rsidRDefault="0081564E" w:rsidP="00B64B56">
            <w:pPr>
              <w:pStyle w:val="121"/>
              <w:widowControl/>
              <w:suppressAutoHyphens/>
              <w:topLinePunct/>
              <w:autoSpaceDE/>
              <w:autoSpaceDN/>
              <w:jc w:val="right"/>
              <w:textAlignment w:val="center"/>
              <w:rPr>
                <w:rFonts w:hAnsi="標楷體"/>
              </w:rPr>
            </w:pPr>
            <w:r w:rsidRPr="00715E34">
              <w:rPr>
                <w:rFonts w:hAnsi="標楷體"/>
              </w:rPr>
              <w:t>小　　計</w:t>
            </w:r>
          </w:p>
        </w:tc>
        <w:tc>
          <w:tcPr>
            <w:tcW w:w="1134" w:type="dxa"/>
            <w:vAlign w:val="center"/>
          </w:tcPr>
          <w:p w:rsidR="0081564E" w:rsidRPr="00715E34" w:rsidRDefault="0081564E" w:rsidP="00B64B56">
            <w:pPr>
              <w:pStyle w:val="121"/>
              <w:widowControl/>
              <w:suppressAutoHyphens/>
              <w:topLinePunct/>
              <w:autoSpaceDE/>
              <w:autoSpaceDN/>
              <w:jc w:val="right"/>
              <w:textAlignment w:val="center"/>
              <w:rPr>
                <w:rFonts w:hAnsi="標楷體"/>
              </w:rPr>
            </w:pPr>
            <w:r w:rsidRPr="00715E34">
              <w:rPr>
                <w:rFonts w:hAnsi="標楷體"/>
              </w:rPr>
              <w:t>76</w:t>
            </w:r>
          </w:p>
        </w:tc>
      </w:tr>
      <w:tr w:rsidR="0081564E" w:rsidRPr="00715E34" w:rsidTr="00FF0913">
        <w:tc>
          <w:tcPr>
            <w:tcW w:w="1229" w:type="dxa"/>
            <w:vAlign w:val="center"/>
          </w:tcPr>
          <w:p w:rsidR="0081564E" w:rsidRPr="00715E34" w:rsidRDefault="0081564E" w:rsidP="00B64B56">
            <w:pPr>
              <w:pStyle w:val="121"/>
              <w:widowControl/>
              <w:suppressAutoHyphens/>
              <w:topLinePunct/>
              <w:autoSpaceDE/>
              <w:autoSpaceDN/>
              <w:jc w:val="center"/>
              <w:textAlignment w:val="center"/>
              <w:rPr>
                <w:rFonts w:hAnsi="標楷體"/>
              </w:rPr>
            </w:pPr>
            <w:r w:rsidRPr="00715E34">
              <w:rPr>
                <w:rFonts w:hAnsi="標楷體"/>
              </w:rPr>
              <w:t>連江水廠</w:t>
            </w:r>
          </w:p>
        </w:tc>
        <w:tc>
          <w:tcPr>
            <w:tcW w:w="1621" w:type="dxa"/>
          </w:tcPr>
          <w:p w:rsidR="0081564E" w:rsidRPr="00715E34" w:rsidRDefault="0081564E" w:rsidP="00B64B56">
            <w:pPr>
              <w:pStyle w:val="121"/>
              <w:widowControl/>
              <w:suppressAutoHyphens/>
              <w:topLinePunct/>
              <w:autoSpaceDE/>
              <w:autoSpaceDN/>
              <w:jc w:val="right"/>
              <w:textAlignment w:val="center"/>
              <w:rPr>
                <w:rFonts w:hAnsi="標楷體"/>
              </w:rPr>
            </w:pPr>
            <w:r w:rsidRPr="00715E34">
              <w:rPr>
                <w:rFonts w:hAnsi="標楷體"/>
              </w:rPr>
              <w:t>99年1月至6月</w:t>
            </w:r>
          </w:p>
        </w:tc>
        <w:tc>
          <w:tcPr>
            <w:tcW w:w="1164" w:type="dxa"/>
          </w:tcPr>
          <w:p w:rsidR="0081564E" w:rsidRPr="00715E34" w:rsidRDefault="0081564E" w:rsidP="00B64B56">
            <w:pPr>
              <w:pStyle w:val="121"/>
              <w:widowControl/>
              <w:suppressAutoHyphens/>
              <w:topLinePunct/>
              <w:autoSpaceDE/>
              <w:autoSpaceDN/>
              <w:jc w:val="right"/>
              <w:textAlignment w:val="center"/>
              <w:rPr>
                <w:rFonts w:hAnsi="標楷體"/>
              </w:rPr>
            </w:pPr>
            <w:r w:rsidRPr="00715E34">
              <w:rPr>
                <w:rFonts w:hAnsi="標楷體"/>
              </w:rPr>
              <w:t>5</w:t>
            </w:r>
          </w:p>
        </w:tc>
        <w:tc>
          <w:tcPr>
            <w:tcW w:w="1701" w:type="dxa"/>
          </w:tcPr>
          <w:p w:rsidR="0081564E" w:rsidRPr="00715E34" w:rsidRDefault="0081564E" w:rsidP="00B64B56">
            <w:pPr>
              <w:pStyle w:val="121"/>
              <w:widowControl/>
              <w:suppressAutoHyphens/>
              <w:topLinePunct/>
              <w:autoSpaceDE/>
              <w:autoSpaceDN/>
              <w:jc w:val="right"/>
              <w:textAlignment w:val="center"/>
              <w:rPr>
                <w:rFonts w:hAnsi="標楷體"/>
              </w:rPr>
            </w:pPr>
            <w:r w:rsidRPr="00715E34">
              <w:rPr>
                <w:rFonts w:hAnsi="標楷體"/>
              </w:rPr>
              <w:t>0.83</w:t>
            </w:r>
          </w:p>
        </w:tc>
        <w:tc>
          <w:tcPr>
            <w:tcW w:w="1134" w:type="dxa"/>
          </w:tcPr>
          <w:p w:rsidR="0081564E" w:rsidRPr="00715E34" w:rsidRDefault="0081564E" w:rsidP="00B64B56">
            <w:pPr>
              <w:pStyle w:val="121"/>
              <w:widowControl/>
              <w:suppressAutoHyphens/>
              <w:topLinePunct/>
              <w:autoSpaceDE/>
              <w:autoSpaceDN/>
              <w:jc w:val="right"/>
              <w:textAlignment w:val="center"/>
              <w:rPr>
                <w:rFonts w:hAnsi="標楷體"/>
              </w:rPr>
            </w:pPr>
            <w:r w:rsidRPr="00715E34">
              <w:rPr>
                <w:rFonts w:hAnsi="標楷體"/>
              </w:rPr>
              <w:t>6</w:t>
            </w:r>
          </w:p>
        </w:tc>
      </w:tr>
      <w:tr w:rsidR="0081564E" w:rsidRPr="00715E34" w:rsidTr="00FF0913">
        <w:tc>
          <w:tcPr>
            <w:tcW w:w="5715" w:type="dxa"/>
            <w:gridSpan w:val="4"/>
            <w:vAlign w:val="center"/>
          </w:tcPr>
          <w:p w:rsidR="0081564E" w:rsidRPr="00715E34" w:rsidRDefault="0081564E" w:rsidP="00B64B56">
            <w:pPr>
              <w:pStyle w:val="121"/>
              <w:widowControl/>
              <w:suppressAutoHyphens/>
              <w:topLinePunct/>
              <w:autoSpaceDE/>
              <w:autoSpaceDN/>
              <w:jc w:val="center"/>
              <w:textAlignment w:val="center"/>
              <w:rPr>
                <w:rFonts w:hAnsi="標楷體"/>
              </w:rPr>
            </w:pPr>
            <w:r w:rsidRPr="00715E34">
              <w:rPr>
                <w:rFonts w:hAnsi="標楷體"/>
              </w:rPr>
              <w:t>合　　計</w:t>
            </w:r>
          </w:p>
        </w:tc>
        <w:tc>
          <w:tcPr>
            <w:tcW w:w="1134" w:type="dxa"/>
            <w:vAlign w:val="center"/>
          </w:tcPr>
          <w:p w:rsidR="0081564E" w:rsidRPr="00715E34" w:rsidRDefault="0081564E" w:rsidP="00B64B56">
            <w:pPr>
              <w:pStyle w:val="121"/>
              <w:widowControl/>
              <w:suppressAutoHyphens/>
              <w:topLinePunct/>
              <w:autoSpaceDE/>
              <w:autoSpaceDN/>
              <w:jc w:val="right"/>
              <w:textAlignment w:val="center"/>
              <w:rPr>
                <w:rFonts w:hAnsi="標楷體"/>
              </w:rPr>
            </w:pPr>
            <w:r w:rsidRPr="00715E34">
              <w:rPr>
                <w:rFonts w:hAnsi="標楷體"/>
              </w:rPr>
              <w:t>42,165</w:t>
            </w:r>
          </w:p>
        </w:tc>
      </w:tr>
    </w:tbl>
    <w:p w:rsidR="0081564E" w:rsidRPr="00715E34" w:rsidRDefault="0081564E" w:rsidP="00292D32">
      <w:pPr>
        <w:tabs>
          <w:tab w:val="center" w:pos="5071"/>
        </w:tabs>
        <w:spacing w:after="240"/>
        <w:ind w:leftChars="382" w:left="1299"/>
      </w:pPr>
      <w:r w:rsidRPr="00715E34">
        <w:rPr>
          <w:rFonts w:hAnsi="標楷體"/>
          <w:sz w:val="24"/>
          <w:szCs w:val="24"/>
        </w:rPr>
        <w:t>資料來源：經濟部</w:t>
      </w:r>
    </w:p>
    <w:p w:rsidR="009D065A" w:rsidRPr="00715E34" w:rsidRDefault="009D065A" w:rsidP="0081564E">
      <w:pPr>
        <w:pStyle w:val="3"/>
        <w:topLinePunct/>
        <w:autoSpaceDE/>
        <w:autoSpaceDN/>
        <w:ind w:left="1360" w:hanging="680"/>
        <w:rPr>
          <w:rFonts w:hAnsi="標楷體"/>
        </w:rPr>
      </w:pPr>
      <w:r w:rsidRPr="00715E34">
        <w:rPr>
          <w:rFonts w:hAnsi="標楷體"/>
        </w:rPr>
        <w:t>另據台水公司查復，</w:t>
      </w:r>
      <w:r w:rsidR="00E07E7E">
        <w:rPr>
          <w:rFonts w:hAnsi="標楷體" w:hint="eastAsia"/>
        </w:rPr>
        <w:t>上</w:t>
      </w:r>
      <w:r w:rsidRPr="00715E34">
        <w:rPr>
          <w:rFonts w:hAnsi="標楷體"/>
        </w:rPr>
        <w:t>表所列節水獎勵所減收3億4,328萬元水費收入，全由經濟部水資源作業基金予以補貼。惟查，水資源作業基金之設置用途，按水利法第89條之1第1項規定之立法理由，係為達成「以河養河」之目的，授權經濟部成立該基金辦理水庫、海堤、河川及排水設施之管理、疏濬、災害搶修搶險、相關人才培訓及回饋措施。然而，民眾節約用水與達成「以河養河」之目的，尚難認有直接關聯，經濟部恣以水資源作業基金補助自來水事業辦理節水獎勵措施，容非適法。</w:t>
      </w:r>
    </w:p>
    <w:p w:rsidR="009D065A" w:rsidRPr="00715E34" w:rsidRDefault="009D065A" w:rsidP="00232C83">
      <w:pPr>
        <w:pStyle w:val="3"/>
        <w:topLinePunct/>
        <w:autoSpaceDE/>
        <w:autoSpaceDN/>
        <w:ind w:left="1360" w:hanging="680"/>
        <w:rPr>
          <w:rFonts w:hAnsi="標楷體"/>
        </w:rPr>
      </w:pPr>
      <w:r w:rsidRPr="00715E34">
        <w:rPr>
          <w:rFonts w:hAnsi="標楷體"/>
        </w:rPr>
        <w:t>盱衡售水收入為自來水事業之主要收入來源，台水公司在水價</w:t>
      </w:r>
      <w:r w:rsidRPr="00715E34">
        <w:rPr>
          <w:rFonts w:hAnsi="標楷體" w:hint="eastAsia"/>
        </w:rPr>
        <w:t>長期</w:t>
      </w:r>
      <w:r w:rsidRPr="00715E34">
        <w:rPr>
          <w:rFonts w:hAnsi="標楷體"/>
        </w:rPr>
        <w:t>無法合理調整下，94年至103年給水投資報酬率平均約-0.24%，售水收入已不敷供水成本。本院諮詢梁董事長</w:t>
      </w:r>
      <w:r w:rsidR="00A47126">
        <w:rPr>
          <w:rFonts w:hAnsi="標楷體"/>
        </w:rPr>
        <w:t>○○</w:t>
      </w:r>
      <w:r w:rsidRPr="00715E34">
        <w:rPr>
          <w:rFonts w:hAnsi="標楷體"/>
        </w:rPr>
        <w:t>指出：「節水折扣的前提要水價合理化，水價要充分反映成本，才能提供誘因獎勵節水。水公司已發生虧損，在水價沒有合理化的情況，不應該提供節水折扣。」</w:t>
      </w:r>
      <w:r w:rsidRPr="00715E34">
        <w:rPr>
          <w:rFonts w:hAnsi="標楷體"/>
          <w:lang w:eastAsia="zh-HK"/>
        </w:rPr>
        <w:t>復查，</w:t>
      </w:r>
      <w:r w:rsidRPr="00715E34">
        <w:rPr>
          <w:rFonts w:hAnsi="標楷體" w:hint="eastAsia"/>
          <w:lang w:eastAsia="zh-HK"/>
        </w:rPr>
        <w:t>99年上半年</w:t>
      </w:r>
      <w:r w:rsidRPr="00715E34">
        <w:rPr>
          <w:rFonts w:hAnsi="標楷體" w:hint="eastAsia"/>
        </w:rPr>
        <w:t>之總</w:t>
      </w:r>
      <w:r w:rsidRPr="00715E34">
        <w:rPr>
          <w:rFonts w:hAnsi="標楷體"/>
          <w:lang w:eastAsia="zh-HK"/>
        </w:rPr>
        <w:t>售水量</w:t>
      </w:r>
      <w:r w:rsidRPr="00715E34">
        <w:rPr>
          <w:rFonts w:hAnsi="標楷體" w:hint="eastAsia"/>
        </w:rPr>
        <w:t>與</w:t>
      </w:r>
      <w:r w:rsidRPr="00715E34">
        <w:rPr>
          <w:rFonts w:hAnsi="標楷體" w:hint="eastAsia"/>
          <w:lang w:eastAsia="zh-HK"/>
        </w:rPr>
        <w:t>98年同期</w:t>
      </w:r>
      <w:r w:rsidRPr="00715E34">
        <w:rPr>
          <w:rFonts w:hAnsi="標楷體" w:hint="eastAsia"/>
        </w:rPr>
        <w:t>比較，</w:t>
      </w:r>
      <w:r w:rsidRPr="00715E34">
        <w:rPr>
          <w:rFonts w:hAnsi="標楷體"/>
          <w:lang w:eastAsia="zh-HK"/>
        </w:rPr>
        <w:t>台水公司</w:t>
      </w:r>
      <w:r w:rsidRPr="00715E34">
        <w:rPr>
          <w:rFonts w:hAnsi="標楷體" w:hint="eastAsia"/>
          <w:lang w:eastAsia="zh-HK"/>
        </w:rPr>
        <w:t>增加5,896萬度，金門水廠則成長</w:t>
      </w:r>
      <w:r w:rsidRPr="00715E34">
        <w:rPr>
          <w:rFonts w:hAnsi="標楷體"/>
          <w:lang w:eastAsia="zh-HK"/>
        </w:rPr>
        <w:t>5</w:t>
      </w:r>
      <w:r w:rsidRPr="00715E34">
        <w:rPr>
          <w:rFonts w:hAnsi="標楷體" w:hint="eastAsia"/>
          <w:lang w:eastAsia="zh-HK"/>
        </w:rPr>
        <w:t>萬3,840度，</w:t>
      </w:r>
      <w:r w:rsidRPr="00715E34">
        <w:rPr>
          <w:rFonts w:hAnsi="標楷體"/>
          <w:lang w:eastAsia="zh-HK"/>
        </w:rPr>
        <w:t>台水公司與金門水廠</w:t>
      </w:r>
      <w:r w:rsidRPr="00715E34">
        <w:rPr>
          <w:rFonts w:hAnsi="標楷體" w:hint="eastAsia"/>
          <w:lang w:eastAsia="zh-HK"/>
        </w:rPr>
        <w:t>99年上半年</w:t>
      </w:r>
      <w:r w:rsidRPr="00715E34">
        <w:rPr>
          <w:rFonts w:hAnsi="標楷體" w:hint="eastAsia"/>
        </w:rPr>
        <w:t>之總</w:t>
      </w:r>
      <w:r w:rsidRPr="00715E34">
        <w:rPr>
          <w:rFonts w:hAnsi="標楷體"/>
          <w:lang w:eastAsia="zh-HK"/>
        </w:rPr>
        <w:t>售水量</w:t>
      </w:r>
      <w:r w:rsidRPr="00715E34">
        <w:rPr>
          <w:rFonts w:hAnsi="標楷體" w:hint="eastAsia"/>
        </w:rPr>
        <w:t>皆</w:t>
      </w:r>
      <w:r w:rsidRPr="00715E34">
        <w:rPr>
          <w:rFonts w:hAnsi="標楷體"/>
          <w:lang w:eastAsia="zh-HK"/>
        </w:rPr>
        <w:t>較去年同期呈現增</w:t>
      </w:r>
      <w:r w:rsidRPr="00715E34">
        <w:rPr>
          <w:rFonts w:hAnsi="標楷體" w:hint="eastAsia"/>
        </w:rPr>
        <w:t>長</w:t>
      </w:r>
      <w:r w:rsidRPr="00715E34">
        <w:rPr>
          <w:rFonts w:hAnsi="標楷體"/>
          <w:lang w:eastAsia="zh-HK"/>
        </w:rPr>
        <w:t>之狀況</w:t>
      </w:r>
      <w:r w:rsidRPr="00715E34">
        <w:rPr>
          <w:rFonts w:hAnsi="標楷體"/>
        </w:rPr>
        <w:t>，換</w:t>
      </w:r>
      <w:r w:rsidRPr="00715E34">
        <w:rPr>
          <w:rFonts w:hAnsi="標楷體"/>
          <w:lang w:eastAsia="zh-HK"/>
        </w:rPr>
        <w:t>言之，</w:t>
      </w:r>
      <w:r w:rsidRPr="00715E34">
        <w:rPr>
          <w:rFonts w:hAnsi="標楷體"/>
        </w:rPr>
        <w:t>水費折扣</w:t>
      </w:r>
      <w:r w:rsidRPr="00715E34">
        <w:rPr>
          <w:rFonts w:hAnsi="標楷體"/>
          <w:lang w:eastAsia="zh-HK"/>
        </w:rPr>
        <w:t>期間總</w:t>
      </w:r>
      <w:r w:rsidRPr="00715E34">
        <w:rPr>
          <w:rFonts w:hAnsi="標楷體"/>
        </w:rPr>
        <w:t>售</w:t>
      </w:r>
      <w:r w:rsidRPr="00715E34">
        <w:rPr>
          <w:rFonts w:hAnsi="標楷體"/>
          <w:lang w:eastAsia="zh-HK"/>
        </w:rPr>
        <w:t>水量不減反增</w:t>
      </w:r>
      <w:r w:rsidRPr="00715E34">
        <w:rPr>
          <w:rFonts w:hAnsi="標楷體"/>
        </w:rPr>
        <w:t>；</w:t>
      </w:r>
      <w:r w:rsidRPr="00715E34">
        <w:rPr>
          <w:rFonts w:hAnsi="標楷體"/>
          <w:lang w:eastAsia="zh-HK"/>
        </w:rPr>
        <w:t>再者，北水處99年節水折扣</w:t>
      </w:r>
      <w:r w:rsidRPr="00715E34">
        <w:rPr>
          <w:rFonts w:hAnsi="標楷體"/>
        </w:rPr>
        <w:t>3,782</w:t>
      </w:r>
      <w:r w:rsidRPr="00715E34">
        <w:rPr>
          <w:rFonts w:hAnsi="標楷體"/>
          <w:lang w:eastAsia="zh-HK"/>
        </w:rPr>
        <w:t>萬元，雖與前一年同期相比，用水量下降76萬3,567度，但相當於平均節省1度水，必須付出49.76元，遠高</w:t>
      </w:r>
      <w:r w:rsidRPr="00715E34">
        <w:rPr>
          <w:rFonts w:hAnsi="標楷體"/>
        </w:rPr>
        <w:t>於</w:t>
      </w:r>
      <w:r w:rsidRPr="00715E34">
        <w:rPr>
          <w:rFonts w:hAnsi="標楷體"/>
          <w:lang w:eastAsia="zh-HK"/>
        </w:rPr>
        <w:t>售出之平均單價</w:t>
      </w:r>
      <w:r w:rsidRPr="00715E34">
        <w:rPr>
          <w:rFonts w:hAnsi="標楷體"/>
        </w:rPr>
        <w:t>（8.19</w:t>
      </w:r>
      <w:r w:rsidRPr="00715E34">
        <w:rPr>
          <w:rFonts w:hAnsi="標楷體"/>
          <w:lang w:eastAsia="zh-HK"/>
        </w:rPr>
        <w:t>元/度）</w:t>
      </w:r>
      <w:r w:rsidRPr="00715E34">
        <w:rPr>
          <w:rFonts w:hAnsi="標楷體"/>
        </w:rPr>
        <w:t>達6</w:t>
      </w:r>
      <w:r w:rsidRPr="00715E34">
        <w:rPr>
          <w:rFonts w:hAnsi="標楷體"/>
          <w:lang w:eastAsia="zh-HK"/>
        </w:rPr>
        <w:t>倍</w:t>
      </w:r>
      <w:r w:rsidRPr="00715E34">
        <w:rPr>
          <w:rFonts w:hAnsi="標楷體"/>
        </w:rPr>
        <w:t>，</w:t>
      </w:r>
      <w:r w:rsidRPr="00715E34">
        <w:rPr>
          <w:rFonts w:hAnsi="標楷體"/>
          <w:lang w:eastAsia="zh-HK"/>
        </w:rPr>
        <w:t>節</w:t>
      </w:r>
      <w:r w:rsidRPr="00715E34">
        <w:rPr>
          <w:rFonts w:hAnsi="標楷體"/>
          <w:lang w:eastAsia="zh-HK"/>
        </w:rPr>
        <w:lastRenderedPageBreak/>
        <w:t>水</w:t>
      </w:r>
      <w:r w:rsidRPr="00715E34">
        <w:rPr>
          <w:rFonts w:hAnsi="標楷體"/>
        </w:rPr>
        <w:t>代價</w:t>
      </w:r>
      <w:r w:rsidRPr="00715E34">
        <w:rPr>
          <w:rFonts w:hAnsi="標楷體" w:hint="eastAsia"/>
        </w:rPr>
        <w:t>高</w:t>
      </w:r>
      <w:r w:rsidRPr="00715E34">
        <w:rPr>
          <w:rFonts w:hAnsi="標楷體"/>
          <w:lang w:eastAsia="zh-HK"/>
        </w:rPr>
        <w:t>昂，</w:t>
      </w:r>
      <w:r w:rsidRPr="00715E34">
        <w:rPr>
          <w:rFonts w:hAnsi="標楷體"/>
        </w:rPr>
        <w:t>顯</w:t>
      </w:r>
      <w:r w:rsidRPr="00715E34">
        <w:rPr>
          <w:rFonts w:hAnsi="標楷體"/>
          <w:lang w:eastAsia="zh-HK"/>
        </w:rPr>
        <w:t>不符</w:t>
      </w:r>
      <w:r w:rsidRPr="00715E34">
        <w:rPr>
          <w:rFonts w:hAnsi="標楷體"/>
        </w:rPr>
        <w:t>合</w:t>
      </w:r>
      <w:r w:rsidRPr="00715E34">
        <w:rPr>
          <w:rFonts w:hAnsi="標楷體"/>
          <w:lang w:eastAsia="zh-HK"/>
        </w:rPr>
        <w:t>經濟效益</w:t>
      </w:r>
      <w:r w:rsidRPr="00715E34">
        <w:rPr>
          <w:rFonts w:hAnsi="標楷體"/>
        </w:rPr>
        <w:t>。另</w:t>
      </w:r>
      <w:r w:rsidRPr="00715E34">
        <w:rPr>
          <w:rFonts w:hAnsi="標楷體" w:hint="eastAsia"/>
          <w:lang w:eastAsia="zh-HK"/>
        </w:rPr>
        <w:t>觀察</w:t>
      </w:r>
      <w:r w:rsidRPr="00715E34">
        <w:rPr>
          <w:rFonts w:hAnsi="標楷體"/>
        </w:rPr>
        <w:t>上開表列平均單月節水量</w:t>
      </w:r>
      <w:r w:rsidRPr="00715E34">
        <w:rPr>
          <w:rFonts w:hAnsi="標楷體" w:hint="eastAsia"/>
          <w:lang w:eastAsia="zh-HK"/>
        </w:rPr>
        <w:t>可知</w:t>
      </w:r>
      <w:r w:rsidRPr="00715E34">
        <w:rPr>
          <w:rFonts w:hAnsi="標楷體"/>
        </w:rPr>
        <w:t>，104年辦理水</w:t>
      </w:r>
      <w:r w:rsidRPr="00715E34">
        <w:rPr>
          <w:rFonts w:hAnsi="標楷體" w:hint="eastAsia"/>
        </w:rPr>
        <w:t>費</w:t>
      </w:r>
      <w:r w:rsidRPr="00715E34">
        <w:rPr>
          <w:rFonts w:hAnsi="標楷體"/>
        </w:rPr>
        <w:t>折扣之節</w:t>
      </w:r>
      <w:r w:rsidRPr="00715E34">
        <w:rPr>
          <w:rFonts w:hAnsi="標楷體"/>
          <w:lang w:eastAsia="zh-HK"/>
        </w:rPr>
        <w:t>約水量</w:t>
      </w:r>
      <w:r w:rsidRPr="00715E34">
        <w:rPr>
          <w:rFonts w:hAnsi="標楷體"/>
        </w:rPr>
        <w:t>顯不如99年，足見在水價過於低廉之情況下，節水之邊際效益過低，推行水費折扣已難成為</w:t>
      </w:r>
      <w:r w:rsidRPr="00715E34">
        <w:rPr>
          <w:rFonts w:hAnsi="標楷體" w:hint="eastAsia"/>
        </w:rPr>
        <w:t>多數</w:t>
      </w:r>
      <w:r w:rsidRPr="00715E34">
        <w:rPr>
          <w:rFonts w:hAnsi="標楷體"/>
        </w:rPr>
        <w:t>民眾積極節水之誘因。</w:t>
      </w:r>
    </w:p>
    <w:p w:rsidR="003604B3" w:rsidRPr="00715E34" w:rsidRDefault="0081564E" w:rsidP="00232C83">
      <w:pPr>
        <w:pStyle w:val="3"/>
        <w:widowControl/>
        <w:suppressAutoHyphens/>
        <w:topLinePunct/>
        <w:autoSpaceDE/>
        <w:autoSpaceDN/>
        <w:textAlignment w:val="center"/>
        <w:rPr>
          <w:rFonts w:hAnsi="標楷體"/>
        </w:rPr>
      </w:pPr>
      <w:r w:rsidRPr="00715E34">
        <w:rPr>
          <w:rFonts w:hAnsi="標楷體"/>
          <w:szCs w:val="32"/>
        </w:rPr>
        <w:t>再查，離島用水比照臺灣本島平均費率收取，其營運單位因依該費率收費致產生之合理虧損，由中央目的事業主管機關審核後，編列預算撥補之，係離島建設條例第14條所明定。據經濟部查復，</w:t>
      </w:r>
      <w:r w:rsidRPr="00715E34">
        <w:rPr>
          <w:rFonts w:hAnsi="標楷體"/>
        </w:rPr>
        <w:t>政府原未就台水公司於離島地區之營運虧損予以補貼，惟行政院102年1月31日研商「台電、中油及台水公司政策性負擔相關事宜」會議紀錄結論三略以：「為利推動企業化經營並落實資源使用的有效性，3家公司政策性負擔，宜逐步回歸各目的事業主管機關編列預算，衡酌國家整體財政負擔，各部會原則應在10年內於既有預算額度內，逐年上調分擔比率</w:t>
      </w:r>
      <w:r w:rsidRPr="00715E34">
        <w:rPr>
          <w:rFonts w:hAnsi="標楷體" w:hint="eastAsia"/>
        </w:rPr>
        <w:t>。</w:t>
      </w:r>
      <w:r w:rsidRPr="00715E34">
        <w:rPr>
          <w:rFonts w:hAnsi="標楷體"/>
        </w:rPr>
        <w:t>」爰</w:t>
      </w:r>
      <w:r w:rsidRPr="00715E34">
        <w:rPr>
          <w:rFonts w:hAnsi="標楷體" w:hint="eastAsia"/>
        </w:rPr>
        <w:t>該部責成</w:t>
      </w:r>
      <w:r w:rsidRPr="00715E34">
        <w:rPr>
          <w:rFonts w:hAnsi="標楷體"/>
        </w:rPr>
        <w:t>水利署依</w:t>
      </w:r>
      <w:r w:rsidRPr="00715E34">
        <w:rPr>
          <w:rFonts w:hAnsi="標楷體"/>
          <w:lang w:eastAsia="zh-HK"/>
        </w:rPr>
        <w:t>前開</w:t>
      </w:r>
      <w:r w:rsidRPr="00715E34">
        <w:rPr>
          <w:rFonts w:hAnsi="標楷體"/>
        </w:rPr>
        <w:t>指示，自103年起分10年，逐年上調分擔比率補助，第1年補助</w:t>
      </w:r>
      <w:r w:rsidRPr="00715E34">
        <w:rPr>
          <w:rFonts w:hAnsi="標楷體" w:hint="eastAsia"/>
        </w:rPr>
        <w:t>10%</w:t>
      </w:r>
      <w:r w:rsidRPr="00715E34">
        <w:rPr>
          <w:rFonts w:hAnsi="標楷體"/>
        </w:rPr>
        <w:t>、第2年補助</w:t>
      </w:r>
      <w:r w:rsidRPr="00715E34">
        <w:rPr>
          <w:rFonts w:hAnsi="標楷體" w:hint="eastAsia"/>
        </w:rPr>
        <w:t>20%</w:t>
      </w:r>
      <w:r w:rsidRPr="00715E34">
        <w:rPr>
          <w:rFonts w:hAnsi="標楷體"/>
        </w:rPr>
        <w:t>、……以此類推。經查，台水公司103年向水利署申請撥付離島供水虧損</w:t>
      </w:r>
      <w:r w:rsidRPr="00715E34">
        <w:rPr>
          <w:rFonts w:hAnsi="標楷體"/>
          <w:lang w:eastAsia="zh-HK"/>
        </w:rPr>
        <w:t>計</w:t>
      </w:r>
      <w:r w:rsidRPr="00715E34">
        <w:rPr>
          <w:rFonts w:hAnsi="標楷體"/>
        </w:rPr>
        <w:t>3,926萬</w:t>
      </w:r>
      <w:r w:rsidRPr="00715E34">
        <w:rPr>
          <w:rFonts w:hAnsi="標楷體"/>
          <w:szCs w:val="32"/>
        </w:rPr>
        <w:t>4,895元</w:t>
      </w:r>
      <w:r w:rsidRPr="00715E34">
        <w:rPr>
          <w:rFonts w:hAnsi="標楷體"/>
        </w:rPr>
        <w:t>、</w:t>
      </w:r>
      <w:r w:rsidRPr="00715E34">
        <w:rPr>
          <w:rFonts w:hAnsi="標楷體"/>
          <w:szCs w:val="32"/>
        </w:rPr>
        <w:t>104年申請8,596</w:t>
      </w:r>
      <w:r w:rsidRPr="00715E34">
        <w:rPr>
          <w:rFonts w:hAnsi="標楷體"/>
        </w:rPr>
        <w:t>萬</w:t>
      </w:r>
      <w:r w:rsidRPr="00715E34">
        <w:rPr>
          <w:rFonts w:hAnsi="標楷體"/>
          <w:szCs w:val="32"/>
        </w:rPr>
        <w:t>6,755元；</w:t>
      </w:r>
      <w:r w:rsidRPr="00715E34">
        <w:rPr>
          <w:rFonts w:hAnsi="標楷體"/>
        </w:rPr>
        <w:t>水利署103</w:t>
      </w:r>
      <w:r w:rsidRPr="00715E34">
        <w:rPr>
          <w:rFonts w:hAnsi="標楷體"/>
          <w:lang w:eastAsia="zh-HK"/>
        </w:rPr>
        <w:t>年</w:t>
      </w:r>
      <w:r w:rsidRPr="00715E34">
        <w:rPr>
          <w:rFonts w:hAnsi="標楷體"/>
          <w:szCs w:val="32"/>
        </w:rPr>
        <w:t>撥付1,552萬66元</w:t>
      </w:r>
      <w:r w:rsidRPr="00715E34">
        <w:rPr>
          <w:rFonts w:hAnsi="標楷體"/>
        </w:rPr>
        <w:t>、105年</w:t>
      </w:r>
      <w:r w:rsidRPr="00715E34">
        <w:rPr>
          <w:rFonts w:hAnsi="標楷體"/>
          <w:szCs w:val="32"/>
        </w:rPr>
        <w:t>僅能於有限預算額度內分配補貼</w:t>
      </w:r>
      <w:r w:rsidRPr="00715E34">
        <w:rPr>
          <w:rFonts w:hAnsi="標楷體"/>
          <w:kern w:val="0"/>
          <w:szCs w:val="32"/>
        </w:rPr>
        <w:t>6,395</w:t>
      </w:r>
      <w:r w:rsidRPr="00715E34">
        <w:rPr>
          <w:rFonts w:hAnsi="標楷體"/>
          <w:kern w:val="0"/>
          <w:szCs w:val="32"/>
          <w:lang w:eastAsia="zh-HK"/>
        </w:rPr>
        <w:t>萬</w:t>
      </w:r>
      <w:r w:rsidRPr="00715E34">
        <w:rPr>
          <w:rFonts w:hAnsi="標楷體"/>
          <w:kern w:val="0"/>
          <w:szCs w:val="32"/>
        </w:rPr>
        <w:t>元</w:t>
      </w:r>
      <w:r w:rsidRPr="00715E34">
        <w:rPr>
          <w:rFonts w:hAnsi="標楷體"/>
        </w:rPr>
        <w:t>，</w:t>
      </w:r>
      <w:r w:rsidRPr="00715E34">
        <w:rPr>
          <w:rFonts w:hAnsi="標楷體"/>
          <w:szCs w:val="32"/>
        </w:rPr>
        <w:t>剩餘待補經費於後續年度再撥付</w:t>
      </w:r>
      <w:r w:rsidRPr="00715E34">
        <w:rPr>
          <w:rFonts w:hAnsi="標楷體"/>
          <w:szCs w:val="32"/>
          <w:lang w:eastAsia="zh-HK"/>
        </w:rPr>
        <w:t>台水</w:t>
      </w:r>
      <w:r w:rsidRPr="00715E34">
        <w:rPr>
          <w:rFonts w:hAnsi="標楷體"/>
          <w:szCs w:val="32"/>
        </w:rPr>
        <w:t>公司</w:t>
      </w:r>
      <w:r w:rsidRPr="00715E34">
        <w:rPr>
          <w:rFonts w:hAnsi="標楷體"/>
        </w:rPr>
        <w:t>，顯見</w:t>
      </w:r>
      <w:r w:rsidRPr="00715E34">
        <w:rPr>
          <w:rFonts w:hAnsi="標楷體" w:hint="eastAsia"/>
        </w:rPr>
        <w:t>經濟部</w:t>
      </w:r>
      <w:r w:rsidRPr="00715E34">
        <w:rPr>
          <w:rFonts w:hAnsi="標楷體"/>
          <w:szCs w:val="32"/>
          <w:lang w:eastAsia="zh-HK"/>
        </w:rPr>
        <w:t>於</w:t>
      </w:r>
      <w:r w:rsidRPr="00715E34">
        <w:rPr>
          <w:rFonts w:hAnsi="標楷體"/>
          <w:szCs w:val="32"/>
        </w:rPr>
        <w:t>103</w:t>
      </w:r>
      <w:r w:rsidRPr="00715E34">
        <w:rPr>
          <w:rFonts w:hAnsi="標楷體"/>
          <w:szCs w:val="32"/>
          <w:lang w:eastAsia="zh-HK"/>
        </w:rPr>
        <w:t>年迄今</w:t>
      </w:r>
      <w:r w:rsidRPr="00715E34">
        <w:rPr>
          <w:rFonts w:hAnsi="標楷體" w:hint="eastAsia"/>
          <w:szCs w:val="32"/>
          <w:lang w:eastAsia="zh-HK"/>
        </w:rPr>
        <w:t>，</w:t>
      </w:r>
      <w:r w:rsidRPr="00715E34">
        <w:rPr>
          <w:rFonts w:hAnsi="標楷體" w:hint="eastAsia"/>
          <w:szCs w:val="32"/>
        </w:rPr>
        <w:t>猶未能督促</w:t>
      </w:r>
      <w:r w:rsidRPr="00715E34">
        <w:rPr>
          <w:rFonts w:hAnsi="標楷體"/>
          <w:lang w:eastAsia="zh-HK"/>
        </w:rPr>
        <w:t>水利署</w:t>
      </w:r>
      <w:r w:rsidRPr="00715E34">
        <w:rPr>
          <w:rFonts w:hAnsi="標楷體"/>
          <w:szCs w:val="32"/>
          <w:lang w:eastAsia="zh-HK"/>
        </w:rPr>
        <w:t>依照</w:t>
      </w:r>
      <w:r w:rsidRPr="00715E34">
        <w:rPr>
          <w:rFonts w:hAnsi="標楷體"/>
        </w:rPr>
        <w:t>行政院指示</w:t>
      </w:r>
      <w:r w:rsidRPr="00715E34">
        <w:rPr>
          <w:rFonts w:hAnsi="標楷體"/>
          <w:lang w:eastAsia="zh-HK"/>
        </w:rPr>
        <w:t>之</w:t>
      </w:r>
      <w:r w:rsidRPr="00715E34">
        <w:rPr>
          <w:rFonts w:hAnsi="標楷體"/>
        </w:rPr>
        <w:t>分擔比率補</w:t>
      </w:r>
      <w:r w:rsidRPr="00715E34">
        <w:rPr>
          <w:rFonts w:hAnsi="標楷體"/>
          <w:lang w:eastAsia="zh-HK"/>
        </w:rPr>
        <w:t>足</w:t>
      </w:r>
      <w:r w:rsidRPr="00715E34">
        <w:rPr>
          <w:rFonts w:hAnsi="標楷體"/>
        </w:rPr>
        <w:t>，況</w:t>
      </w:r>
      <w:r w:rsidRPr="00715E34">
        <w:rPr>
          <w:rFonts w:hAnsi="標楷體"/>
          <w:szCs w:val="32"/>
        </w:rPr>
        <w:t>離島建設條例第14條規定自91年2月6日修</w:t>
      </w:r>
      <w:r w:rsidRPr="00715E34">
        <w:rPr>
          <w:rFonts w:hAnsi="標楷體" w:hint="eastAsia"/>
          <w:szCs w:val="32"/>
        </w:rPr>
        <w:t>正公布</w:t>
      </w:r>
      <w:r w:rsidRPr="00715E34">
        <w:rPr>
          <w:rFonts w:hAnsi="標楷體"/>
          <w:szCs w:val="32"/>
        </w:rPr>
        <w:t>以來，</w:t>
      </w:r>
      <w:r w:rsidRPr="00715E34">
        <w:rPr>
          <w:rFonts w:hAnsi="標楷體"/>
          <w:szCs w:val="32"/>
          <w:lang w:eastAsia="zh-HK"/>
        </w:rPr>
        <w:t>台水公司負擔此項</w:t>
      </w:r>
      <w:r w:rsidRPr="00715E34">
        <w:rPr>
          <w:rFonts w:hAnsi="標楷體" w:hint="eastAsia"/>
          <w:szCs w:val="32"/>
          <w:lang w:eastAsia="zh-HK"/>
        </w:rPr>
        <w:t>政策任務所生</w:t>
      </w:r>
      <w:r w:rsidRPr="00715E34">
        <w:rPr>
          <w:rFonts w:hAnsi="標楷體"/>
          <w:szCs w:val="32"/>
          <w:lang w:eastAsia="zh-HK"/>
        </w:rPr>
        <w:t>之營運虧損</w:t>
      </w:r>
      <w:r w:rsidRPr="00715E34">
        <w:rPr>
          <w:rFonts w:hAnsi="標楷體"/>
          <w:szCs w:val="32"/>
        </w:rPr>
        <w:t>已歷14年，</w:t>
      </w:r>
      <w:r w:rsidRPr="00715E34">
        <w:rPr>
          <w:rFonts w:hAnsi="標楷體"/>
          <w:lang w:eastAsia="zh-HK"/>
        </w:rPr>
        <w:t>水利署</w:t>
      </w:r>
      <w:r w:rsidRPr="00715E34">
        <w:rPr>
          <w:rFonts w:hAnsi="標楷體" w:hint="eastAsia"/>
          <w:szCs w:val="32"/>
        </w:rPr>
        <w:t>迄</w:t>
      </w:r>
      <w:r w:rsidRPr="00715E34">
        <w:rPr>
          <w:rFonts w:hAnsi="標楷體"/>
          <w:szCs w:val="32"/>
        </w:rPr>
        <w:t>未</w:t>
      </w:r>
      <w:r w:rsidRPr="00715E34">
        <w:rPr>
          <w:rFonts w:hAnsi="標楷體" w:hint="eastAsia"/>
          <w:szCs w:val="32"/>
        </w:rPr>
        <w:t>依法</w:t>
      </w:r>
      <w:r w:rsidRPr="00715E34">
        <w:rPr>
          <w:rFonts w:hAnsi="標楷體"/>
        </w:rPr>
        <w:t>足額</w:t>
      </w:r>
      <w:r w:rsidRPr="00715E34">
        <w:rPr>
          <w:rFonts w:hAnsi="標楷體"/>
          <w:szCs w:val="32"/>
          <w:lang w:eastAsia="zh-HK"/>
        </w:rPr>
        <w:t>編列公務預算</w:t>
      </w:r>
      <w:r w:rsidRPr="00715E34">
        <w:rPr>
          <w:rFonts w:hAnsi="標楷體"/>
        </w:rPr>
        <w:t>撥補</w:t>
      </w:r>
      <w:r w:rsidRPr="00715E34">
        <w:rPr>
          <w:rFonts w:hAnsi="標楷體"/>
          <w:szCs w:val="32"/>
        </w:rPr>
        <w:t>，</w:t>
      </w:r>
      <w:r w:rsidRPr="00715E34">
        <w:rPr>
          <w:rFonts w:hAnsi="標楷體" w:hint="eastAsia"/>
          <w:szCs w:val="32"/>
        </w:rPr>
        <w:t>視法條如</w:t>
      </w:r>
      <w:r w:rsidRPr="00715E34">
        <w:rPr>
          <w:rFonts w:hAnsi="標楷體"/>
          <w:szCs w:val="32"/>
        </w:rPr>
        <w:t>具文，</w:t>
      </w:r>
      <w:r w:rsidRPr="00715E34">
        <w:rPr>
          <w:rFonts w:hAnsi="標楷體" w:hint="eastAsia"/>
          <w:szCs w:val="32"/>
        </w:rPr>
        <w:t>自應檢討</w:t>
      </w:r>
      <w:r w:rsidRPr="00715E34">
        <w:rPr>
          <w:rFonts w:hAnsi="標楷體"/>
          <w:szCs w:val="32"/>
        </w:rPr>
        <w:t>。</w:t>
      </w:r>
    </w:p>
    <w:p w:rsidR="009D065A" w:rsidRPr="00715E34" w:rsidRDefault="009D065A" w:rsidP="00232C83">
      <w:pPr>
        <w:pStyle w:val="3"/>
        <w:topLinePunct/>
        <w:rPr>
          <w:rFonts w:hAnsi="標楷體"/>
          <w:lang w:eastAsia="zh-HK"/>
        </w:rPr>
      </w:pPr>
      <w:r w:rsidRPr="00715E34">
        <w:rPr>
          <w:rFonts w:hAnsi="標楷體"/>
        </w:rPr>
        <w:t>綜上，</w:t>
      </w:r>
      <w:r w:rsidR="00DC1C0E" w:rsidRPr="00715E34">
        <w:rPr>
          <w:rFonts w:hAnsi="標楷體"/>
          <w:lang w:eastAsia="zh-HK"/>
        </w:rPr>
        <w:t>經濟部未遵照自來水法之授權訂定水費折扣</w:t>
      </w:r>
      <w:r w:rsidR="00DC1C0E" w:rsidRPr="00715E34">
        <w:rPr>
          <w:rFonts w:hAnsi="標楷體"/>
          <w:lang w:eastAsia="zh-HK"/>
        </w:rPr>
        <w:lastRenderedPageBreak/>
        <w:t>辦法，怠於立法即貿然實施「節約用水優惠措施」，並以水資源作業基金補貼水費折扣，不僅有違法令規定之情事，</w:t>
      </w:r>
      <w:r w:rsidR="00DC1C0E" w:rsidRPr="00715E34">
        <w:rPr>
          <w:rFonts w:hAnsi="標楷體" w:hint="eastAsia"/>
        </w:rPr>
        <w:t>且</w:t>
      </w:r>
      <w:r w:rsidR="00DC1C0E" w:rsidRPr="00715E34">
        <w:rPr>
          <w:rFonts w:hAnsi="標楷體"/>
          <w:lang w:eastAsia="zh-HK"/>
        </w:rPr>
        <w:t>囿於水價過於低廉，節水折扣亦難收減輕供水壓力預期效益，其前置規劃評估作業</w:t>
      </w:r>
      <w:r w:rsidR="00DC1C0E" w:rsidRPr="00715E34">
        <w:rPr>
          <w:rFonts w:hAnsi="標楷體" w:hint="eastAsia"/>
        </w:rPr>
        <w:t>顯有</w:t>
      </w:r>
      <w:r w:rsidR="00DC1C0E" w:rsidRPr="00715E34">
        <w:rPr>
          <w:rFonts w:hAnsi="標楷體"/>
          <w:lang w:eastAsia="zh-HK"/>
        </w:rPr>
        <w:t>不周</w:t>
      </w:r>
      <w:r w:rsidR="00DC1C0E" w:rsidRPr="00715E34">
        <w:rPr>
          <w:rFonts w:hAnsi="標楷體" w:hint="eastAsia"/>
          <w:lang w:eastAsia="zh-HK"/>
        </w:rPr>
        <w:t>；另</w:t>
      </w:r>
      <w:r w:rsidR="00DC1C0E" w:rsidRPr="00715E34">
        <w:rPr>
          <w:rFonts w:hAnsi="標楷體" w:hint="eastAsia"/>
        </w:rPr>
        <w:t>該</w:t>
      </w:r>
      <w:r w:rsidR="00DC1C0E" w:rsidRPr="00715E34">
        <w:rPr>
          <w:rFonts w:hAnsi="標楷體"/>
          <w:lang w:eastAsia="zh-HK"/>
        </w:rPr>
        <w:t>部對於離島</w:t>
      </w:r>
      <w:r w:rsidR="00DC1C0E" w:rsidRPr="00715E34">
        <w:rPr>
          <w:rFonts w:hAnsi="標楷體" w:hint="eastAsia"/>
        </w:rPr>
        <w:t>地區</w:t>
      </w:r>
      <w:r w:rsidR="00DC1C0E" w:rsidRPr="00715E34">
        <w:rPr>
          <w:rFonts w:hAnsi="標楷體"/>
          <w:lang w:eastAsia="zh-HK"/>
        </w:rPr>
        <w:t>用水之補貼，</w:t>
      </w:r>
      <w:r w:rsidR="00DC1C0E" w:rsidRPr="00715E34">
        <w:rPr>
          <w:rFonts w:hAnsi="標楷體" w:hint="eastAsia"/>
        </w:rPr>
        <w:t>長</w:t>
      </w:r>
      <w:r w:rsidR="00DC1C0E" w:rsidRPr="00715E34">
        <w:rPr>
          <w:rFonts w:hAnsi="標楷體"/>
          <w:lang w:eastAsia="zh-HK"/>
        </w:rPr>
        <w:t>年未</w:t>
      </w:r>
      <w:r w:rsidR="00DC1C0E" w:rsidRPr="00715E34">
        <w:rPr>
          <w:rFonts w:hAnsi="標楷體" w:hint="eastAsia"/>
        </w:rPr>
        <w:t>督促所屬</w:t>
      </w:r>
      <w:r w:rsidR="00DC1C0E" w:rsidRPr="00715E34">
        <w:rPr>
          <w:rFonts w:hAnsi="標楷體"/>
          <w:lang w:eastAsia="zh-HK"/>
        </w:rPr>
        <w:t>依離島建設條例</w:t>
      </w:r>
      <w:r w:rsidR="00DC1C0E" w:rsidRPr="00715E34">
        <w:rPr>
          <w:rFonts w:hAnsi="標楷體" w:hint="eastAsia"/>
        </w:rPr>
        <w:t>規定，</w:t>
      </w:r>
      <w:r w:rsidR="00DC1C0E" w:rsidRPr="00715E34">
        <w:rPr>
          <w:rFonts w:hAnsi="標楷體"/>
          <w:szCs w:val="32"/>
        </w:rPr>
        <w:t>編列預算</w:t>
      </w:r>
      <w:r w:rsidR="00DC1C0E" w:rsidRPr="00715E34">
        <w:rPr>
          <w:rFonts w:hAnsi="標楷體"/>
          <w:lang w:eastAsia="zh-HK"/>
        </w:rPr>
        <w:t>足額撥補</w:t>
      </w:r>
      <w:r w:rsidR="00DC1C0E" w:rsidRPr="00715E34">
        <w:rPr>
          <w:rFonts w:hAnsi="標楷體" w:hint="eastAsia"/>
          <w:lang w:eastAsia="zh-HK"/>
        </w:rPr>
        <w:t>，</w:t>
      </w:r>
      <w:r w:rsidR="00DC1C0E" w:rsidRPr="00715E34">
        <w:rPr>
          <w:rFonts w:hAnsi="標楷體" w:hint="eastAsia"/>
        </w:rPr>
        <w:t>均</w:t>
      </w:r>
      <w:r w:rsidR="00DC1C0E" w:rsidRPr="00715E34">
        <w:rPr>
          <w:rFonts w:hAnsi="標楷體"/>
          <w:lang w:eastAsia="zh-HK"/>
        </w:rPr>
        <w:t>有違失。</w:t>
      </w:r>
    </w:p>
    <w:p w:rsidR="003604B3" w:rsidRPr="00715E34" w:rsidRDefault="003604B3" w:rsidP="00232C83">
      <w:pPr>
        <w:pStyle w:val="2"/>
        <w:topLinePunct/>
        <w:spacing w:beforeLines="25" w:before="114"/>
        <w:ind w:left="1020" w:hanging="680"/>
        <w:rPr>
          <w:rFonts w:hAnsi="標楷體"/>
          <w:b/>
          <w:szCs w:val="32"/>
          <w:lang w:eastAsia="zh-HK"/>
        </w:rPr>
      </w:pPr>
      <w:bookmarkStart w:id="82" w:name="_Toc458000627"/>
      <w:bookmarkStart w:id="83" w:name="_Toc455922277"/>
      <w:bookmarkStart w:id="84" w:name="_Toc455922478"/>
      <w:bookmarkStart w:id="85" w:name="_Toc455922902"/>
      <w:r w:rsidRPr="00715E34">
        <w:rPr>
          <w:rFonts w:hAnsi="標楷體" w:hint="eastAsia"/>
          <w:b/>
          <w:szCs w:val="32"/>
        </w:rPr>
        <w:t>現行</w:t>
      </w:r>
      <w:r w:rsidRPr="00715E34">
        <w:rPr>
          <w:rFonts w:hAnsi="標楷體" w:hint="eastAsia"/>
          <w:b/>
          <w:szCs w:val="32"/>
          <w:lang w:eastAsia="zh-HK"/>
        </w:rPr>
        <w:t>枯旱</w:t>
      </w:r>
      <w:r w:rsidRPr="00715E34">
        <w:rPr>
          <w:rFonts w:hAnsi="標楷體" w:hint="eastAsia"/>
          <w:b/>
          <w:szCs w:val="32"/>
        </w:rPr>
        <w:t>期</w:t>
      </w:r>
      <w:r w:rsidRPr="00715E34">
        <w:rPr>
          <w:rFonts w:hAnsi="標楷體" w:hint="eastAsia"/>
          <w:b/>
          <w:szCs w:val="32"/>
          <w:lang w:eastAsia="zh-HK"/>
        </w:rPr>
        <w:t>或水源不足時，臨時移撥農業用水給工業使用</w:t>
      </w:r>
      <w:r w:rsidRPr="00715E34">
        <w:rPr>
          <w:rFonts w:hAnsi="標楷體" w:hint="eastAsia"/>
          <w:b/>
          <w:szCs w:val="32"/>
        </w:rPr>
        <w:t>之權宜做法</w:t>
      </w:r>
      <w:r w:rsidRPr="00715E34">
        <w:rPr>
          <w:rFonts w:hAnsi="標楷體" w:hint="eastAsia"/>
          <w:b/>
          <w:szCs w:val="32"/>
          <w:lang w:eastAsia="zh-HK"/>
        </w:rPr>
        <w:t>，</w:t>
      </w:r>
      <w:r w:rsidRPr="00715E34">
        <w:rPr>
          <w:rFonts w:hAnsi="標楷體" w:hint="eastAsia"/>
          <w:b/>
          <w:szCs w:val="32"/>
        </w:rPr>
        <w:t>有違</w:t>
      </w:r>
      <w:r w:rsidRPr="00715E34">
        <w:rPr>
          <w:rFonts w:hAnsi="標楷體" w:hint="eastAsia"/>
          <w:b/>
          <w:szCs w:val="32"/>
          <w:lang w:eastAsia="zh-HK"/>
        </w:rPr>
        <w:t>水利法</w:t>
      </w:r>
      <w:r w:rsidRPr="00715E34">
        <w:rPr>
          <w:rFonts w:hAnsi="標楷體" w:hint="eastAsia"/>
          <w:b/>
          <w:szCs w:val="32"/>
        </w:rPr>
        <w:t>明定</w:t>
      </w:r>
      <w:r w:rsidRPr="00715E34">
        <w:rPr>
          <w:rFonts w:hAnsi="標楷體" w:hint="eastAsia"/>
          <w:b/>
          <w:szCs w:val="32"/>
          <w:lang w:eastAsia="zh-HK"/>
        </w:rPr>
        <w:t>農業</w:t>
      </w:r>
      <w:r w:rsidRPr="00715E34">
        <w:rPr>
          <w:rFonts w:hAnsi="標楷體" w:hint="eastAsia"/>
          <w:b/>
          <w:szCs w:val="32"/>
        </w:rPr>
        <w:t>享有</w:t>
      </w:r>
      <w:r w:rsidRPr="00715E34">
        <w:rPr>
          <w:rFonts w:hAnsi="標楷體" w:hint="eastAsia"/>
          <w:b/>
          <w:szCs w:val="32"/>
          <w:lang w:eastAsia="zh-HK"/>
        </w:rPr>
        <w:t>優先用水權之</w:t>
      </w:r>
      <w:r w:rsidRPr="00715E34">
        <w:rPr>
          <w:rFonts w:hAnsi="標楷體" w:hint="eastAsia"/>
          <w:b/>
          <w:szCs w:val="32"/>
        </w:rPr>
        <w:t>相關</w:t>
      </w:r>
      <w:r w:rsidRPr="00715E34">
        <w:rPr>
          <w:rFonts w:hAnsi="標楷體" w:hint="eastAsia"/>
          <w:b/>
          <w:szCs w:val="32"/>
          <w:lang w:eastAsia="zh-HK"/>
        </w:rPr>
        <w:t>規定</w:t>
      </w:r>
      <w:r w:rsidRPr="00715E34">
        <w:rPr>
          <w:rFonts w:hAnsi="標楷體" w:hint="eastAsia"/>
          <w:b/>
          <w:szCs w:val="32"/>
        </w:rPr>
        <w:t>，</w:t>
      </w:r>
      <w:r w:rsidRPr="00715E34">
        <w:rPr>
          <w:rFonts w:hAnsi="標楷體" w:hint="eastAsia"/>
          <w:b/>
        </w:rPr>
        <w:t>經濟部顯未善盡</w:t>
      </w:r>
      <w:r w:rsidRPr="00715E34">
        <w:rPr>
          <w:rFonts w:hAnsi="標楷體" w:hint="eastAsia"/>
          <w:b/>
          <w:lang w:eastAsia="zh-HK"/>
        </w:rPr>
        <w:t>完</w:t>
      </w:r>
      <w:r w:rsidRPr="00715E34">
        <w:rPr>
          <w:rFonts w:hAnsi="標楷體" w:hint="eastAsia"/>
          <w:b/>
        </w:rPr>
        <w:t>備</w:t>
      </w:r>
      <w:r w:rsidRPr="00715E34">
        <w:rPr>
          <w:rFonts w:hAnsi="標楷體" w:hint="eastAsia"/>
          <w:b/>
          <w:lang w:eastAsia="zh-HK"/>
        </w:rPr>
        <w:t>法制</w:t>
      </w:r>
      <w:r w:rsidRPr="00715E34">
        <w:rPr>
          <w:rFonts w:hAnsi="標楷體" w:hint="eastAsia"/>
          <w:b/>
        </w:rPr>
        <w:t>之能事</w:t>
      </w:r>
      <w:bookmarkEnd w:id="82"/>
    </w:p>
    <w:p w:rsidR="003604B3" w:rsidRPr="00715E34" w:rsidRDefault="003604B3" w:rsidP="00232C83">
      <w:pPr>
        <w:pStyle w:val="3"/>
        <w:topLinePunct/>
        <w:rPr>
          <w:rFonts w:hAnsi="標楷體"/>
        </w:rPr>
      </w:pPr>
      <w:r w:rsidRPr="00715E34">
        <w:rPr>
          <w:rFonts w:hAnsi="標楷體" w:hint="eastAsia"/>
          <w:szCs w:val="32"/>
        </w:rPr>
        <w:t>按水利法第18條：「（第1項）用水標的之順序</w:t>
      </w:r>
      <w:r w:rsidRPr="00715E34">
        <w:rPr>
          <w:rFonts w:hAnsi="標楷體"/>
          <w:szCs w:val="32"/>
        </w:rPr>
        <w:t>……</w:t>
      </w:r>
      <w:r w:rsidRPr="00715E34">
        <w:rPr>
          <w:rFonts w:hAnsi="標楷體" w:hint="eastAsia"/>
          <w:szCs w:val="32"/>
        </w:rPr>
        <w:t>：1、家用及公共給水。2、農業用水。3、水力用水。4、工業用水。（第2項）前項順序，主管機關對於某一水道，或政府劃定之工業區，得酌量實際情形，報請中央主管機關核准變更之。」同法第18條之1：「多目標水庫用水標的之順序，依主管機關核准之計畫定之。但各標的權利人另有協議，並報經主管機關核定者，從其協議。」</w:t>
      </w:r>
      <w:r w:rsidR="0008776E" w:rsidRPr="00715E34">
        <w:rPr>
          <w:rFonts w:hAnsi="標楷體" w:hint="eastAsia"/>
          <w:szCs w:val="32"/>
        </w:rPr>
        <w:t>同法</w:t>
      </w:r>
      <w:r w:rsidR="00D0373D" w:rsidRPr="00715E34">
        <w:rPr>
          <w:rFonts w:hAnsi="標楷體" w:hint="eastAsia"/>
          <w:szCs w:val="32"/>
        </w:rPr>
        <w:t>第19條：「</w:t>
      </w:r>
      <w:r w:rsidR="008703A5" w:rsidRPr="00715E34">
        <w:rPr>
          <w:rFonts w:hAnsi="標楷體" w:hint="eastAsia"/>
          <w:szCs w:val="32"/>
        </w:rPr>
        <w:t>（第1項）</w:t>
      </w:r>
      <w:r w:rsidR="00693DCA" w:rsidRPr="00715E34">
        <w:rPr>
          <w:rFonts w:hAnsi="標楷體" w:hint="eastAsia"/>
          <w:szCs w:val="32"/>
        </w:rPr>
        <w:t>水源之水量不敷公共給水，並無法另得水源時，主管機關得停止或撤銷第</w:t>
      </w:r>
      <w:r w:rsidR="00510026" w:rsidRPr="00715E34">
        <w:rPr>
          <w:rFonts w:hAnsi="標楷體" w:hint="eastAsia"/>
          <w:szCs w:val="32"/>
        </w:rPr>
        <w:t>18</w:t>
      </w:r>
      <w:r w:rsidR="00693DCA" w:rsidRPr="00693DCA">
        <w:rPr>
          <w:rFonts w:hAnsi="標楷體" w:hint="eastAsia"/>
          <w:szCs w:val="32"/>
        </w:rPr>
        <w:t>條第</w:t>
      </w:r>
      <w:r w:rsidR="00510026" w:rsidRPr="00715E34">
        <w:rPr>
          <w:rFonts w:hAnsi="標楷體" w:hint="eastAsia"/>
          <w:szCs w:val="32"/>
        </w:rPr>
        <w:t>1</w:t>
      </w:r>
      <w:r w:rsidR="00693DCA" w:rsidRPr="00693DCA">
        <w:rPr>
          <w:rFonts w:hAnsi="標楷體" w:hint="eastAsia"/>
          <w:szCs w:val="32"/>
        </w:rPr>
        <w:t>項第</w:t>
      </w:r>
      <w:r w:rsidR="00510026" w:rsidRPr="00715E34">
        <w:rPr>
          <w:rFonts w:hAnsi="標楷體" w:hint="eastAsia"/>
          <w:szCs w:val="32"/>
        </w:rPr>
        <w:t>1</w:t>
      </w:r>
      <w:r w:rsidR="00693DCA" w:rsidRPr="00693DCA">
        <w:rPr>
          <w:rFonts w:hAnsi="標楷體" w:hint="eastAsia"/>
          <w:szCs w:val="32"/>
        </w:rPr>
        <w:t>款以外之水權，或加使用上之限制。</w:t>
      </w:r>
      <w:r w:rsidR="008703A5" w:rsidRPr="00715E34">
        <w:rPr>
          <w:rFonts w:hAnsi="標楷體" w:hint="eastAsia"/>
          <w:szCs w:val="32"/>
        </w:rPr>
        <w:t>（第2項）</w:t>
      </w:r>
      <w:r w:rsidR="00693DCA" w:rsidRPr="00693DCA">
        <w:rPr>
          <w:rFonts w:hAnsi="標楷體" w:hint="eastAsia"/>
          <w:szCs w:val="32"/>
        </w:rPr>
        <w:t>前項水權之停止、撤銷或限制，致使原用水人受有重大損害時，由主管機關按損害情形核定補償，責由公共給水機構負擔之。</w:t>
      </w:r>
      <w:r w:rsidR="00D0373D" w:rsidRPr="00715E34">
        <w:rPr>
          <w:rFonts w:hAnsi="標楷體" w:hint="eastAsia"/>
          <w:szCs w:val="32"/>
        </w:rPr>
        <w:t>」</w:t>
      </w:r>
      <w:r w:rsidRPr="00715E34">
        <w:rPr>
          <w:rFonts w:hAnsi="標楷體" w:hint="eastAsia"/>
          <w:szCs w:val="32"/>
        </w:rPr>
        <w:t>同法第20條：「登記之水權，因水源之水量不足，發生爭執時，用水標的順序在先者有優先權。」要言之</w:t>
      </w:r>
      <w:r w:rsidRPr="00715E34">
        <w:rPr>
          <w:rFonts w:hAnsi="標楷體" w:hint="eastAsia"/>
          <w:szCs w:val="32"/>
          <w:lang w:eastAsia="zh-HK"/>
        </w:rPr>
        <w:t>，農業用水若無水利法第18條第2項、第18條之1</w:t>
      </w:r>
      <w:r w:rsidRPr="00715E34">
        <w:rPr>
          <w:rFonts w:hAnsi="標楷體" w:hint="eastAsia"/>
          <w:szCs w:val="32"/>
        </w:rPr>
        <w:t>等規定</w:t>
      </w:r>
      <w:r w:rsidRPr="00715E34">
        <w:rPr>
          <w:rFonts w:hAnsi="標楷體" w:hint="eastAsia"/>
          <w:szCs w:val="32"/>
          <w:lang w:eastAsia="zh-HK"/>
        </w:rPr>
        <w:t>之例外情形，</w:t>
      </w:r>
      <w:r w:rsidRPr="00715E34">
        <w:rPr>
          <w:rFonts w:hAnsi="標楷體" w:hint="eastAsia"/>
          <w:szCs w:val="32"/>
        </w:rPr>
        <w:t>農業用水優先順序僅次於家用及公共給水等民生用水，相較其他用水標的，具有相對之優先權。</w:t>
      </w:r>
    </w:p>
    <w:p w:rsidR="00FF0913" w:rsidRPr="00715E34" w:rsidRDefault="003604B3" w:rsidP="00232C83">
      <w:pPr>
        <w:pStyle w:val="3"/>
        <w:topLinePunct/>
        <w:rPr>
          <w:rFonts w:hAnsi="標楷體"/>
        </w:rPr>
      </w:pPr>
      <w:r w:rsidRPr="00715E34">
        <w:rPr>
          <w:rFonts w:hAnsi="標楷體" w:hint="eastAsia"/>
          <w:szCs w:val="32"/>
        </w:rPr>
        <w:lastRenderedPageBreak/>
        <w:t>隨著社經環境轉變，國人生活水準提高、工商行業蓬勃發展，各標的用水量競用激烈，水資源日益匱乏，復以受氣候變遷之影響，乾旱發生頻率日益提高。當水資源供應量不足或乾旱期間，經濟部經常調度農業用水提供工業使用，此見諸「臺灣北部區域水資源經理基本計畫」經理策略之「農業節水」部分載明：「當地區水資源利用受限情況……減少農業缺水損失，並因應民生及工業用水之</w:t>
      </w:r>
      <w:r w:rsidRPr="00715E34">
        <w:rPr>
          <w:rFonts w:hAnsi="標楷體" w:hint="eastAsia"/>
          <w:bCs w:val="0"/>
          <w:szCs w:val="32"/>
        </w:rPr>
        <w:t>不足</w:t>
      </w:r>
      <w:r w:rsidRPr="00715E34">
        <w:rPr>
          <w:rFonts w:hAnsi="標楷體" w:hint="eastAsia"/>
          <w:szCs w:val="32"/>
        </w:rPr>
        <w:t>提供支援用水」自明。</w:t>
      </w:r>
      <w:r w:rsidRPr="00715E34">
        <w:rPr>
          <w:rFonts w:hAnsi="標楷體" w:hint="eastAsia"/>
          <w:szCs w:val="32"/>
          <w:lang w:eastAsia="zh-HK"/>
        </w:rPr>
        <w:t>此外，本院諮詢黃前政務顧問</w:t>
      </w:r>
      <w:r w:rsidR="00A47126">
        <w:rPr>
          <w:rFonts w:hAnsi="標楷體" w:hint="eastAsia"/>
          <w:szCs w:val="32"/>
          <w:lang w:eastAsia="zh-HK"/>
        </w:rPr>
        <w:t>○○</w:t>
      </w:r>
      <w:r w:rsidRPr="00715E34">
        <w:rPr>
          <w:rFonts w:hAnsi="標楷體" w:hint="eastAsia"/>
          <w:szCs w:val="32"/>
          <w:lang w:eastAsia="zh-HK"/>
        </w:rPr>
        <w:t>指出，「</w:t>
      </w:r>
      <w:r w:rsidRPr="00715E34">
        <w:rPr>
          <w:rFonts w:hAnsi="標楷體"/>
          <w:szCs w:val="32"/>
          <w:lang w:eastAsia="zh-HK"/>
        </w:rPr>
        <w:t>水利法第18條第1項規定，農業用水優先於工業用水，基此，農業用水調撥給工業用水是違法的。但是水利法第18條第2項規定，用水標的順序，主管機關對於某一水道，或政府劃定之工業區，得酌量實際情形，報請中央主管機關核准變更之。</w:t>
      </w:r>
      <w:r w:rsidRPr="00715E34">
        <w:rPr>
          <w:rFonts w:hAnsi="標楷體" w:hint="eastAsia"/>
          <w:szCs w:val="32"/>
          <w:lang w:eastAsia="zh-HK"/>
        </w:rPr>
        <w:t>本人</w:t>
      </w:r>
      <w:r w:rsidRPr="00715E34">
        <w:rPr>
          <w:rFonts w:hAnsi="標楷體"/>
          <w:szCs w:val="32"/>
          <w:lang w:eastAsia="zh-HK"/>
        </w:rPr>
        <w:t>曾經請</w:t>
      </w:r>
      <w:r w:rsidRPr="00715E34">
        <w:rPr>
          <w:rFonts w:hAnsi="標楷體" w:hint="eastAsia"/>
          <w:szCs w:val="32"/>
          <w:lang w:eastAsia="zh-HK"/>
        </w:rPr>
        <w:t>行政院</w:t>
      </w:r>
      <w:r w:rsidRPr="00715E34">
        <w:rPr>
          <w:rFonts w:hAnsi="標楷體"/>
          <w:szCs w:val="32"/>
          <w:lang w:eastAsia="zh-HK"/>
        </w:rPr>
        <w:t>國</w:t>
      </w:r>
      <w:r w:rsidRPr="00715E34">
        <w:rPr>
          <w:rFonts w:hAnsi="標楷體" w:hint="eastAsia"/>
          <w:szCs w:val="32"/>
          <w:lang w:eastAsia="zh-HK"/>
        </w:rPr>
        <w:t>家</w:t>
      </w:r>
      <w:r w:rsidRPr="00715E34">
        <w:rPr>
          <w:rFonts w:hAnsi="標楷體"/>
          <w:szCs w:val="32"/>
          <w:lang w:eastAsia="zh-HK"/>
        </w:rPr>
        <w:t>科</w:t>
      </w:r>
      <w:r w:rsidRPr="00715E34">
        <w:rPr>
          <w:rFonts w:hAnsi="標楷體" w:hint="eastAsia"/>
          <w:szCs w:val="32"/>
          <w:lang w:eastAsia="zh-HK"/>
        </w:rPr>
        <w:t>學委員</w:t>
      </w:r>
      <w:r w:rsidRPr="00715E34">
        <w:rPr>
          <w:rFonts w:hAnsi="標楷體"/>
          <w:szCs w:val="32"/>
          <w:lang w:eastAsia="zh-HK"/>
        </w:rPr>
        <w:t>會（</w:t>
      </w:r>
      <w:r w:rsidRPr="00715E34">
        <w:rPr>
          <w:rFonts w:hAnsi="標楷體" w:hint="eastAsia"/>
          <w:szCs w:val="32"/>
          <w:lang w:eastAsia="zh-HK"/>
        </w:rPr>
        <w:t>現改制科技部</w:t>
      </w:r>
      <w:r w:rsidRPr="00715E34">
        <w:rPr>
          <w:rFonts w:hAnsi="標楷體"/>
          <w:szCs w:val="32"/>
          <w:lang w:eastAsia="zh-HK"/>
        </w:rPr>
        <w:t>）及工業局輔導相關工業區報准於枯旱時期工業用水順序優先於農業用水，不過一直都沒做，倘若發生訴訟，工業是站不住腳的</w:t>
      </w:r>
      <w:r w:rsidRPr="00715E34">
        <w:rPr>
          <w:rFonts w:hAnsi="標楷體" w:hint="eastAsia"/>
          <w:szCs w:val="32"/>
          <w:lang w:eastAsia="zh-HK"/>
        </w:rPr>
        <w:t>。」</w:t>
      </w:r>
    </w:p>
    <w:p w:rsidR="003604B3" w:rsidRPr="00715E34" w:rsidRDefault="004419A8" w:rsidP="00232C83">
      <w:pPr>
        <w:pStyle w:val="3"/>
        <w:topLinePunct/>
        <w:rPr>
          <w:rFonts w:hAnsi="標楷體"/>
        </w:rPr>
      </w:pPr>
      <w:r w:rsidRPr="00715E34">
        <w:rPr>
          <w:rFonts w:hAnsi="標楷體" w:hint="eastAsia"/>
          <w:szCs w:val="32"/>
        </w:rPr>
        <w:t>查</w:t>
      </w:r>
      <w:r w:rsidR="00FF0913" w:rsidRPr="00715E34">
        <w:rPr>
          <w:rFonts w:hAnsi="標楷體" w:hint="eastAsia"/>
          <w:szCs w:val="32"/>
        </w:rPr>
        <w:t>1</w:t>
      </w:r>
      <w:r w:rsidR="00FF0913" w:rsidRPr="00715E34">
        <w:rPr>
          <w:rFonts w:hAnsi="標楷體" w:hint="eastAsia"/>
          <w:szCs w:val="32"/>
          <w:lang w:eastAsia="zh-HK"/>
        </w:rPr>
        <w:t>04年上半年抗旱</w:t>
      </w:r>
      <w:r w:rsidR="00FF0913" w:rsidRPr="00715E34">
        <w:rPr>
          <w:rFonts w:hAnsi="標楷體"/>
          <w:szCs w:val="32"/>
          <w:lang w:eastAsia="zh-HK"/>
        </w:rPr>
        <w:t>農業停灌</w:t>
      </w:r>
      <w:r w:rsidR="00FF0913" w:rsidRPr="00715E34">
        <w:rPr>
          <w:rFonts w:hAnsi="標楷體" w:hint="eastAsia"/>
          <w:szCs w:val="32"/>
        </w:rPr>
        <w:t>，</w:t>
      </w:r>
      <w:r w:rsidR="00FF0913" w:rsidRPr="00715E34">
        <w:rPr>
          <w:rFonts w:hAnsi="標楷體" w:hint="eastAsia"/>
          <w:szCs w:val="32"/>
          <w:lang w:eastAsia="zh-HK"/>
        </w:rPr>
        <w:t>詢據經濟部陳稱，</w:t>
      </w:r>
      <w:r w:rsidR="00FF0913" w:rsidRPr="00715E34">
        <w:rPr>
          <w:rFonts w:hAnsi="標楷體"/>
          <w:szCs w:val="32"/>
          <w:lang w:eastAsia="zh-HK"/>
        </w:rPr>
        <w:t>係經過技術演算後，預估水庫蓄存水量無法同時滿足民生、農業及工業所有需求，甚至無法供應全部農業稻作及雜作用水需求，不得已停灌部分灌區，以節省水量抗旱。因農業用水約</w:t>
      </w:r>
      <w:r w:rsidR="00FF0913" w:rsidRPr="00715E34">
        <w:rPr>
          <w:rFonts w:hAnsi="標楷體" w:hint="eastAsia"/>
          <w:szCs w:val="32"/>
        </w:rPr>
        <w:t>占</w:t>
      </w:r>
      <w:r w:rsidR="00FF0913" w:rsidRPr="00715E34">
        <w:rPr>
          <w:rFonts w:hAnsi="標楷體"/>
          <w:szCs w:val="32"/>
          <w:lang w:eastAsia="zh-HK"/>
        </w:rPr>
        <w:t>70％，民生用水約</w:t>
      </w:r>
      <w:r w:rsidR="00FF0913" w:rsidRPr="00715E34">
        <w:rPr>
          <w:rFonts w:hAnsi="標楷體" w:hint="eastAsia"/>
          <w:szCs w:val="32"/>
        </w:rPr>
        <w:t>占</w:t>
      </w:r>
      <w:r w:rsidR="00FF0913" w:rsidRPr="00715E34">
        <w:rPr>
          <w:rFonts w:hAnsi="標楷體"/>
          <w:szCs w:val="32"/>
          <w:lang w:eastAsia="zh-HK"/>
        </w:rPr>
        <w:t>20％，工業用水約</w:t>
      </w:r>
      <w:r w:rsidR="00FF0913" w:rsidRPr="00715E34">
        <w:rPr>
          <w:rFonts w:hAnsi="標楷體" w:hint="eastAsia"/>
          <w:szCs w:val="32"/>
        </w:rPr>
        <w:t>占</w:t>
      </w:r>
      <w:r w:rsidR="00FF0913" w:rsidRPr="00715E34">
        <w:rPr>
          <w:rFonts w:hAnsi="標楷體"/>
          <w:szCs w:val="32"/>
          <w:lang w:eastAsia="zh-HK"/>
        </w:rPr>
        <w:t>10％，如不停灌農業，可用水量原就不足以供應全部農業使用，將導致已經播種稻作及雜作後續無足夠水量灌溉，反而無法順利收成，導致更大農損</w:t>
      </w:r>
      <w:r w:rsidR="00FF0913" w:rsidRPr="00715E34">
        <w:rPr>
          <w:rFonts w:hAnsi="標楷體" w:hint="eastAsia"/>
          <w:szCs w:val="32"/>
          <w:lang w:eastAsia="zh-HK"/>
        </w:rPr>
        <w:t>。</w:t>
      </w:r>
      <w:r w:rsidR="00FF0913" w:rsidRPr="00715E34">
        <w:rPr>
          <w:rFonts w:hAnsi="標楷體" w:hint="eastAsia"/>
          <w:szCs w:val="32"/>
        </w:rPr>
        <w:t>又詢據</w:t>
      </w:r>
      <w:r w:rsidR="00FF0913" w:rsidRPr="00715E34">
        <w:rPr>
          <w:rFonts w:hAnsi="標楷體" w:hint="eastAsia"/>
          <w:szCs w:val="32"/>
          <w:lang w:eastAsia="zh-HK"/>
        </w:rPr>
        <w:t>農委會</w:t>
      </w:r>
      <w:r w:rsidR="00FF0913" w:rsidRPr="00715E34">
        <w:rPr>
          <w:rFonts w:hAnsi="標楷體" w:hint="eastAsia"/>
          <w:szCs w:val="32"/>
        </w:rPr>
        <w:t>亦稱</w:t>
      </w:r>
      <w:r w:rsidR="003604B3" w:rsidRPr="00715E34">
        <w:rPr>
          <w:rFonts w:hAnsi="標楷體" w:hint="eastAsia"/>
          <w:szCs w:val="32"/>
          <w:lang w:eastAsia="zh-HK"/>
        </w:rPr>
        <w:t>，乾旱時期各標的用水均告匱乏之際，基於農業用水之缺水容忍度較高，雖然工業用水之用水順序，依水利法第18條</w:t>
      </w:r>
      <w:r w:rsidR="003604B3" w:rsidRPr="00715E34">
        <w:rPr>
          <w:rFonts w:hAnsi="標楷體" w:hint="eastAsia"/>
          <w:szCs w:val="32"/>
        </w:rPr>
        <w:t>第1項</w:t>
      </w:r>
      <w:r w:rsidR="003604B3" w:rsidRPr="00715E34">
        <w:rPr>
          <w:rFonts w:hAnsi="標楷體" w:hint="eastAsia"/>
          <w:szCs w:val="32"/>
          <w:lang w:eastAsia="zh-HK"/>
        </w:rPr>
        <w:t>規定，次於農業用水，即使面臨乾旱</w:t>
      </w:r>
      <w:r w:rsidR="003604B3" w:rsidRPr="00715E34">
        <w:rPr>
          <w:rFonts w:hAnsi="標楷體" w:hint="eastAsia"/>
          <w:szCs w:val="32"/>
        </w:rPr>
        <w:lastRenderedPageBreak/>
        <w:t>缺水情況，依法亦無優先移用農業用水地位；惟考量當前工業及科學園區用水影響經濟發展至鉅，農業部門在產業用水不足時，均適時配合支援移用，有效避免經濟成長受到水資源開發供應不足之影響</w:t>
      </w:r>
      <w:r w:rsidR="003604B3" w:rsidRPr="00715E34">
        <w:rPr>
          <w:rFonts w:hAnsi="標楷體" w:hint="eastAsia"/>
          <w:sz w:val="28"/>
          <w:szCs w:val="28"/>
        </w:rPr>
        <w:t>。</w:t>
      </w:r>
      <w:r w:rsidR="003604B3" w:rsidRPr="00715E34">
        <w:rPr>
          <w:rFonts w:hAnsi="標楷體" w:hint="eastAsia"/>
          <w:szCs w:val="32"/>
        </w:rPr>
        <w:t>足徵因農業灌溉用水占總用水比率大，</w:t>
      </w:r>
      <w:r w:rsidR="003604B3" w:rsidRPr="00715E34">
        <w:rPr>
          <w:rFonts w:hAnsi="標楷體" w:hint="eastAsia"/>
          <w:szCs w:val="32"/>
          <w:lang w:eastAsia="zh-HK"/>
        </w:rPr>
        <w:t>而</w:t>
      </w:r>
      <w:r w:rsidR="003604B3" w:rsidRPr="00715E34">
        <w:rPr>
          <w:rFonts w:hAnsi="標楷體" w:hint="eastAsia"/>
          <w:szCs w:val="32"/>
        </w:rPr>
        <w:t>農業</w:t>
      </w:r>
      <w:r w:rsidR="003604B3" w:rsidRPr="00715E34">
        <w:rPr>
          <w:rFonts w:hAnsi="標楷體" w:hint="eastAsia"/>
          <w:szCs w:val="32"/>
          <w:lang w:eastAsia="zh-HK"/>
        </w:rPr>
        <w:t>產值較低</w:t>
      </w:r>
      <w:r w:rsidR="003604B3" w:rsidRPr="00715E34">
        <w:rPr>
          <w:rStyle w:val="aff2"/>
          <w:rFonts w:hAnsi="標楷體"/>
          <w:szCs w:val="32"/>
          <w:lang w:eastAsia="zh-HK"/>
        </w:rPr>
        <w:footnoteReference w:id="19"/>
      </w:r>
      <w:r w:rsidR="003604B3" w:rsidRPr="00715E34">
        <w:rPr>
          <w:rFonts w:hAnsi="標楷體" w:hint="eastAsia"/>
          <w:szCs w:val="32"/>
          <w:lang w:eastAsia="zh-HK"/>
        </w:rPr>
        <w:t>（</w:t>
      </w:r>
      <w:r w:rsidR="003604B3" w:rsidRPr="00715E34">
        <w:rPr>
          <w:rFonts w:hAnsi="標楷體" w:hint="eastAsia"/>
          <w:szCs w:val="32"/>
        </w:rPr>
        <w:t>按行政院主計總處統計，</w:t>
      </w:r>
      <w:r w:rsidR="003604B3" w:rsidRPr="00715E34">
        <w:rPr>
          <w:rFonts w:hAnsi="標楷體"/>
          <w:szCs w:val="32"/>
        </w:rPr>
        <w:t>10</w:t>
      </w:r>
      <w:r w:rsidR="003604B3" w:rsidRPr="00715E34">
        <w:rPr>
          <w:rFonts w:hAnsi="標楷體" w:hint="eastAsia"/>
          <w:szCs w:val="32"/>
        </w:rPr>
        <w:t>4</w:t>
      </w:r>
      <w:r w:rsidR="00232C83" w:rsidRPr="00715E34">
        <w:rPr>
          <w:rFonts w:hAnsi="標楷體" w:hint="eastAsia"/>
          <w:szCs w:val="32"/>
        </w:rPr>
        <w:t>年農林漁牧業產值占</w:t>
      </w:r>
      <w:r w:rsidR="00232C83" w:rsidRPr="00715E34">
        <w:rPr>
          <w:rFonts w:hAnsi="標楷體" w:hint="eastAsia"/>
          <w:szCs w:val="32"/>
          <w:lang w:eastAsia="zh-HK"/>
        </w:rPr>
        <w:t>國內生產總值</w:t>
      </w:r>
      <w:r w:rsidR="003604B3" w:rsidRPr="00715E34">
        <w:rPr>
          <w:rFonts w:hAnsi="標楷體" w:hint="eastAsia"/>
          <w:szCs w:val="32"/>
        </w:rPr>
        <w:t>1.78</w:t>
      </w:r>
      <w:r w:rsidR="003604B3" w:rsidRPr="00715E34">
        <w:rPr>
          <w:rFonts w:hAnsi="標楷體"/>
          <w:szCs w:val="32"/>
        </w:rPr>
        <w:t>%</w:t>
      </w:r>
      <w:r w:rsidR="003604B3" w:rsidRPr="00715E34">
        <w:rPr>
          <w:rFonts w:hAnsi="標楷體" w:hint="eastAsia"/>
          <w:szCs w:val="32"/>
        </w:rPr>
        <w:t>，製造業占35.41</w:t>
      </w:r>
      <w:r w:rsidR="003604B3" w:rsidRPr="00715E34">
        <w:rPr>
          <w:rFonts w:hAnsi="標楷體"/>
          <w:szCs w:val="32"/>
        </w:rPr>
        <w:t>%）</w:t>
      </w:r>
      <w:r w:rsidR="003604B3" w:rsidRPr="00715E34">
        <w:rPr>
          <w:rFonts w:hAnsi="標楷體"/>
          <w:szCs w:val="32"/>
          <w:lang w:eastAsia="zh-HK"/>
        </w:rPr>
        <w:t>，</w:t>
      </w:r>
      <w:r w:rsidR="003604B3" w:rsidRPr="00715E34">
        <w:rPr>
          <w:rFonts w:hAnsi="標楷體" w:hint="eastAsia"/>
          <w:szCs w:val="32"/>
        </w:rPr>
        <w:t>政策上經常於枯旱期彈性調度</w:t>
      </w:r>
      <w:r w:rsidR="003604B3" w:rsidRPr="00715E34">
        <w:rPr>
          <w:rFonts w:hAnsi="標楷體" w:hint="eastAsia"/>
          <w:szCs w:val="32"/>
          <w:lang w:eastAsia="zh-HK"/>
        </w:rPr>
        <w:t>供應</w:t>
      </w:r>
      <w:r w:rsidR="003604B3" w:rsidRPr="00715E34">
        <w:rPr>
          <w:rFonts w:hAnsi="標楷體" w:hint="eastAsia"/>
          <w:szCs w:val="32"/>
        </w:rPr>
        <w:t>工業部門，以紓解缺水忍受度低之產業。</w:t>
      </w:r>
    </w:p>
    <w:p w:rsidR="003604B3" w:rsidRPr="00715E34" w:rsidRDefault="003604B3" w:rsidP="00232C83">
      <w:pPr>
        <w:pStyle w:val="3"/>
        <w:topLinePunct/>
        <w:rPr>
          <w:rFonts w:hAnsi="標楷體"/>
          <w:szCs w:val="32"/>
        </w:rPr>
      </w:pPr>
      <w:r w:rsidRPr="00715E34">
        <w:rPr>
          <w:rFonts w:hAnsi="標楷體"/>
          <w:szCs w:val="32"/>
        </w:rPr>
        <w:t>工業</w:t>
      </w:r>
      <w:r w:rsidRPr="00715E34">
        <w:rPr>
          <w:rFonts w:hAnsi="標楷體" w:hint="eastAsia"/>
          <w:szCs w:val="32"/>
        </w:rPr>
        <w:t>部門</w:t>
      </w:r>
      <w:r w:rsidRPr="00715E34">
        <w:rPr>
          <w:rFonts w:hAnsi="標楷體"/>
          <w:szCs w:val="32"/>
        </w:rPr>
        <w:t>於枯旱</w:t>
      </w:r>
      <w:r w:rsidRPr="00715E34">
        <w:rPr>
          <w:rFonts w:hAnsi="標楷體" w:hint="eastAsia"/>
          <w:szCs w:val="32"/>
          <w:lang w:eastAsia="zh-HK"/>
        </w:rPr>
        <w:t>期</w:t>
      </w:r>
      <w:r w:rsidRPr="00715E34">
        <w:rPr>
          <w:rFonts w:hAnsi="標楷體"/>
          <w:szCs w:val="32"/>
        </w:rPr>
        <w:t>調</w:t>
      </w:r>
      <w:r w:rsidRPr="00715E34">
        <w:rPr>
          <w:rFonts w:hAnsi="標楷體" w:hint="eastAsia"/>
          <w:szCs w:val="32"/>
          <w:lang w:eastAsia="zh-HK"/>
        </w:rPr>
        <w:t>度</w:t>
      </w:r>
      <w:r w:rsidRPr="00715E34">
        <w:rPr>
          <w:rFonts w:hAnsi="標楷體"/>
          <w:szCs w:val="32"/>
        </w:rPr>
        <w:t>農業用水之補償費用</w:t>
      </w:r>
      <w:r w:rsidRPr="00715E34">
        <w:rPr>
          <w:rFonts w:hAnsi="標楷體" w:hint="eastAsia"/>
          <w:szCs w:val="32"/>
        </w:rPr>
        <w:t>，依經濟部洽科技部中部</w:t>
      </w:r>
      <w:r w:rsidRPr="00715E34">
        <w:rPr>
          <w:rFonts w:hAnsi="標楷體"/>
          <w:szCs w:val="32"/>
        </w:rPr>
        <w:t>科學</w:t>
      </w:r>
      <w:r w:rsidRPr="00715E34">
        <w:rPr>
          <w:rFonts w:hAnsi="標楷體" w:hint="eastAsia"/>
          <w:szCs w:val="32"/>
        </w:rPr>
        <w:t>工業</w:t>
      </w:r>
      <w:r w:rsidRPr="00715E34">
        <w:rPr>
          <w:rFonts w:hAnsi="標楷體"/>
          <w:szCs w:val="32"/>
        </w:rPr>
        <w:t>園區管理局</w:t>
      </w:r>
      <w:r w:rsidRPr="00715E34">
        <w:rPr>
          <w:rFonts w:hAnsi="標楷體" w:hint="eastAsia"/>
          <w:szCs w:val="32"/>
        </w:rPr>
        <w:t>（下稱中部</w:t>
      </w:r>
      <w:r w:rsidRPr="00715E34">
        <w:rPr>
          <w:rFonts w:hAnsi="標楷體"/>
          <w:szCs w:val="32"/>
        </w:rPr>
        <w:t>科學園區管理局</w:t>
      </w:r>
      <w:r w:rsidRPr="00715E34">
        <w:rPr>
          <w:rFonts w:hAnsi="標楷體" w:hint="eastAsia"/>
          <w:szCs w:val="32"/>
        </w:rPr>
        <w:t>）</w:t>
      </w:r>
      <w:r w:rsidRPr="00715E34">
        <w:rPr>
          <w:rFonts w:hAnsi="標楷體"/>
          <w:szCs w:val="32"/>
        </w:rPr>
        <w:t>表示</w:t>
      </w:r>
      <w:r w:rsidRPr="00715E34">
        <w:rPr>
          <w:rFonts w:hAnsi="標楷體" w:hint="eastAsia"/>
          <w:szCs w:val="32"/>
        </w:rPr>
        <w:t>，倘因枯旱公告停灌需分擔補償經費，係因天候異常導致水情不佳引起，非常態可預估狀況，所需經費依「中央政府附屬單位預算執行要點」第9點第13項第2款規定，先經專案報科技部</w:t>
      </w:r>
      <w:r w:rsidRPr="00715E34">
        <w:rPr>
          <w:rFonts w:hAnsi="標楷體"/>
          <w:szCs w:val="32"/>
        </w:rPr>
        <w:t>作業</w:t>
      </w:r>
      <w:r w:rsidRPr="00715E34">
        <w:rPr>
          <w:rFonts w:hAnsi="標楷體" w:hint="eastAsia"/>
          <w:szCs w:val="32"/>
        </w:rPr>
        <w:t>基金管理會審議後核轉行政院核定，由「科技部科學工業園區管理局</w:t>
      </w:r>
      <w:r w:rsidRPr="00715E34">
        <w:rPr>
          <w:rFonts w:hAnsi="標楷體"/>
          <w:szCs w:val="32"/>
        </w:rPr>
        <w:t>作業基金</w:t>
      </w:r>
      <w:r w:rsidRPr="00715E34">
        <w:rPr>
          <w:rFonts w:hAnsi="標楷體" w:hint="eastAsia"/>
          <w:szCs w:val="32"/>
        </w:rPr>
        <w:t>」支應，該</w:t>
      </w:r>
      <w:r w:rsidRPr="00715E34">
        <w:rPr>
          <w:rFonts w:hAnsi="標楷體"/>
          <w:szCs w:val="32"/>
        </w:rPr>
        <w:t>基金之主要收入</w:t>
      </w:r>
      <w:r w:rsidRPr="00715E34">
        <w:rPr>
          <w:rFonts w:hAnsi="標楷體" w:hint="eastAsia"/>
          <w:szCs w:val="32"/>
        </w:rPr>
        <w:t>，</w:t>
      </w:r>
      <w:r w:rsidRPr="00715E34">
        <w:rPr>
          <w:rFonts w:hAnsi="標楷體"/>
          <w:szCs w:val="32"/>
        </w:rPr>
        <w:t>係為科學園區廠商依營業額所繳交之管理費及土地廠房之租金，</w:t>
      </w:r>
      <w:r w:rsidRPr="00715E34">
        <w:rPr>
          <w:rFonts w:hAnsi="標楷體"/>
        </w:rPr>
        <w:t>等同於園區廠商依使用者付費原則負擔</w:t>
      </w:r>
      <w:r w:rsidRPr="00715E34">
        <w:rPr>
          <w:rFonts w:hAnsi="標楷體" w:hint="eastAsia"/>
          <w:szCs w:val="32"/>
        </w:rPr>
        <w:t>。</w:t>
      </w:r>
      <w:r w:rsidRPr="00715E34">
        <w:rPr>
          <w:rFonts w:hAnsi="標楷體" w:hint="eastAsia"/>
          <w:szCs w:val="32"/>
          <w:lang w:eastAsia="zh-HK"/>
        </w:rPr>
        <w:t>又</w:t>
      </w:r>
      <w:r w:rsidRPr="00715E34">
        <w:rPr>
          <w:rFonts w:hAnsi="標楷體" w:hint="eastAsia"/>
          <w:szCs w:val="32"/>
        </w:rPr>
        <w:t>據經濟部查復，科技部99年</w:t>
      </w:r>
      <w:r w:rsidRPr="00715E34">
        <w:rPr>
          <w:rFonts w:hAnsi="標楷體" w:hint="eastAsia"/>
          <w:szCs w:val="32"/>
          <w:lang w:eastAsia="zh-HK"/>
        </w:rPr>
        <w:t>及104年於</w:t>
      </w:r>
      <w:r w:rsidRPr="00715E34">
        <w:rPr>
          <w:rFonts w:hAnsi="標楷體" w:hint="eastAsia"/>
          <w:szCs w:val="32"/>
        </w:rPr>
        <w:t>枯旱停灌休耕，</w:t>
      </w:r>
      <w:r w:rsidRPr="00715E34">
        <w:rPr>
          <w:rFonts w:hAnsi="標楷體"/>
          <w:szCs w:val="32"/>
        </w:rPr>
        <w:t>依調用水量比</w:t>
      </w:r>
      <w:r w:rsidRPr="00715E34">
        <w:rPr>
          <w:rFonts w:hAnsi="標楷體" w:hint="eastAsia"/>
          <w:szCs w:val="32"/>
        </w:rPr>
        <w:t>率</w:t>
      </w:r>
      <w:r w:rsidRPr="00715E34">
        <w:rPr>
          <w:rFonts w:hAnsi="標楷體"/>
          <w:szCs w:val="32"/>
        </w:rPr>
        <w:t>計算</w:t>
      </w:r>
      <w:r w:rsidRPr="00715E34">
        <w:rPr>
          <w:rFonts w:hAnsi="標楷體" w:hint="eastAsia"/>
          <w:szCs w:val="32"/>
        </w:rPr>
        <w:t>分擔補償金額</w:t>
      </w:r>
      <w:r w:rsidRPr="00715E34">
        <w:rPr>
          <w:rFonts w:hAnsi="標楷體" w:hint="eastAsia"/>
          <w:szCs w:val="32"/>
          <w:lang w:eastAsia="zh-HK"/>
        </w:rPr>
        <w:t>計約</w:t>
      </w:r>
      <w:r w:rsidRPr="00715E34">
        <w:rPr>
          <w:rFonts w:hAnsi="標楷體" w:hint="eastAsia"/>
          <w:szCs w:val="32"/>
        </w:rPr>
        <w:t>4.01</w:t>
      </w:r>
      <w:r w:rsidRPr="00715E34">
        <w:rPr>
          <w:rFonts w:hAnsi="標楷體" w:hint="eastAsia"/>
          <w:szCs w:val="32"/>
          <w:lang w:eastAsia="zh-HK"/>
        </w:rPr>
        <w:t>億</w:t>
      </w:r>
      <w:r w:rsidRPr="00715E34">
        <w:rPr>
          <w:rFonts w:hAnsi="標楷體" w:hint="eastAsia"/>
          <w:szCs w:val="32"/>
        </w:rPr>
        <w:t>元。</w:t>
      </w:r>
    </w:p>
    <w:p w:rsidR="003604B3" w:rsidRPr="00715E34" w:rsidRDefault="003604B3" w:rsidP="00232C83">
      <w:pPr>
        <w:pStyle w:val="3"/>
        <w:topLinePunct/>
        <w:rPr>
          <w:rFonts w:hAnsi="標楷體"/>
        </w:rPr>
      </w:pPr>
      <w:r w:rsidRPr="00715E34">
        <w:rPr>
          <w:rFonts w:hAnsi="標楷體" w:hint="eastAsia"/>
        </w:rPr>
        <w:t>水利法第18條第1項明定，用水標的之順序</w:t>
      </w:r>
      <w:r w:rsidRPr="00715E34">
        <w:rPr>
          <w:rFonts w:hAnsi="標楷體" w:hint="eastAsia"/>
          <w:lang w:eastAsia="zh-HK"/>
        </w:rPr>
        <w:t>係農業用水先於工業用水</w:t>
      </w:r>
      <w:r w:rsidRPr="00715E34">
        <w:rPr>
          <w:rFonts w:hAnsi="標楷體" w:hint="eastAsia"/>
        </w:rPr>
        <w:t>，是經濟部與農委會於枯旱期移用農業用水支援工業部門使用，固考量農業對缺水忍受度高，以及工業產值較高等現狀因素；然而，農</w:t>
      </w:r>
      <w:r w:rsidRPr="00715E34">
        <w:rPr>
          <w:rFonts w:hAnsi="標楷體" w:hint="eastAsia"/>
        </w:rPr>
        <w:lastRenderedPageBreak/>
        <w:t>業用水轉供工業部門已明確違反前開水利法第18條</w:t>
      </w:r>
      <w:r w:rsidRPr="00715E34">
        <w:rPr>
          <w:rFonts w:hAnsi="標楷體" w:hint="eastAsia"/>
          <w:lang w:eastAsia="zh-HK"/>
        </w:rPr>
        <w:t>第1項用水標的順位之</w:t>
      </w:r>
      <w:r w:rsidRPr="00715E34">
        <w:rPr>
          <w:rFonts w:hAnsi="標楷體" w:hint="eastAsia"/>
        </w:rPr>
        <w:t>規定。</w:t>
      </w:r>
      <w:r w:rsidRPr="00715E34">
        <w:rPr>
          <w:rFonts w:hAnsi="標楷體" w:hint="eastAsia"/>
          <w:lang w:eastAsia="zh-HK"/>
        </w:rPr>
        <w:t>再按</w:t>
      </w:r>
      <w:r w:rsidRPr="00715E34">
        <w:rPr>
          <w:rFonts w:hAnsi="標楷體" w:hint="eastAsia"/>
        </w:rPr>
        <w:t>水利法第20條規定，當水源之水量不足而發生取水衝突時，農業用水相對於工業用水有優先權；申言之</w:t>
      </w:r>
      <w:r w:rsidR="001A7CE3" w:rsidRPr="00715E34">
        <w:rPr>
          <w:rFonts w:hAnsi="標楷體" w:hint="eastAsia"/>
        </w:rPr>
        <w:t>，即使面臨乾旱缺水情況，工業部門依法亦無優先移用農業用水</w:t>
      </w:r>
      <w:r w:rsidR="00CC6032" w:rsidRPr="00715E34">
        <w:rPr>
          <w:rFonts w:hAnsi="標楷體" w:hint="eastAsia"/>
        </w:rPr>
        <w:t>。惟實務上</w:t>
      </w:r>
      <w:r w:rsidRPr="00715E34">
        <w:rPr>
          <w:rFonts w:hAnsi="標楷體" w:hint="eastAsia"/>
        </w:rPr>
        <w:t>工業生產及科學園區用水不穩</w:t>
      </w:r>
      <w:r w:rsidRPr="00715E34">
        <w:rPr>
          <w:rFonts w:hAnsi="標楷體" w:hint="eastAsia"/>
          <w:lang w:eastAsia="zh-HK"/>
        </w:rPr>
        <w:t>定</w:t>
      </w:r>
      <w:r w:rsidRPr="00715E34">
        <w:rPr>
          <w:rFonts w:hAnsi="標楷體" w:hint="eastAsia"/>
        </w:rPr>
        <w:t>足以影響經濟發展及競爭力，農業部門在</w:t>
      </w:r>
      <w:r w:rsidR="00510026" w:rsidRPr="00715E34">
        <w:rPr>
          <w:rFonts w:hAnsi="標楷體" w:hint="eastAsia"/>
        </w:rPr>
        <w:t>工</w:t>
      </w:r>
      <w:r w:rsidRPr="00715E34">
        <w:rPr>
          <w:rFonts w:hAnsi="標楷體" w:hint="eastAsia"/>
        </w:rPr>
        <w:t>業用水不足時，均適時配合支援移用，避免國家經濟成長受到水資源開發供應不足之重大影響。</w:t>
      </w:r>
      <w:r w:rsidRPr="00715E34">
        <w:rPr>
          <w:rFonts w:hAnsi="標楷體" w:hint="eastAsia"/>
          <w:lang w:eastAsia="zh-HK"/>
        </w:rPr>
        <w:t>再者，</w:t>
      </w:r>
      <w:r w:rsidRPr="00715E34">
        <w:rPr>
          <w:rFonts w:hAnsi="標楷體" w:hint="eastAsia"/>
        </w:rPr>
        <w:t>許多工業用水戶經由自來水事業供水管路取得水源，</w:t>
      </w:r>
      <w:r w:rsidR="00EC042A" w:rsidRPr="00715E34">
        <w:rPr>
          <w:rFonts w:hAnsi="標楷體" w:hint="eastAsia"/>
        </w:rPr>
        <w:t>根據水利署各項用水統計資料庫</w:t>
      </w:r>
      <w:r w:rsidR="00973DBE" w:rsidRPr="00715E34">
        <w:rPr>
          <w:rFonts w:hAnsi="標楷體" w:hint="eastAsia"/>
        </w:rPr>
        <w:t>顯示，</w:t>
      </w:r>
      <w:r w:rsidR="00BE105F" w:rsidRPr="00715E34">
        <w:rPr>
          <w:rFonts w:hAnsi="標楷體" w:hint="eastAsia"/>
        </w:rPr>
        <w:t>103年</w:t>
      </w:r>
      <w:r w:rsidR="00973DBE" w:rsidRPr="00715E34">
        <w:rPr>
          <w:rFonts w:hAnsi="標楷體" w:hint="eastAsia"/>
        </w:rPr>
        <w:t>工業用水</w:t>
      </w:r>
      <w:r w:rsidR="002069FC" w:rsidRPr="00715E34">
        <w:rPr>
          <w:rFonts w:hAnsi="標楷體" w:hint="eastAsia"/>
        </w:rPr>
        <w:t>量共16.36億立方公尺</w:t>
      </w:r>
      <w:r w:rsidR="00973DBE" w:rsidRPr="00715E34">
        <w:rPr>
          <w:rFonts w:hAnsi="標楷體" w:hint="eastAsia"/>
        </w:rPr>
        <w:t>，</w:t>
      </w:r>
      <w:r w:rsidR="002069FC" w:rsidRPr="00715E34">
        <w:rPr>
          <w:rFonts w:hAnsi="標楷體" w:hint="eastAsia"/>
        </w:rPr>
        <w:t>其中</w:t>
      </w:r>
      <w:r w:rsidR="00740B85" w:rsidRPr="00715E34">
        <w:rPr>
          <w:rFonts w:hAnsi="標楷體" w:hint="eastAsia"/>
        </w:rPr>
        <w:t>水源</w:t>
      </w:r>
      <w:r w:rsidR="001A7CE3" w:rsidRPr="00715E34">
        <w:rPr>
          <w:rFonts w:hAnsi="標楷體" w:hint="eastAsia"/>
        </w:rPr>
        <w:t>由</w:t>
      </w:r>
      <w:r w:rsidR="008E716E" w:rsidRPr="00715E34">
        <w:rPr>
          <w:rFonts w:hAnsi="標楷體" w:hint="eastAsia"/>
        </w:rPr>
        <w:t>自來水</w:t>
      </w:r>
      <w:r w:rsidR="001A7CE3" w:rsidRPr="00715E34">
        <w:rPr>
          <w:rFonts w:hAnsi="標楷體" w:hint="eastAsia"/>
        </w:rPr>
        <w:t>取得</w:t>
      </w:r>
      <w:r w:rsidR="00F1089D" w:rsidRPr="00715E34">
        <w:rPr>
          <w:rFonts w:hAnsi="標楷體" w:hint="eastAsia"/>
        </w:rPr>
        <w:t>高</w:t>
      </w:r>
      <w:r w:rsidR="008E716E" w:rsidRPr="00715E34">
        <w:rPr>
          <w:rFonts w:hAnsi="標楷體" w:hint="eastAsia"/>
        </w:rPr>
        <w:t>達50.74%，</w:t>
      </w:r>
      <w:r w:rsidR="00973DBE" w:rsidRPr="00715E34">
        <w:rPr>
          <w:rFonts w:hAnsi="標楷體" w:hint="eastAsia"/>
        </w:rPr>
        <w:t>約8.30億立方公尺，造成農業用水表面上雖是移轉給自來水事業供民生使用，但實際上則為部分工業部門受益</w:t>
      </w:r>
      <w:r w:rsidRPr="00715E34">
        <w:rPr>
          <w:rFonts w:hAnsi="標楷體" w:hint="eastAsia"/>
        </w:rPr>
        <w:t>。鑑於乾旱缺水</w:t>
      </w:r>
      <w:r w:rsidRPr="00715E34">
        <w:rPr>
          <w:rFonts w:hAnsi="標楷體" w:hint="eastAsia"/>
          <w:lang w:eastAsia="zh-HK"/>
        </w:rPr>
        <w:t>時</w:t>
      </w:r>
      <w:r w:rsidRPr="00715E34">
        <w:rPr>
          <w:rFonts w:hAnsi="標楷體" w:hint="eastAsia"/>
        </w:rPr>
        <w:t>期</w:t>
      </w:r>
      <w:r w:rsidRPr="00715E34">
        <w:rPr>
          <w:rFonts w:hAnsi="標楷體"/>
        </w:rPr>
        <w:t>農業亦</w:t>
      </w:r>
      <w:r w:rsidRPr="00715E34">
        <w:rPr>
          <w:rFonts w:hAnsi="標楷體" w:hint="eastAsia"/>
          <w:lang w:eastAsia="zh-HK"/>
        </w:rPr>
        <w:t>處於</w:t>
      </w:r>
      <w:r w:rsidRPr="00715E34">
        <w:rPr>
          <w:rFonts w:hAnsi="標楷體"/>
        </w:rPr>
        <w:t>用水</w:t>
      </w:r>
      <w:r w:rsidRPr="00715E34">
        <w:rPr>
          <w:rFonts w:hAnsi="標楷體" w:hint="eastAsia"/>
          <w:lang w:eastAsia="zh-HK"/>
        </w:rPr>
        <w:t>量</w:t>
      </w:r>
      <w:r w:rsidRPr="00715E34">
        <w:rPr>
          <w:rFonts w:hAnsi="標楷體" w:hint="eastAsia"/>
        </w:rPr>
        <w:t>匱乏</w:t>
      </w:r>
      <w:r w:rsidRPr="00715E34">
        <w:rPr>
          <w:rFonts w:hAnsi="標楷體"/>
        </w:rPr>
        <w:t>狀態，</w:t>
      </w:r>
      <w:r w:rsidRPr="00715E34">
        <w:rPr>
          <w:rFonts w:hAnsi="標楷體" w:hint="eastAsia"/>
        </w:rPr>
        <w:t>仍</w:t>
      </w:r>
      <w:r w:rsidRPr="00715E34">
        <w:rPr>
          <w:rFonts w:hAnsi="標楷體"/>
        </w:rPr>
        <w:t>需</w:t>
      </w:r>
      <w:r w:rsidRPr="00715E34">
        <w:rPr>
          <w:rFonts w:hAnsi="標楷體" w:hint="eastAsia"/>
        </w:rPr>
        <w:t>配合</w:t>
      </w:r>
      <w:r w:rsidRPr="00715E34">
        <w:rPr>
          <w:rFonts w:hAnsi="標楷體"/>
        </w:rPr>
        <w:t>支援工業</w:t>
      </w:r>
      <w:r w:rsidRPr="00715E34">
        <w:rPr>
          <w:rFonts w:hAnsi="標楷體" w:hint="eastAsia"/>
        </w:rPr>
        <w:t>部門</w:t>
      </w:r>
      <w:r w:rsidRPr="00715E34">
        <w:rPr>
          <w:rFonts w:hAnsi="標楷體"/>
        </w:rPr>
        <w:t>之</w:t>
      </w:r>
      <w:r w:rsidRPr="00715E34">
        <w:rPr>
          <w:rFonts w:hAnsi="標楷體" w:hint="eastAsia"/>
          <w:lang w:eastAsia="zh-HK"/>
        </w:rPr>
        <w:t>作</w:t>
      </w:r>
      <w:r w:rsidRPr="00715E34">
        <w:rPr>
          <w:rFonts w:hAnsi="標楷體" w:hint="eastAsia"/>
        </w:rPr>
        <w:t>法，動輒引發農民負面觀感，</w:t>
      </w:r>
      <w:r w:rsidRPr="00715E34">
        <w:rPr>
          <w:rFonts w:hAnsi="標楷體" w:hint="eastAsia"/>
          <w:lang w:eastAsia="zh-HK"/>
        </w:rPr>
        <w:t>經濟部亟應正視並務實</w:t>
      </w:r>
      <w:r w:rsidRPr="00715E34">
        <w:rPr>
          <w:rFonts w:hAnsi="標楷體" w:hint="eastAsia"/>
        </w:rPr>
        <w:t>檢討</w:t>
      </w:r>
      <w:r w:rsidRPr="00715E34">
        <w:rPr>
          <w:rFonts w:hAnsi="標楷體" w:hint="eastAsia"/>
          <w:lang w:eastAsia="zh-HK"/>
        </w:rPr>
        <w:t>，</w:t>
      </w:r>
      <w:r w:rsidRPr="00715E34">
        <w:rPr>
          <w:rFonts w:hAnsi="標楷體" w:hint="eastAsia"/>
        </w:rPr>
        <w:t>調和農業用水與工業用水之利益</w:t>
      </w:r>
      <w:r w:rsidRPr="00715E34">
        <w:rPr>
          <w:rFonts w:hAnsi="標楷體" w:hint="eastAsia"/>
          <w:lang w:eastAsia="zh-HK"/>
        </w:rPr>
        <w:t>，於法制上妥適處理</w:t>
      </w:r>
      <w:r w:rsidRPr="00715E34">
        <w:rPr>
          <w:rFonts w:hAnsi="標楷體" w:hint="eastAsia"/>
        </w:rPr>
        <w:t>，以維</w:t>
      </w:r>
      <w:r w:rsidRPr="00715E34">
        <w:rPr>
          <w:rFonts w:hAnsi="標楷體"/>
        </w:rPr>
        <w:t>用水秩序。</w:t>
      </w:r>
    </w:p>
    <w:p w:rsidR="003604B3" w:rsidRPr="00715E34" w:rsidRDefault="003604B3" w:rsidP="00232C83">
      <w:pPr>
        <w:pStyle w:val="3"/>
        <w:topLinePunct/>
        <w:rPr>
          <w:rFonts w:hAnsi="標楷體"/>
          <w:lang w:eastAsia="zh-HK"/>
        </w:rPr>
      </w:pPr>
      <w:r w:rsidRPr="00715E34">
        <w:rPr>
          <w:rFonts w:hAnsi="標楷體" w:hint="eastAsia"/>
        </w:rPr>
        <w:t>綜上，現行枯旱期或水源不足時，農業用水</w:t>
      </w:r>
      <w:r w:rsidRPr="00715E34">
        <w:rPr>
          <w:rFonts w:hAnsi="標楷體" w:hint="eastAsia"/>
          <w:szCs w:val="32"/>
          <w:lang w:eastAsia="zh-HK"/>
        </w:rPr>
        <w:t>臨時</w:t>
      </w:r>
      <w:r w:rsidRPr="00715E34">
        <w:rPr>
          <w:rFonts w:hAnsi="標楷體" w:hint="eastAsia"/>
        </w:rPr>
        <w:t>移撥給工業部門使用之</w:t>
      </w:r>
      <w:r w:rsidRPr="00715E34">
        <w:rPr>
          <w:rFonts w:hAnsi="標楷體" w:hint="eastAsia"/>
          <w:lang w:eastAsia="zh-HK"/>
        </w:rPr>
        <w:t>權</w:t>
      </w:r>
      <w:r w:rsidRPr="00715E34">
        <w:rPr>
          <w:rFonts w:hAnsi="標楷體" w:hint="eastAsia"/>
        </w:rPr>
        <w:t>宜做法，顯與水利法明定農業享有優先用水權之規定相悖；</w:t>
      </w:r>
      <w:r w:rsidRPr="00715E34">
        <w:rPr>
          <w:rFonts w:hAnsi="標楷體" w:hint="eastAsia"/>
          <w:szCs w:val="32"/>
        </w:rPr>
        <w:t>經濟部每於枯旱期結束後即不了了之，顯未善盡</w:t>
      </w:r>
      <w:r w:rsidRPr="00715E34">
        <w:rPr>
          <w:rFonts w:hAnsi="標楷體" w:hint="eastAsia"/>
          <w:lang w:eastAsia="zh-HK"/>
        </w:rPr>
        <w:t>完</w:t>
      </w:r>
      <w:r w:rsidRPr="00715E34">
        <w:rPr>
          <w:rFonts w:hAnsi="標楷體" w:hint="eastAsia"/>
        </w:rPr>
        <w:t>備</w:t>
      </w:r>
      <w:r w:rsidRPr="00715E34">
        <w:rPr>
          <w:rFonts w:hAnsi="標楷體" w:hint="eastAsia"/>
          <w:lang w:eastAsia="zh-HK"/>
        </w:rPr>
        <w:t>法制</w:t>
      </w:r>
      <w:r w:rsidRPr="00715E34">
        <w:rPr>
          <w:rFonts w:hAnsi="標楷體" w:hint="eastAsia"/>
          <w:szCs w:val="32"/>
        </w:rPr>
        <w:t>之能事。</w:t>
      </w:r>
    </w:p>
    <w:p w:rsidR="00874EBF" w:rsidRPr="00715E34" w:rsidRDefault="00874EBF" w:rsidP="00874EBF">
      <w:pPr>
        <w:pStyle w:val="2"/>
        <w:topLinePunct/>
        <w:spacing w:beforeLines="25" w:before="114"/>
        <w:ind w:left="1020" w:hanging="680"/>
        <w:rPr>
          <w:rFonts w:hAnsi="標楷體"/>
          <w:b/>
          <w:lang w:eastAsia="zh-HK"/>
        </w:rPr>
      </w:pPr>
      <w:bookmarkStart w:id="86" w:name="_Toc458000628"/>
      <w:bookmarkEnd w:id="83"/>
      <w:bookmarkEnd w:id="84"/>
      <w:bookmarkEnd w:id="85"/>
      <w:r w:rsidRPr="00715E34">
        <w:rPr>
          <w:rFonts w:hAnsi="標楷體" w:hint="eastAsia"/>
          <w:b/>
          <w:szCs w:val="36"/>
        </w:rPr>
        <w:t>水權移用乃涉及不同用水標的之重大利益，</w:t>
      </w:r>
      <w:r w:rsidRPr="00715E34">
        <w:rPr>
          <w:rFonts w:hAnsi="標楷體" w:hint="eastAsia"/>
          <w:b/>
          <w:szCs w:val="32"/>
        </w:rPr>
        <w:t>經濟部僅以「農業用水調度使用協調作業要點」規範於枯旱或水源水量不足時調用農業用水之補償爭議，允應檢討</w:t>
      </w:r>
      <w:bookmarkEnd w:id="86"/>
    </w:p>
    <w:p w:rsidR="00874EBF" w:rsidRPr="00715E34" w:rsidRDefault="00874EBF" w:rsidP="00874EBF">
      <w:pPr>
        <w:pStyle w:val="3"/>
        <w:topLinePunct/>
        <w:rPr>
          <w:rFonts w:hAnsi="標楷體"/>
          <w:szCs w:val="32"/>
        </w:rPr>
      </w:pPr>
      <w:r w:rsidRPr="00715E34">
        <w:rPr>
          <w:rFonts w:hAnsi="標楷體" w:hint="eastAsia"/>
          <w:szCs w:val="32"/>
        </w:rPr>
        <w:t>按水利法第</w:t>
      </w:r>
      <w:r w:rsidRPr="00715E34">
        <w:rPr>
          <w:rFonts w:hAnsi="標楷體"/>
          <w:szCs w:val="32"/>
        </w:rPr>
        <w:t>19</w:t>
      </w:r>
      <w:r w:rsidRPr="00715E34">
        <w:rPr>
          <w:rFonts w:hAnsi="標楷體" w:hint="eastAsia"/>
          <w:szCs w:val="32"/>
        </w:rPr>
        <w:t>條：「水源之水量不敷公共給水，並無法另得水源時，主管機關得停止或撤銷前條第1項第1款以外之水權，或加使用上之限制。前項水權</w:t>
      </w:r>
      <w:r w:rsidRPr="00715E34">
        <w:rPr>
          <w:rFonts w:hAnsi="標楷體" w:hint="eastAsia"/>
          <w:szCs w:val="32"/>
        </w:rPr>
        <w:lastRenderedPageBreak/>
        <w:t>之停止、撤銷或限制，致使原用水人受有重大損害時，由</w:t>
      </w:r>
      <w:r w:rsidRPr="00715E34">
        <w:rPr>
          <w:rFonts w:hAnsi="標楷體" w:hint="eastAsia"/>
          <w:szCs w:val="32"/>
          <w:lang w:eastAsia="zh-HK"/>
        </w:rPr>
        <w:t>主管機關</w:t>
      </w:r>
      <w:r w:rsidRPr="00715E34">
        <w:rPr>
          <w:rFonts w:hAnsi="標楷體" w:hint="eastAsia"/>
          <w:szCs w:val="32"/>
        </w:rPr>
        <w:t>按損害情形核定補償，責由公共給水機構負擔之。」另依災害防救法第</w:t>
      </w:r>
      <w:r w:rsidRPr="00715E34">
        <w:rPr>
          <w:rFonts w:hAnsi="標楷體"/>
          <w:szCs w:val="32"/>
        </w:rPr>
        <w:t>19</w:t>
      </w:r>
      <w:r w:rsidRPr="00715E34">
        <w:rPr>
          <w:rFonts w:hAnsi="標楷體" w:hint="eastAsia"/>
          <w:szCs w:val="32"/>
        </w:rPr>
        <w:t>條第2項規</w:t>
      </w:r>
      <w:r w:rsidRPr="00715E34">
        <w:rPr>
          <w:rFonts w:hAnsi="標楷體" w:hint="eastAsia"/>
          <w:szCs w:val="32"/>
          <w:lang w:eastAsia="zh-HK"/>
        </w:rPr>
        <w:t>定：「中央災害防救業務主管機關應依災害防救基本計畫，就其</w:t>
      </w:r>
      <w:r w:rsidRPr="00715E34">
        <w:rPr>
          <w:rFonts w:hAnsi="標楷體" w:hint="eastAsia"/>
        </w:rPr>
        <w:t>主管</w:t>
      </w:r>
      <w:r w:rsidRPr="00715E34">
        <w:rPr>
          <w:rFonts w:hAnsi="標楷體" w:hint="eastAsia"/>
          <w:szCs w:val="32"/>
          <w:lang w:eastAsia="zh-HK"/>
        </w:rPr>
        <w:t>災害防救事項，擬訂災害防救業務計畫，報請中央災害防救會報核定後實施。」爰經濟部據以訂定「旱災災害防救業務計畫」</w:t>
      </w:r>
      <w:r w:rsidRPr="00715E34">
        <w:rPr>
          <w:rFonts w:hAnsi="標楷體" w:hint="eastAsia"/>
          <w:szCs w:val="32"/>
        </w:rPr>
        <w:t>，其</w:t>
      </w:r>
      <w:r w:rsidRPr="00715E34">
        <w:rPr>
          <w:rFonts w:hAnsi="標楷體" w:hint="eastAsia"/>
          <w:szCs w:val="32"/>
          <w:lang w:eastAsia="zh-HK"/>
        </w:rPr>
        <w:t>第2編</w:t>
      </w:r>
      <w:r w:rsidRPr="00715E34">
        <w:rPr>
          <w:rFonts w:hAnsi="標楷體" w:hint="eastAsia"/>
          <w:szCs w:val="32"/>
        </w:rPr>
        <w:t>第2章第2節「水資源供需協調機制之建立」之第2點：「</w:t>
      </w:r>
      <w:r w:rsidRPr="00715E34">
        <w:rPr>
          <w:rFonts w:hAnsi="標楷體"/>
          <w:szCs w:val="32"/>
        </w:rPr>
        <w:t>……</w:t>
      </w:r>
      <w:r w:rsidRPr="00715E34">
        <w:rPr>
          <w:rFonts w:hAnsi="標楷體" w:hint="eastAsia"/>
          <w:szCs w:val="32"/>
        </w:rPr>
        <w:t>為因應乾旱時期缺水狀況下預作籌謀，運用有限水資源，作適當之調配，應依『農業用水調度使用協調作業要點』等相關規定，進行農業用水調度。」復按</w:t>
      </w:r>
      <w:r w:rsidRPr="00715E34">
        <w:rPr>
          <w:rFonts w:hAnsi="標楷體" w:hint="eastAsia"/>
          <w:szCs w:val="32"/>
          <w:lang w:eastAsia="zh-HK"/>
        </w:rPr>
        <w:t>「</w:t>
      </w:r>
      <w:r w:rsidRPr="00715E34">
        <w:rPr>
          <w:rFonts w:hAnsi="標楷體" w:hint="eastAsia"/>
          <w:szCs w:val="32"/>
        </w:rPr>
        <w:t>農業用水調度使用協調作業要</w:t>
      </w:r>
      <w:r w:rsidRPr="00715E34">
        <w:rPr>
          <w:rFonts w:hAnsi="標楷體" w:hint="eastAsia"/>
          <w:szCs w:val="32"/>
          <w:lang w:eastAsia="zh-HK"/>
        </w:rPr>
        <w:t>點</w:t>
      </w:r>
      <w:r w:rsidRPr="00715E34">
        <w:rPr>
          <w:rFonts w:hAnsi="標楷體" w:hint="eastAsia"/>
          <w:szCs w:val="32"/>
        </w:rPr>
        <w:t>」</w:t>
      </w:r>
      <w:r w:rsidRPr="00715E34">
        <w:rPr>
          <w:rFonts w:hAnsi="標楷體" w:hint="eastAsia"/>
          <w:szCs w:val="32"/>
          <w:lang w:eastAsia="zh-HK"/>
        </w:rPr>
        <w:t>第1點：「經濟部為調處家用及公共給水與工業用水之用水人於枯旱或水源水量不足，需調用農業用水之水量時，因補償費用協議不成致生之爭議，特訂定本要點</w:t>
      </w:r>
      <w:r w:rsidRPr="00715E34">
        <w:rPr>
          <w:rFonts w:hAnsi="標楷體" w:hint="eastAsia"/>
          <w:szCs w:val="32"/>
        </w:rPr>
        <w:t>。」同要點第4點：「調用水量結果，致被調用水量者受有重大損害時，其應負擔補償金者如下：1、因家用及公共給水需要，致被調用者之損害，由自來水機構負擔之。2、因工業用水需要，致被調用者之損害，由調用水人負擔之。」及同要點第6點第1項規定，</w:t>
      </w:r>
      <w:r w:rsidRPr="00715E34">
        <w:rPr>
          <w:rFonts w:hAnsi="標楷體"/>
          <w:szCs w:val="32"/>
        </w:rPr>
        <w:t>調用水量之補償，雙方無法達成協議時，</w:t>
      </w:r>
      <w:r w:rsidRPr="00715E34">
        <w:rPr>
          <w:rFonts w:hAnsi="標楷體" w:hint="eastAsia"/>
          <w:szCs w:val="32"/>
        </w:rPr>
        <w:t>應</w:t>
      </w:r>
      <w:r w:rsidRPr="00715E34">
        <w:rPr>
          <w:rFonts w:hAnsi="標楷體"/>
          <w:szCs w:val="32"/>
        </w:rPr>
        <w:t>補償</w:t>
      </w:r>
      <w:r w:rsidRPr="00715E34">
        <w:rPr>
          <w:rFonts w:hAnsi="標楷體" w:hint="eastAsia"/>
          <w:szCs w:val="32"/>
        </w:rPr>
        <w:t>農民因</w:t>
      </w:r>
      <w:r w:rsidRPr="00715E34">
        <w:rPr>
          <w:rFonts w:hAnsi="標楷體"/>
          <w:szCs w:val="32"/>
        </w:rPr>
        <w:t>農作休耕、轉作或廢耕之損害</w:t>
      </w:r>
      <w:r w:rsidRPr="00715E34">
        <w:rPr>
          <w:rFonts w:hAnsi="標楷體" w:hint="eastAsia"/>
          <w:szCs w:val="32"/>
        </w:rPr>
        <w:t>，並</w:t>
      </w:r>
      <w:r w:rsidRPr="00715E34">
        <w:rPr>
          <w:rFonts w:hAnsi="標楷體"/>
          <w:szCs w:val="32"/>
        </w:rPr>
        <w:t>補償農田水利會為加強灌溉管理所增加之營運管理費用及行政費用</w:t>
      </w:r>
      <w:r w:rsidRPr="00715E34">
        <w:rPr>
          <w:rFonts w:hAnsi="標楷體" w:hint="eastAsia"/>
          <w:szCs w:val="32"/>
        </w:rPr>
        <w:t>。上揭規定對公共給水機構而言，</w:t>
      </w:r>
      <w:r w:rsidRPr="00715E34">
        <w:rPr>
          <w:rFonts w:hAnsi="標楷體"/>
          <w:szCs w:val="32"/>
        </w:rPr>
        <w:t>依水利法第19條</w:t>
      </w:r>
      <w:r w:rsidRPr="00715E34">
        <w:rPr>
          <w:rFonts w:hAnsi="標楷體" w:hint="eastAsia"/>
          <w:szCs w:val="32"/>
        </w:rPr>
        <w:t>規定取得農業水權時，應補償農業部門相關重大損害，固無疑義，惟水利法第19條並未就水源之水量不敷工業用水之情形為規範，亦即不生</w:t>
      </w:r>
      <w:r w:rsidRPr="00715E34">
        <w:rPr>
          <w:rFonts w:hAnsi="標楷體"/>
          <w:szCs w:val="32"/>
        </w:rPr>
        <w:t>農業水</w:t>
      </w:r>
      <w:r w:rsidRPr="00715E34">
        <w:rPr>
          <w:rFonts w:hAnsi="標楷體" w:hint="eastAsia"/>
          <w:szCs w:val="32"/>
        </w:rPr>
        <w:t>權讓與</w:t>
      </w:r>
      <w:r w:rsidRPr="00715E34">
        <w:rPr>
          <w:rFonts w:hAnsi="標楷體"/>
          <w:szCs w:val="32"/>
        </w:rPr>
        <w:t>工業用水</w:t>
      </w:r>
      <w:r w:rsidRPr="00715E34">
        <w:rPr>
          <w:rFonts w:hAnsi="標楷體" w:hint="eastAsia"/>
          <w:szCs w:val="32"/>
        </w:rPr>
        <w:t>人之情況，惟</w:t>
      </w:r>
      <w:r w:rsidRPr="00715E34">
        <w:rPr>
          <w:rFonts w:hAnsi="標楷體" w:hint="eastAsia"/>
          <w:szCs w:val="32"/>
          <w:lang w:eastAsia="zh-HK"/>
        </w:rPr>
        <w:t>「</w:t>
      </w:r>
      <w:r w:rsidRPr="00715E34">
        <w:rPr>
          <w:rFonts w:hAnsi="標楷體" w:hint="eastAsia"/>
          <w:szCs w:val="32"/>
        </w:rPr>
        <w:t>農業用水調度使用協調作業要點」卻規範工業部門</w:t>
      </w:r>
      <w:r w:rsidRPr="00715E34">
        <w:rPr>
          <w:rFonts w:hAnsi="標楷體"/>
          <w:szCs w:val="32"/>
        </w:rPr>
        <w:t>調用農業用水</w:t>
      </w:r>
      <w:r w:rsidRPr="00715E34">
        <w:rPr>
          <w:rFonts w:hAnsi="標楷體" w:hint="eastAsia"/>
          <w:szCs w:val="32"/>
        </w:rPr>
        <w:t>所生之協調事項，滋生欠缺法源</w:t>
      </w:r>
      <w:r w:rsidRPr="00715E34">
        <w:rPr>
          <w:rFonts w:hAnsi="標楷體" w:hint="eastAsia"/>
          <w:szCs w:val="32"/>
        </w:rPr>
        <w:lastRenderedPageBreak/>
        <w:t>及有無逾越母法，便宜行事之疑義，允宜檢討。</w:t>
      </w:r>
    </w:p>
    <w:p w:rsidR="00874EBF" w:rsidRPr="00715E34" w:rsidRDefault="00874EBF" w:rsidP="00874EBF">
      <w:pPr>
        <w:pStyle w:val="3"/>
        <w:topLinePunct/>
        <w:rPr>
          <w:rFonts w:hAnsi="標楷體"/>
          <w:szCs w:val="32"/>
        </w:rPr>
      </w:pPr>
      <w:r w:rsidRPr="00715E34">
        <w:rPr>
          <w:rFonts w:hAnsi="標楷體" w:hint="eastAsia"/>
          <w:szCs w:val="32"/>
        </w:rPr>
        <w:t>另按行政程序法第</w:t>
      </w:r>
      <w:r w:rsidRPr="00715E34">
        <w:rPr>
          <w:rFonts w:hAnsi="標楷體"/>
          <w:szCs w:val="32"/>
        </w:rPr>
        <w:t>150</w:t>
      </w:r>
      <w:r w:rsidRPr="00715E34">
        <w:rPr>
          <w:rFonts w:hAnsi="標楷體" w:hint="eastAsia"/>
          <w:szCs w:val="32"/>
        </w:rPr>
        <w:t>條：「本法所稱法規命令，係指行政機關基於法律授權，對多數不特定人民就一般事項所作抽象之對外發生法律效果之規定。法規命令之內容應明列其法律授權之依據，並不得逾越法律授權之範圍與立法精神。」同法第</w:t>
      </w:r>
      <w:r w:rsidRPr="00715E34">
        <w:rPr>
          <w:rFonts w:hAnsi="標楷體"/>
          <w:szCs w:val="32"/>
        </w:rPr>
        <w:t>15</w:t>
      </w:r>
      <w:r w:rsidRPr="00715E34">
        <w:rPr>
          <w:rFonts w:hAnsi="標楷體" w:hint="eastAsia"/>
          <w:szCs w:val="32"/>
        </w:rPr>
        <w:t>9條：「</w:t>
      </w:r>
      <w:r w:rsidRPr="00715E34">
        <w:rPr>
          <w:rFonts w:hAnsi="標楷體" w:hint="eastAsia"/>
          <w:bCs w:val="0"/>
          <w:szCs w:val="32"/>
        </w:rPr>
        <w:t>本法所稱行政規則，係指上級機關對下級機關，或長官對屬官，依其權限或</w:t>
      </w:r>
      <w:r w:rsidRPr="00715E34">
        <w:rPr>
          <w:rFonts w:hAnsi="標楷體" w:hint="eastAsia"/>
          <w:szCs w:val="32"/>
        </w:rPr>
        <w:t>職權</w:t>
      </w:r>
      <w:r w:rsidRPr="00715E34">
        <w:rPr>
          <w:rFonts w:hAnsi="標楷體" w:hint="eastAsia"/>
          <w:bCs w:val="0"/>
          <w:szCs w:val="32"/>
        </w:rPr>
        <w:t>為規範機關內部秩序及運作，所為非直接對外發生法規範效力之一般、抽象之規定。行政規則包括下列各款之規定︰1、關於機關內部之組織、事務之分配、業務處理方式、人事管理等一般性規定。2、為協助下級機關或屬官統一解釋法令、認定事實、及行使裁量權，而訂頒之解釋性規定及裁量基準。」顯見「旱災災害防救業務計畫」屬法規命令，但「農業用水調度使用協調作業要點」屬於規範行政體系內部事項之</w:t>
      </w:r>
      <w:r w:rsidRPr="00715E34">
        <w:rPr>
          <w:rFonts w:hAnsi="標楷體" w:hint="eastAsia"/>
          <w:bCs w:val="0"/>
        </w:rPr>
        <w:t>行政規則。</w:t>
      </w:r>
    </w:p>
    <w:p w:rsidR="00874EBF" w:rsidRPr="00874EBF" w:rsidRDefault="00874EBF" w:rsidP="00874EBF">
      <w:pPr>
        <w:pStyle w:val="3"/>
        <w:widowControl/>
        <w:overflowPunct/>
        <w:topLinePunct/>
        <w:autoSpaceDE/>
        <w:autoSpaceDN/>
        <w:spacing w:beforeLines="25" w:before="114"/>
        <w:ind w:left="1020" w:hanging="680"/>
        <w:rPr>
          <w:rFonts w:hAnsi="標楷體"/>
          <w:b/>
        </w:rPr>
      </w:pPr>
      <w:r w:rsidRPr="00874EBF">
        <w:rPr>
          <w:rFonts w:hAnsi="標楷體" w:hint="eastAsia"/>
        </w:rPr>
        <w:t>復按司法院釋字第443號解釋，涉及人民其他自由權利之限制者，亦應由法律加以規定，如以法律授權主管機關發布命令為補充規定時，其授權應符合具體明確之原則；若僅屬與執行法律之細節性、技術性次要事項，則得由主管機關發布命令為必要之規範，雖因而對人民產生不便或輕微影響，尚非憲法所不許。又</w:t>
      </w:r>
      <w:r w:rsidRPr="00874EBF">
        <w:rPr>
          <w:rFonts w:hAnsi="標楷體" w:hint="eastAsia"/>
          <w:szCs w:val="32"/>
        </w:rPr>
        <w:t>依中央法規標準法第5條規定，關於人民之權利、義務者，應以法律定之。而「農業用水調度使用協調作業要點」乃規範水權之移用事項，涉及不同用水標的之重大利益，不免涉及人民之權利義務，依法應以法律或法律授權之命令規定為之，茲</w:t>
      </w:r>
      <w:r w:rsidRPr="00874EBF">
        <w:rPr>
          <w:rFonts w:hAnsi="標楷體" w:hint="eastAsia"/>
        </w:rPr>
        <w:t>經濟部僅以「農業用水調度使用協調作業要點」之行政規則作為規範於</w:t>
      </w:r>
      <w:r w:rsidRPr="00874EBF">
        <w:rPr>
          <w:rFonts w:hAnsi="標楷體" w:hint="eastAsia"/>
        </w:rPr>
        <w:lastRenderedPageBreak/>
        <w:t>枯旱或水源水量不足時調用農業用水補償爭議之準據，當無法就權利義務之核心事項為規範，僅能就執行法律之細節性、技術性為規定，其間是否有未盡周延需提高法規範位階之處，允應檢討評估。</w:t>
      </w:r>
    </w:p>
    <w:p w:rsidR="009D065A" w:rsidRPr="00715E34" w:rsidRDefault="00AB429D" w:rsidP="00232C83">
      <w:pPr>
        <w:pStyle w:val="2"/>
        <w:topLinePunct/>
        <w:spacing w:beforeLines="25" w:before="114"/>
        <w:ind w:left="1020" w:hanging="680"/>
        <w:rPr>
          <w:rFonts w:hAnsi="標楷體"/>
          <w:b/>
        </w:rPr>
      </w:pPr>
      <w:bookmarkStart w:id="87" w:name="_Toc458000629"/>
      <w:r w:rsidRPr="00715E34">
        <w:rPr>
          <w:rFonts w:hAnsi="標楷體"/>
          <w:b/>
        </w:rPr>
        <w:t>台水公司及北水處辦理市政公共用水優待，未依照自來水法之授權訂定相關優待辦法</w:t>
      </w:r>
      <w:r w:rsidRPr="00715E34">
        <w:rPr>
          <w:rFonts w:hAnsi="標楷體"/>
          <w:b/>
          <w:szCs w:val="32"/>
        </w:rPr>
        <w:t>，</w:t>
      </w:r>
      <w:r w:rsidRPr="00715E34">
        <w:rPr>
          <w:rFonts w:hAnsi="標楷體"/>
          <w:b/>
        </w:rPr>
        <w:t>改以其他章則為依據之做法，雖另有所憑，終非正辦</w:t>
      </w:r>
      <w:r w:rsidRPr="00715E34">
        <w:rPr>
          <w:rFonts w:hAnsi="標楷體" w:hint="eastAsia"/>
          <w:b/>
        </w:rPr>
        <w:t>；另</w:t>
      </w:r>
      <w:r w:rsidRPr="00715E34">
        <w:rPr>
          <w:rFonts w:hAnsi="標楷體"/>
          <w:b/>
        </w:rPr>
        <w:t>國中小學水價優惠</w:t>
      </w:r>
      <w:r w:rsidRPr="00715E34">
        <w:rPr>
          <w:rFonts w:hAnsi="標楷體" w:hint="eastAsia"/>
          <w:b/>
          <w:lang w:eastAsia="zh-HK"/>
        </w:rPr>
        <w:t>乃基於教育政策考量所致，</w:t>
      </w:r>
      <w:r w:rsidR="005C62F2" w:rsidRPr="00715E34">
        <w:rPr>
          <w:rFonts w:hAnsi="標楷體"/>
          <w:b/>
        </w:rPr>
        <w:t>台水公司</w:t>
      </w:r>
      <w:r w:rsidR="005C62F2">
        <w:rPr>
          <w:rFonts w:hAnsi="標楷體" w:hint="eastAsia"/>
          <w:b/>
        </w:rPr>
        <w:t>允應與相關機關研議妥切處理方式</w:t>
      </w:r>
      <w:r w:rsidRPr="00715E34">
        <w:rPr>
          <w:rFonts w:hAnsi="標楷體"/>
          <w:b/>
        </w:rPr>
        <w:t>，</w:t>
      </w:r>
      <w:r w:rsidR="005C62F2">
        <w:rPr>
          <w:rFonts w:hAnsi="標楷體" w:hint="eastAsia"/>
          <w:b/>
        </w:rPr>
        <w:t>或由</w:t>
      </w:r>
      <w:r w:rsidRPr="00715E34">
        <w:rPr>
          <w:rFonts w:hAnsi="標楷體" w:hint="eastAsia"/>
          <w:b/>
          <w:lang w:eastAsia="zh-HK"/>
        </w:rPr>
        <w:t>相關機關</w:t>
      </w:r>
      <w:r w:rsidRPr="00715E34">
        <w:rPr>
          <w:rFonts w:hAnsi="標楷體" w:hint="eastAsia"/>
          <w:b/>
        </w:rPr>
        <w:t>編</w:t>
      </w:r>
      <w:r w:rsidRPr="00715E34">
        <w:rPr>
          <w:rFonts w:hAnsi="標楷體" w:hint="eastAsia"/>
          <w:b/>
          <w:lang w:eastAsia="zh-HK"/>
        </w:rPr>
        <w:t>列預算支應</w:t>
      </w:r>
      <w:r w:rsidRPr="00715E34">
        <w:rPr>
          <w:rFonts w:hAnsi="標楷體"/>
          <w:b/>
        </w:rPr>
        <w:t>，</w:t>
      </w:r>
      <w:r w:rsidR="005C62F2">
        <w:rPr>
          <w:rFonts w:hAnsi="標楷體" w:hint="eastAsia"/>
          <w:b/>
        </w:rPr>
        <w:t>以避免</w:t>
      </w:r>
      <w:r w:rsidRPr="00715E34">
        <w:rPr>
          <w:rFonts w:hAnsi="標楷體"/>
          <w:b/>
        </w:rPr>
        <w:t>影響</w:t>
      </w:r>
      <w:r w:rsidRPr="00715E34">
        <w:rPr>
          <w:rFonts w:hAnsi="標楷體" w:hint="eastAsia"/>
          <w:b/>
        </w:rPr>
        <w:t>該</w:t>
      </w:r>
      <w:r w:rsidRPr="00715E34">
        <w:rPr>
          <w:rFonts w:hAnsi="標楷體"/>
          <w:b/>
        </w:rPr>
        <w:t>公司正常營運</w:t>
      </w:r>
      <w:bookmarkEnd w:id="87"/>
    </w:p>
    <w:p w:rsidR="009D065A" w:rsidRPr="00715E34" w:rsidRDefault="009D065A" w:rsidP="00232C83">
      <w:pPr>
        <w:pStyle w:val="3"/>
        <w:widowControl/>
        <w:suppressAutoHyphens/>
        <w:topLinePunct/>
        <w:autoSpaceDE/>
        <w:autoSpaceDN/>
        <w:textAlignment w:val="center"/>
        <w:rPr>
          <w:rFonts w:hAnsi="標楷體"/>
        </w:rPr>
      </w:pPr>
      <w:r w:rsidRPr="00715E34">
        <w:rPr>
          <w:rFonts w:hAnsi="標楷體"/>
        </w:rPr>
        <w:t>按自來水事業對於公共環境清潔用水（公廁、洗街、灑水、防疫及其他有關公共環境清潔所使用者）及公園綠地用水（綠地、行道樹、水池及其他有關公園綠地所使用者）等其他有關市政之公共用水，應予以優待，其優待辦法由所在地主管機關訂定之，自來水法第67條及同法施行細則第10條定有明文。經查，台水公司及北水處均實施市政公共用水優惠，雖有前揭法律授權訂定相關優待辦法，</w:t>
      </w:r>
      <w:r w:rsidR="00C17048" w:rsidRPr="00715E34">
        <w:rPr>
          <w:rFonts w:hAnsi="標楷體" w:hint="eastAsia"/>
        </w:rPr>
        <w:t>惟</w:t>
      </w:r>
      <w:r w:rsidRPr="00715E34">
        <w:rPr>
          <w:rFonts w:hAnsi="標楷體"/>
        </w:rPr>
        <w:t>台水公司卻依其營業章程第36條規定按普通用水水費減收</w:t>
      </w:r>
      <w:r w:rsidRPr="00715E34">
        <w:rPr>
          <w:rFonts w:hAnsi="標楷體" w:hint="eastAsia"/>
        </w:rPr>
        <w:t>50%</w:t>
      </w:r>
      <w:r w:rsidRPr="00715E34">
        <w:rPr>
          <w:rFonts w:hAnsi="標楷體"/>
        </w:rPr>
        <w:t>，北水處亦僅按69年提報臺北市政府及市議會通過之「水費價格表說明二：市政用水照5折計收」辦理，</w:t>
      </w:r>
      <w:r w:rsidRPr="00715E34">
        <w:rPr>
          <w:rFonts w:hAnsi="標楷體"/>
          <w:szCs w:val="32"/>
        </w:rPr>
        <w:t>雖有所憑，</w:t>
      </w:r>
      <w:r w:rsidRPr="00715E34">
        <w:rPr>
          <w:rFonts w:hAnsi="標楷體"/>
        </w:rPr>
        <w:t>然未按照自來水法第67條之授權訂定相關優待辦法，允應檢討改正。</w:t>
      </w:r>
    </w:p>
    <w:p w:rsidR="00AB429D" w:rsidRPr="00715E34" w:rsidRDefault="00AB429D" w:rsidP="00232C83">
      <w:pPr>
        <w:pStyle w:val="3"/>
        <w:topLinePunct/>
        <w:rPr>
          <w:rFonts w:hAnsi="標楷體"/>
          <w:lang w:eastAsia="zh-HK"/>
        </w:rPr>
      </w:pPr>
      <w:r w:rsidRPr="00715E34">
        <w:rPr>
          <w:rFonts w:hAnsi="標楷體" w:hint="eastAsia"/>
        </w:rPr>
        <w:t>另</w:t>
      </w:r>
      <w:r w:rsidRPr="00715E34">
        <w:rPr>
          <w:rFonts w:hAnsi="標楷體"/>
        </w:rPr>
        <w:t>據台水公司查復，省政府時代為配合實施國民義務教育政策，對國中小學之用水，均按第</w:t>
      </w:r>
      <w:r w:rsidRPr="00715E34">
        <w:rPr>
          <w:rFonts w:hAnsi="標楷體" w:hint="eastAsia"/>
        </w:rPr>
        <w:t>1</w:t>
      </w:r>
      <w:r w:rsidRPr="00715E34">
        <w:rPr>
          <w:rFonts w:hAnsi="標楷體"/>
        </w:rPr>
        <w:t>段單價計收，即水價每度為7元。以</w:t>
      </w:r>
      <w:r w:rsidRPr="00715E34">
        <w:rPr>
          <w:rFonts w:hAnsi="標楷體"/>
          <w:szCs w:val="32"/>
        </w:rPr>
        <w:t>102年度為例，國中小學用水量總計1,880萬1,991度，</w:t>
      </w:r>
      <w:r w:rsidRPr="00715E34">
        <w:rPr>
          <w:rFonts w:hAnsi="標楷體"/>
        </w:rPr>
        <w:t>優惠金額為6,312萬1,851元。惟查，上述國中小學優惠用水依法無據，並與</w:t>
      </w:r>
      <w:r w:rsidRPr="00715E34">
        <w:rPr>
          <w:rFonts w:hAnsi="標楷體"/>
          <w:lang w:eastAsia="zh-HK"/>
        </w:rPr>
        <w:t>國營事業管理法第4條及自來水法第8條規</w:t>
      </w:r>
      <w:r w:rsidRPr="00715E34">
        <w:rPr>
          <w:rFonts w:hAnsi="標楷體"/>
          <w:lang w:eastAsia="zh-HK"/>
        </w:rPr>
        <w:lastRenderedPageBreak/>
        <w:t>範之</w:t>
      </w:r>
      <w:r w:rsidRPr="00715E34">
        <w:rPr>
          <w:rFonts w:hAnsi="標楷體"/>
        </w:rPr>
        <w:t>「</w:t>
      </w:r>
      <w:r w:rsidRPr="00715E34">
        <w:rPr>
          <w:rFonts w:hAnsi="標楷體"/>
          <w:lang w:eastAsia="zh-HK"/>
        </w:rPr>
        <w:t>以事業養事業、以事業發展事業</w:t>
      </w:r>
      <w:r w:rsidRPr="00715E34">
        <w:rPr>
          <w:rFonts w:hAnsi="標楷體"/>
        </w:rPr>
        <w:t>」意旨有悖；又本院諮詢黃前政務顧問</w:t>
      </w:r>
      <w:r w:rsidR="00A47126">
        <w:rPr>
          <w:rFonts w:hAnsi="標楷體"/>
        </w:rPr>
        <w:t>○○</w:t>
      </w:r>
      <w:r w:rsidRPr="00715E34">
        <w:rPr>
          <w:rFonts w:hAnsi="標楷體"/>
        </w:rPr>
        <w:t>亦指出</w:t>
      </w:r>
      <w:r w:rsidRPr="00715E34">
        <w:rPr>
          <w:rFonts w:hAnsi="標楷體"/>
          <w:lang w:eastAsia="zh-HK"/>
        </w:rPr>
        <w:t>：「國中小學水費優惠，應由目的事業主管機關編列預算付費；因為水公司為企業體，為</w:t>
      </w:r>
      <w:r w:rsidRPr="00715E34">
        <w:rPr>
          <w:rFonts w:hAnsi="標楷體"/>
        </w:rPr>
        <w:t>避免</w:t>
      </w:r>
      <w:r w:rsidRPr="00715E34">
        <w:rPr>
          <w:rFonts w:hAnsi="標楷體"/>
          <w:lang w:eastAsia="zh-HK"/>
        </w:rPr>
        <w:t>影響其營運，必須由目的事業主管機關補貼</w:t>
      </w:r>
      <w:r w:rsidRPr="00715E34">
        <w:rPr>
          <w:rFonts w:hAnsi="標楷體"/>
        </w:rPr>
        <w:t>。</w:t>
      </w:r>
      <w:r w:rsidRPr="00715E34">
        <w:rPr>
          <w:rFonts w:hAnsi="標楷體"/>
          <w:lang w:eastAsia="zh-HK"/>
        </w:rPr>
        <w:t>」梁董事長</w:t>
      </w:r>
      <w:r w:rsidR="00A47126">
        <w:rPr>
          <w:rFonts w:hAnsi="標楷體"/>
          <w:lang w:eastAsia="zh-HK"/>
        </w:rPr>
        <w:t>○○</w:t>
      </w:r>
      <w:r w:rsidRPr="00715E34">
        <w:rPr>
          <w:rFonts w:hAnsi="標楷體"/>
          <w:lang w:eastAsia="zh-HK"/>
        </w:rPr>
        <w:t>也提及：「公私立國中小學的用水優惠，應比照油電，由相關單位編列預算支應，不該由台水公司負擔；為促使公營事業合理經營，虧損（績效不好）的原因應區隔政策因素及營運能力因素，有政策需要的部分，由相關單位編列預算執行</w:t>
      </w:r>
      <w:r w:rsidR="002568BD" w:rsidRPr="00715E34">
        <w:rPr>
          <w:rFonts w:hAnsi="標楷體"/>
          <w:lang w:eastAsia="zh-HK"/>
        </w:rPr>
        <w:t>。</w:t>
      </w:r>
      <w:r w:rsidRPr="00715E34">
        <w:rPr>
          <w:rFonts w:hAnsi="標楷體"/>
          <w:lang w:eastAsia="zh-HK"/>
        </w:rPr>
        <w:t>」</w:t>
      </w:r>
      <w:r w:rsidRPr="00715E34">
        <w:rPr>
          <w:rFonts w:hAnsi="標楷體"/>
        </w:rPr>
        <w:t>另</w:t>
      </w:r>
      <w:r w:rsidRPr="00715E34">
        <w:rPr>
          <w:rFonts w:hAnsi="標楷體"/>
          <w:lang w:eastAsia="zh-HK"/>
        </w:rPr>
        <w:t>台水公司復稱，曾於103年函請教育部編列預算補助國中小學用水優惠之水費差額，惟該部答</w:t>
      </w:r>
      <w:r w:rsidRPr="00715E34">
        <w:rPr>
          <w:rFonts w:hAnsi="標楷體" w:hint="eastAsia"/>
        </w:rPr>
        <w:t>復</w:t>
      </w:r>
      <w:r w:rsidRPr="00715E34">
        <w:rPr>
          <w:rFonts w:hAnsi="標楷體"/>
          <w:lang w:eastAsia="zh-HK"/>
        </w:rPr>
        <w:t>無經費餘裕可</w:t>
      </w:r>
      <w:r w:rsidRPr="00715E34">
        <w:rPr>
          <w:rFonts w:hAnsi="標楷體"/>
          <w:szCs w:val="32"/>
        </w:rPr>
        <w:t>供撥補水費差額。鑑於國中小學水價優惠非屬</w:t>
      </w:r>
      <w:r w:rsidRPr="00715E34">
        <w:rPr>
          <w:rFonts w:hAnsi="標楷體" w:hint="eastAsia"/>
          <w:szCs w:val="32"/>
        </w:rPr>
        <w:t>台水公司之</w:t>
      </w:r>
      <w:r w:rsidRPr="00715E34">
        <w:rPr>
          <w:rFonts w:hAnsi="標楷體"/>
          <w:szCs w:val="32"/>
        </w:rPr>
        <w:t>法定</w:t>
      </w:r>
      <w:r w:rsidRPr="00715E34">
        <w:rPr>
          <w:rFonts w:hAnsi="標楷體" w:hint="eastAsia"/>
          <w:szCs w:val="32"/>
        </w:rPr>
        <w:t>義務</w:t>
      </w:r>
      <w:r w:rsidRPr="00715E34">
        <w:rPr>
          <w:rFonts w:hAnsi="標楷體"/>
          <w:szCs w:val="32"/>
        </w:rPr>
        <w:t>措施</w:t>
      </w:r>
      <w:r w:rsidRPr="00715E34">
        <w:rPr>
          <w:rFonts w:hAnsi="標楷體" w:hint="eastAsia"/>
          <w:szCs w:val="32"/>
        </w:rPr>
        <w:t>，該</w:t>
      </w:r>
      <w:r w:rsidRPr="00715E34">
        <w:rPr>
          <w:rFonts w:hAnsi="標楷體"/>
          <w:szCs w:val="32"/>
        </w:rPr>
        <w:t>公司經營環境日益艱辛，為依法達成企業化經營目的，其配合政府政策之優惠或補貼，理應由</w:t>
      </w:r>
      <w:r w:rsidRPr="00715E34">
        <w:rPr>
          <w:rFonts w:hAnsi="標楷體"/>
          <w:szCs w:val="32"/>
          <w:lang w:eastAsia="zh-HK"/>
        </w:rPr>
        <w:t>負責該政策推動之機關負擔相關支出；</w:t>
      </w:r>
      <w:r w:rsidRPr="00715E34">
        <w:rPr>
          <w:rFonts w:hAnsi="標楷體"/>
          <w:szCs w:val="32"/>
        </w:rPr>
        <w:t>爰此，政府倘若</w:t>
      </w:r>
      <w:r w:rsidRPr="00715E34">
        <w:rPr>
          <w:rFonts w:hAnsi="標楷體"/>
          <w:szCs w:val="32"/>
          <w:lang w:eastAsia="zh-HK"/>
        </w:rPr>
        <w:t>評估</w:t>
      </w:r>
      <w:r w:rsidRPr="00715E34">
        <w:rPr>
          <w:rFonts w:hAnsi="標楷體"/>
          <w:szCs w:val="32"/>
        </w:rPr>
        <w:t>應維持國中小學優惠水價，</w:t>
      </w:r>
      <w:r w:rsidRPr="00715E34">
        <w:rPr>
          <w:rFonts w:hAnsi="標楷體"/>
          <w:szCs w:val="32"/>
          <w:lang w:eastAsia="zh-HK"/>
        </w:rPr>
        <w:t>所造成</w:t>
      </w:r>
      <w:r w:rsidRPr="00715E34">
        <w:rPr>
          <w:rFonts w:hAnsi="標楷體"/>
          <w:szCs w:val="32"/>
        </w:rPr>
        <w:t>台水公司</w:t>
      </w:r>
      <w:r w:rsidRPr="00715E34">
        <w:rPr>
          <w:rFonts w:hAnsi="標楷體"/>
          <w:szCs w:val="32"/>
          <w:lang w:eastAsia="zh-HK"/>
        </w:rPr>
        <w:t>之售</w:t>
      </w:r>
      <w:r w:rsidRPr="00715E34">
        <w:rPr>
          <w:rFonts w:hAnsi="標楷體"/>
          <w:szCs w:val="32"/>
        </w:rPr>
        <w:t>水</w:t>
      </w:r>
      <w:r w:rsidRPr="00715E34">
        <w:rPr>
          <w:rFonts w:hAnsi="標楷體"/>
          <w:szCs w:val="32"/>
          <w:lang w:eastAsia="zh-HK"/>
        </w:rPr>
        <w:t>收入</w:t>
      </w:r>
      <w:r w:rsidRPr="00715E34">
        <w:rPr>
          <w:rFonts w:hAnsi="標楷體"/>
          <w:szCs w:val="32"/>
        </w:rPr>
        <w:t>短收，</w:t>
      </w:r>
      <w:r w:rsidR="002568BD">
        <w:rPr>
          <w:rFonts w:hAnsi="標楷體" w:hint="eastAsia"/>
          <w:szCs w:val="32"/>
        </w:rPr>
        <w:t>應</w:t>
      </w:r>
      <w:r w:rsidRPr="00715E34">
        <w:rPr>
          <w:rFonts w:hAnsi="標楷體"/>
          <w:szCs w:val="32"/>
        </w:rPr>
        <w:t>回歸</w:t>
      </w:r>
      <w:r w:rsidR="002568BD">
        <w:rPr>
          <w:rFonts w:hAnsi="標楷體" w:hint="eastAsia"/>
          <w:szCs w:val="32"/>
        </w:rPr>
        <w:t>相關機關</w:t>
      </w:r>
      <w:r w:rsidRPr="00715E34">
        <w:rPr>
          <w:rFonts w:hAnsi="標楷體"/>
          <w:szCs w:val="32"/>
        </w:rPr>
        <w:t>編列預算予以撥補，不宜再由台水公司自行吸收，</w:t>
      </w:r>
      <w:r w:rsidRPr="00715E34">
        <w:rPr>
          <w:rFonts w:hAnsi="標楷體"/>
          <w:szCs w:val="32"/>
          <w:lang w:eastAsia="zh-HK"/>
        </w:rPr>
        <w:t>抑或檢討</w:t>
      </w:r>
      <w:r w:rsidRPr="00715E34">
        <w:rPr>
          <w:rFonts w:hAnsi="標楷體"/>
          <w:szCs w:val="32"/>
        </w:rPr>
        <w:t>取消</w:t>
      </w:r>
      <w:r w:rsidRPr="00715E34">
        <w:rPr>
          <w:rFonts w:hAnsi="標楷體"/>
          <w:szCs w:val="32"/>
          <w:lang w:eastAsia="zh-HK"/>
        </w:rPr>
        <w:t>優惠</w:t>
      </w:r>
      <w:r w:rsidRPr="00715E34">
        <w:rPr>
          <w:rFonts w:hAnsi="標楷體" w:hint="eastAsia"/>
          <w:szCs w:val="32"/>
          <w:lang w:eastAsia="zh-HK"/>
        </w:rPr>
        <w:t>之必要性</w:t>
      </w:r>
      <w:r w:rsidRPr="00715E34">
        <w:rPr>
          <w:rFonts w:hAnsi="標楷體"/>
          <w:szCs w:val="32"/>
          <w:lang w:eastAsia="zh-HK"/>
        </w:rPr>
        <w:t>，</w:t>
      </w:r>
      <w:r w:rsidRPr="00715E34">
        <w:rPr>
          <w:rFonts w:hAnsi="標楷體" w:hint="eastAsia"/>
          <w:szCs w:val="32"/>
          <w:lang w:eastAsia="zh-HK"/>
        </w:rPr>
        <w:t>或</w:t>
      </w:r>
      <w:r w:rsidRPr="00715E34">
        <w:rPr>
          <w:rFonts w:hAnsi="標楷體"/>
          <w:szCs w:val="32"/>
          <w:lang w:eastAsia="zh-HK"/>
        </w:rPr>
        <w:t>水價</w:t>
      </w:r>
      <w:r w:rsidRPr="00715E34">
        <w:rPr>
          <w:rFonts w:hAnsi="標楷體" w:hint="eastAsia"/>
          <w:szCs w:val="32"/>
          <w:lang w:eastAsia="zh-HK"/>
        </w:rPr>
        <w:t>改採其他適切之分段</w:t>
      </w:r>
      <w:r w:rsidRPr="00715E34">
        <w:rPr>
          <w:rFonts w:hAnsi="標楷體"/>
          <w:szCs w:val="32"/>
          <w:lang w:eastAsia="zh-HK"/>
        </w:rPr>
        <w:t>費率（</w:t>
      </w:r>
      <w:r w:rsidRPr="00715E34">
        <w:rPr>
          <w:rFonts w:hAnsi="標楷體" w:hint="eastAsia"/>
          <w:szCs w:val="32"/>
          <w:lang w:eastAsia="zh-HK"/>
        </w:rPr>
        <w:t>目前為單一費率7元/度，基於教育政策酌予優惠目的，同時兼顧節約用水觀念，水價可依其用水量及用水特色，檢討實施合宜之分段費率</w:t>
      </w:r>
      <w:r w:rsidRPr="00715E34">
        <w:rPr>
          <w:rFonts w:hAnsi="標楷體"/>
          <w:szCs w:val="32"/>
          <w:lang w:eastAsia="zh-HK"/>
        </w:rPr>
        <w:t>）</w:t>
      </w:r>
      <w:r w:rsidRPr="00715E34">
        <w:rPr>
          <w:rFonts w:hAnsi="標楷體"/>
          <w:szCs w:val="32"/>
        </w:rPr>
        <w:t>，相較於口號式宣導提倡節水，</w:t>
      </w:r>
      <w:r w:rsidRPr="00715E34">
        <w:rPr>
          <w:rFonts w:hAnsi="標楷體"/>
          <w:szCs w:val="32"/>
          <w:lang w:eastAsia="zh-HK"/>
        </w:rPr>
        <w:t>將</w:t>
      </w:r>
      <w:r w:rsidRPr="00715E34">
        <w:rPr>
          <w:rFonts w:hAnsi="標楷體"/>
          <w:szCs w:val="32"/>
        </w:rPr>
        <w:t>更有利於節水教育從小扎根</w:t>
      </w:r>
      <w:r w:rsidR="002568BD">
        <w:rPr>
          <w:rFonts w:hAnsi="標楷體" w:hint="eastAsia"/>
          <w:szCs w:val="32"/>
        </w:rPr>
        <w:t>。</w:t>
      </w:r>
    </w:p>
    <w:p w:rsidR="009D065A" w:rsidRPr="00715E34" w:rsidRDefault="009D065A" w:rsidP="00232C83">
      <w:pPr>
        <w:pStyle w:val="3"/>
        <w:topLinePunct/>
        <w:rPr>
          <w:rFonts w:hAnsi="標楷體"/>
          <w:lang w:eastAsia="zh-HK"/>
        </w:rPr>
      </w:pPr>
      <w:r w:rsidRPr="00715E34">
        <w:rPr>
          <w:rFonts w:hAnsi="標楷體"/>
          <w:lang w:eastAsia="zh-HK"/>
        </w:rPr>
        <w:t>綜上，</w:t>
      </w:r>
      <w:r w:rsidR="002B2437" w:rsidRPr="00715E34">
        <w:rPr>
          <w:rFonts w:hAnsi="標楷體" w:hint="eastAsia"/>
          <w:lang w:eastAsia="zh-HK"/>
        </w:rPr>
        <w:t>台水公司及北水處辦理市政公共用水優待，未依照自來水法之授權訂定相關優待辦法，改以其他章則為依據之做法，雖另有所憑，終非正辦；另國中小學水價優惠乃基於教育政策考量所致，</w:t>
      </w:r>
      <w:r w:rsidR="009F7C68" w:rsidRPr="009F7C68">
        <w:rPr>
          <w:rFonts w:hAnsi="標楷體"/>
          <w:lang w:eastAsia="zh-HK"/>
        </w:rPr>
        <w:t>台水公司</w:t>
      </w:r>
      <w:r w:rsidR="009F7C68" w:rsidRPr="009F7C68">
        <w:rPr>
          <w:rFonts w:hAnsi="標楷體" w:hint="eastAsia"/>
          <w:lang w:eastAsia="zh-HK"/>
        </w:rPr>
        <w:t>允應與相關機關研議妥切處理方式</w:t>
      </w:r>
      <w:r w:rsidR="009F7C68" w:rsidRPr="009F7C68">
        <w:rPr>
          <w:rFonts w:hAnsi="標楷體"/>
          <w:lang w:eastAsia="zh-HK"/>
        </w:rPr>
        <w:t>，</w:t>
      </w:r>
      <w:r w:rsidR="009F7C68" w:rsidRPr="009F7C68">
        <w:rPr>
          <w:rFonts w:hAnsi="標楷體" w:hint="eastAsia"/>
          <w:lang w:eastAsia="zh-HK"/>
        </w:rPr>
        <w:t>或由相關</w:t>
      </w:r>
      <w:r w:rsidR="009F7C68" w:rsidRPr="009F7C68">
        <w:rPr>
          <w:rFonts w:hAnsi="標楷體" w:hint="eastAsia"/>
          <w:lang w:eastAsia="zh-HK"/>
        </w:rPr>
        <w:lastRenderedPageBreak/>
        <w:t>機關編列預算支應</w:t>
      </w:r>
      <w:r w:rsidR="009F7C68" w:rsidRPr="009F7C68">
        <w:rPr>
          <w:rFonts w:hAnsi="標楷體"/>
          <w:lang w:eastAsia="zh-HK"/>
        </w:rPr>
        <w:t>，</w:t>
      </w:r>
      <w:r w:rsidR="009F7C68" w:rsidRPr="009F7C68">
        <w:rPr>
          <w:rFonts w:hAnsi="標楷體" w:hint="eastAsia"/>
          <w:lang w:eastAsia="zh-HK"/>
        </w:rPr>
        <w:t>以避免</w:t>
      </w:r>
      <w:r w:rsidR="009F7C68" w:rsidRPr="009F7C68">
        <w:rPr>
          <w:rFonts w:hAnsi="標楷體"/>
          <w:lang w:eastAsia="zh-HK"/>
        </w:rPr>
        <w:t>影響</w:t>
      </w:r>
      <w:r w:rsidR="009F7C68" w:rsidRPr="009F7C68">
        <w:rPr>
          <w:rFonts w:hAnsi="標楷體" w:hint="eastAsia"/>
          <w:lang w:eastAsia="zh-HK"/>
        </w:rPr>
        <w:t>該</w:t>
      </w:r>
      <w:r w:rsidR="009F7C68" w:rsidRPr="009F7C68">
        <w:rPr>
          <w:rFonts w:hAnsi="標楷體"/>
          <w:lang w:eastAsia="zh-HK"/>
        </w:rPr>
        <w:t>公司正常營運</w:t>
      </w:r>
      <w:r w:rsidR="002B2437" w:rsidRPr="00715E34">
        <w:rPr>
          <w:rFonts w:hAnsi="標楷體"/>
          <w:lang w:eastAsia="zh-HK"/>
        </w:rPr>
        <w:t>。</w:t>
      </w:r>
    </w:p>
    <w:p w:rsidR="007C649D" w:rsidRPr="00715E34" w:rsidRDefault="007C649D" w:rsidP="00232C83">
      <w:pPr>
        <w:pStyle w:val="2"/>
        <w:topLinePunct/>
        <w:spacing w:beforeLines="25" w:before="114"/>
        <w:ind w:left="1020" w:hanging="680"/>
        <w:rPr>
          <w:rFonts w:hAnsi="標楷體"/>
          <w:b/>
        </w:rPr>
      </w:pPr>
      <w:bookmarkStart w:id="88" w:name="_Toc458000630"/>
      <w:r w:rsidRPr="00715E34">
        <w:rPr>
          <w:rFonts w:hAnsi="標楷體"/>
          <w:b/>
        </w:rPr>
        <w:t>再生水資源發展條例業於104年12月間公布施行，</w:t>
      </w:r>
      <w:r w:rsidR="00CE2791" w:rsidRPr="00715E34">
        <w:rPr>
          <w:rFonts w:hAnsi="標楷體" w:hint="eastAsia"/>
          <w:b/>
        </w:rPr>
        <w:t>經濟部</w:t>
      </w:r>
      <w:r w:rsidRPr="00715E34">
        <w:rPr>
          <w:rFonts w:hAnsi="標楷體" w:hint="eastAsia"/>
          <w:b/>
        </w:rPr>
        <w:t>自</w:t>
      </w:r>
      <w:r w:rsidRPr="00715E34">
        <w:rPr>
          <w:rFonts w:hAnsi="標楷體"/>
          <w:b/>
        </w:rPr>
        <w:t>應按該條例之授權，儘速訂定相關子法並落實執行，俾妥善利用國內每日產生之大量廢、污水做為再生水源，有效提升供水能力</w:t>
      </w:r>
      <w:bookmarkEnd w:id="88"/>
    </w:p>
    <w:p w:rsidR="007C649D" w:rsidRPr="00715E34" w:rsidRDefault="007C649D" w:rsidP="00232C83">
      <w:pPr>
        <w:pStyle w:val="3"/>
        <w:topLinePunct/>
        <w:rPr>
          <w:rFonts w:hAnsi="標楷體"/>
          <w:szCs w:val="32"/>
        </w:rPr>
      </w:pPr>
      <w:r w:rsidRPr="00715E34">
        <w:rPr>
          <w:rFonts w:hAnsi="標楷體"/>
        </w:rPr>
        <w:t>據水利署103年度年報所載，</w:t>
      </w:r>
      <w:r w:rsidRPr="00715E34">
        <w:rPr>
          <w:rFonts w:hAnsi="標楷體"/>
          <w:lang w:val="x-none" w:eastAsia="x-none"/>
        </w:rPr>
        <w:t>再生水的水源來自</w:t>
      </w:r>
      <w:r w:rsidRPr="00715E34">
        <w:rPr>
          <w:rFonts w:hAnsi="標楷體"/>
          <w:lang w:val="x-none"/>
        </w:rPr>
        <w:t>國內</w:t>
      </w:r>
      <w:r w:rsidRPr="00715E34">
        <w:rPr>
          <w:rFonts w:hAnsi="標楷體"/>
          <w:lang w:val="x-none" w:eastAsia="x-none"/>
        </w:rPr>
        <w:t>廢</w:t>
      </w:r>
      <w:r w:rsidRPr="00715E34">
        <w:rPr>
          <w:rFonts w:hAnsi="標楷體"/>
          <w:lang w:val="x-none"/>
        </w:rPr>
        <w:t>、</w:t>
      </w:r>
      <w:r w:rsidRPr="00715E34">
        <w:rPr>
          <w:rFonts w:hAnsi="標楷體"/>
          <w:lang w:val="x-none" w:eastAsia="x-none"/>
        </w:rPr>
        <w:t>污水廠</w:t>
      </w:r>
      <w:r w:rsidRPr="00715E34">
        <w:rPr>
          <w:rFonts w:hAnsi="標楷體"/>
          <w:lang w:val="x-none"/>
        </w:rPr>
        <w:t>的</w:t>
      </w:r>
      <w:r w:rsidRPr="00715E34">
        <w:rPr>
          <w:rFonts w:hAnsi="標楷體"/>
          <w:lang w:val="x-none" w:eastAsia="x-none"/>
        </w:rPr>
        <w:t>放流水，有水質水量穩定的優勢，已是世界上重要的水資源選項，也是未來國內重要的「新水源」</w:t>
      </w:r>
      <w:r w:rsidRPr="00715E34">
        <w:rPr>
          <w:rFonts w:hAnsi="標楷體"/>
          <w:lang w:val="x-none"/>
        </w:rPr>
        <w:t>。查</w:t>
      </w:r>
      <w:r w:rsidRPr="00715E34">
        <w:rPr>
          <w:rFonts w:hAnsi="標楷體"/>
          <w:bCs w:val="0"/>
          <w:kern w:val="0"/>
        </w:rPr>
        <w:t>水利署雖已於93年間成立「水再生利用推動小組」推展國內廢、污水再生利用，惟推展十餘年來成效有限，</w:t>
      </w:r>
      <w:r w:rsidRPr="00715E34">
        <w:rPr>
          <w:rFonts w:hAnsi="標楷體" w:hint="eastAsia"/>
          <w:bCs w:val="0"/>
          <w:kern w:val="0"/>
        </w:rPr>
        <w:t>如前所述</w:t>
      </w:r>
      <w:r w:rsidRPr="00715E34">
        <w:rPr>
          <w:rFonts w:hAnsi="標楷體"/>
          <w:bCs w:val="0"/>
          <w:kern w:val="0"/>
        </w:rPr>
        <w:t>據該署統計資料，國內</w:t>
      </w:r>
      <w:r w:rsidRPr="00715E34">
        <w:rPr>
          <w:rFonts w:hAnsi="標楷體"/>
          <w:lang w:val="x-none"/>
        </w:rPr>
        <w:t>101年至103年之再生水利用量</w:t>
      </w:r>
      <w:r w:rsidRPr="00715E34">
        <w:rPr>
          <w:rFonts w:hAnsi="標楷體"/>
          <w:spacing w:val="-2"/>
          <w:kern w:val="0"/>
          <w:szCs w:val="32"/>
        </w:rPr>
        <w:t>僅占全國每日產生之</w:t>
      </w:r>
      <w:r w:rsidRPr="00715E34">
        <w:rPr>
          <w:rFonts w:hAnsi="標楷體"/>
        </w:rPr>
        <w:t>生活與工業廢污水量</w:t>
      </w:r>
      <w:r w:rsidRPr="00715E34">
        <w:rPr>
          <w:rFonts w:hAnsi="標楷體"/>
          <w:spacing w:val="-2"/>
          <w:kern w:val="0"/>
          <w:szCs w:val="32"/>
        </w:rPr>
        <w:t>的14</w:t>
      </w:r>
      <w:r w:rsidRPr="00715E34">
        <w:rPr>
          <w:rFonts w:hAnsi="標楷體"/>
          <w:szCs w:val="32"/>
        </w:rPr>
        <w:t>%</w:t>
      </w:r>
      <w:r w:rsidRPr="00715E34">
        <w:rPr>
          <w:rFonts w:hAnsi="標楷體"/>
          <w:spacing w:val="-2"/>
          <w:kern w:val="0"/>
          <w:szCs w:val="32"/>
        </w:rPr>
        <w:t>。詢據水利署</w:t>
      </w:r>
      <w:r w:rsidRPr="00715E34">
        <w:rPr>
          <w:rFonts w:hAnsi="標楷體" w:hint="eastAsia"/>
          <w:spacing w:val="-2"/>
          <w:kern w:val="0"/>
          <w:szCs w:val="32"/>
        </w:rPr>
        <w:t>雖陳稱</w:t>
      </w:r>
      <w:r w:rsidRPr="00715E34">
        <w:rPr>
          <w:rFonts w:hAnsi="標楷體"/>
          <w:bCs w:val="0"/>
          <w:kern w:val="0"/>
        </w:rPr>
        <w:t>，國內因廢污水或放流水資源尚無相關法規或政策管理，亦缺乏再生水供需兩端規範及再生水經營業供水售水之法令依據，致再生水推動困難</w:t>
      </w:r>
      <w:r w:rsidRPr="00715E34">
        <w:rPr>
          <w:rFonts w:hAnsi="標楷體" w:hint="eastAsia"/>
          <w:bCs w:val="0"/>
          <w:kern w:val="0"/>
        </w:rPr>
        <w:t>等語</w:t>
      </w:r>
      <w:r w:rsidRPr="00715E34">
        <w:rPr>
          <w:rFonts w:hAnsi="標楷體"/>
          <w:bCs w:val="0"/>
          <w:kern w:val="0"/>
        </w:rPr>
        <w:t>。</w:t>
      </w:r>
      <w:r w:rsidRPr="00715E34">
        <w:rPr>
          <w:rFonts w:hAnsi="標楷體" w:hint="eastAsia"/>
          <w:bCs w:val="0"/>
          <w:kern w:val="0"/>
        </w:rPr>
        <w:t>該署所稱再生水水源、水質標準、供需及營運管理等事項需有法令依據等，固非無由，</w:t>
      </w:r>
      <w:r w:rsidRPr="00715E34">
        <w:rPr>
          <w:rFonts w:hAnsi="標楷體"/>
          <w:szCs w:val="32"/>
        </w:rPr>
        <w:t>然經本院諮詢財團法人環境與發展基金會陳副總經理</w:t>
      </w:r>
      <w:r w:rsidR="00A47126">
        <w:rPr>
          <w:rFonts w:hAnsi="標楷體"/>
          <w:szCs w:val="32"/>
        </w:rPr>
        <w:t>○○</w:t>
      </w:r>
      <w:r w:rsidRPr="00715E34">
        <w:rPr>
          <w:rFonts w:hAnsi="標楷體"/>
          <w:szCs w:val="32"/>
        </w:rPr>
        <w:t>指出：「再生水無法推動的原因，第一是因為水價偏低，第二是企業有其他水的來源，第三是地下水管制也有問題。再生水和多元化水元的推動仍是買方市場，企業會採用再生水的原因是被遊說須善盡企業社會責任</w:t>
      </w:r>
      <w:r w:rsidRPr="00715E34">
        <w:rPr>
          <w:rFonts w:hAnsi="標楷體" w:hint="eastAsia"/>
        </w:rPr>
        <w:t>……</w:t>
      </w:r>
      <w:r w:rsidRPr="00715E34">
        <w:rPr>
          <w:rFonts w:hAnsi="標楷體"/>
          <w:szCs w:val="32"/>
        </w:rPr>
        <w:t>。</w:t>
      </w:r>
      <w:r w:rsidRPr="00715E34">
        <w:rPr>
          <w:rFonts w:hAnsi="標楷體"/>
        </w:rPr>
        <w:t>美國加州最大的再生水廠是一元化的管理，多元化的供水管線，</w:t>
      </w:r>
      <w:r w:rsidRPr="00715E34">
        <w:rPr>
          <w:rFonts w:hAnsi="標楷體" w:hint="eastAsia"/>
        </w:rPr>
        <w:t>我國</w:t>
      </w:r>
      <w:r w:rsidRPr="00715E34">
        <w:rPr>
          <w:rFonts w:hAnsi="標楷體"/>
        </w:rPr>
        <w:t>則是一元化供水（自來水管供水），多元化的管理，整個再生水政策推動有很多單位在管理，整個再生水系統牽涉到各單位的本位主義，推動困難</w:t>
      </w:r>
      <w:r w:rsidRPr="00715E34">
        <w:rPr>
          <w:rFonts w:hAnsi="標楷體" w:hint="eastAsia"/>
        </w:rPr>
        <w:t>……</w:t>
      </w:r>
      <w:r w:rsidRPr="00715E34">
        <w:rPr>
          <w:rFonts w:hAnsi="標楷體"/>
        </w:rPr>
        <w:t>。再生水廠的建設就是輸送管線的建設，供水系統、水源輸送</w:t>
      </w:r>
      <w:r w:rsidRPr="00715E34">
        <w:rPr>
          <w:rFonts w:hAnsi="標楷體"/>
        </w:rPr>
        <w:lastRenderedPageBreak/>
        <w:t>及調度都需要管線」。另</w:t>
      </w:r>
      <w:r w:rsidRPr="00715E34">
        <w:rPr>
          <w:rFonts w:hAnsi="標楷體" w:hint="eastAsia"/>
        </w:rPr>
        <w:t>有學者</w:t>
      </w:r>
      <w:r w:rsidRPr="00715E34">
        <w:rPr>
          <w:rFonts w:hAnsi="標楷體"/>
        </w:rPr>
        <w:t>指出</w:t>
      </w:r>
      <w:r w:rsidRPr="00715E34">
        <w:rPr>
          <w:rStyle w:val="aff2"/>
          <w:rFonts w:hAnsi="標楷體"/>
        </w:rPr>
        <w:footnoteReference w:id="20"/>
      </w:r>
      <w:r w:rsidRPr="00715E34">
        <w:rPr>
          <w:rFonts w:hAnsi="標楷體" w:hint="eastAsia"/>
        </w:rPr>
        <w:t>，國</w:t>
      </w:r>
      <w:r w:rsidR="009D04B9">
        <w:rPr>
          <w:rFonts w:hAnsi="標楷體" w:hint="eastAsia"/>
        </w:rPr>
        <w:t>內</w:t>
      </w:r>
      <w:r w:rsidR="00F8493E">
        <w:rPr>
          <w:rFonts w:hAnsi="標楷體"/>
        </w:rPr>
        <w:t>談水再生利用已超過</w:t>
      </w:r>
      <w:r w:rsidR="00F8493E">
        <w:rPr>
          <w:rFonts w:hAnsi="標楷體" w:hint="eastAsia"/>
        </w:rPr>
        <w:t>10</w:t>
      </w:r>
      <w:r w:rsidRPr="00715E34">
        <w:rPr>
          <w:rFonts w:hAnsi="標楷體"/>
        </w:rPr>
        <w:t>年以上</w:t>
      </w:r>
      <w:r w:rsidRPr="00715E34">
        <w:rPr>
          <w:rFonts w:hAnsi="標楷體" w:hint="eastAsia"/>
        </w:rPr>
        <w:t>，</w:t>
      </w:r>
      <w:r w:rsidRPr="00715E34">
        <w:rPr>
          <w:rFonts w:hAnsi="標楷體"/>
        </w:rPr>
        <w:t>政府</w:t>
      </w:r>
      <w:r w:rsidRPr="00715E34">
        <w:rPr>
          <w:rFonts w:hAnsi="標楷體" w:hint="eastAsia"/>
        </w:rPr>
        <w:t>每當</w:t>
      </w:r>
      <w:r w:rsidRPr="00715E34">
        <w:rPr>
          <w:rFonts w:hAnsi="標楷體"/>
        </w:rPr>
        <w:t>面臨供水壓力時，除要求休耕停灌、呼籲節約用水外，水再生利用</w:t>
      </w:r>
      <w:r w:rsidRPr="00715E34">
        <w:rPr>
          <w:rFonts w:hAnsi="標楷體" w:hint="eastAsia"/>
        </w:rPr>
        <w:t>就會</w:t>
      </w:r>
      <w:r w:rsidRPr="00715E34">
        <w:rPr>
          <w:rFonts w:hAnsi="標楷體"/>
        </w:rPr>
        <w:t>再次成為備受關注的重要議題</w:t>
      </w:r>
      <w:r w:rsidRPr="00715E34">
        <w:rPr>
          <w:rFonts w:hAnsi="標楷體" w:hint="eastAsia"/>
        </w:rPr>
        <w:t>，然而相關再</w:t>
      </w:r>
      <w:r w:rsidRPr="00715E34">
        <w:rPr>
          <w:rFonts w:hAnsi="標楷體"/>
        </w:rPr>
        <w:t>生工程處理設施</w:t>
      </w:r>
      <w:r w:rsidRPr="00715E34">
        <w:rPr>
          <w:rFonts w:hAnsi="標楷體" w:hint="eastAsia"/>
        </w:rPr>
        <w:t>、</w:t>
      </w:r>
      <w:r w:rsidRPr="00715E34">
        <w:rPr>
          <w:rFonts w:hAnsi="標楷體"/>
        </w:rPr>
        <w:t>管線輸送系統未能未雨綢繆，待缺水新聞一過，再次交辦研究，年復一年，進展牛步，實非負責任的政府應有之作為。</w:t>
      </w:r>
      <w:r w:rsidRPr="00715E34">
        <w:rPr>
          <w:rFonts w:hAnsi="標楷體" w:hint="eastAsia"/>
        </w:rPr>
        <w:t>綜上，</w:t>
      </w:r>
      <w:r w:rsidRPr="00715E34">
        <w:rPr>
          <w:rFonts w:hAnsi="標楷體"/>
        </w:rPr>
        <w:t>凸顯國內再生水</w:t>
      </w:r>
      <w:r w:rsidRPr="00715E34">
        <w:rPr>
          <w:rFonts w:hAnsi="標楷體"/>
          <w:bCs w:val="0"/>
          <w:kern w:val="0"/>
        </w:rPr>
        <w:t>利用推展十餘年來，成效有限</w:t>
      </w:r>
      <w:r w:rsidRPr="00715E34">
        <w:rPr>
          <w:rFonts w:hAnsi="標楷體" w:hint="eastAsia"/>
          <w:bCs w:val="0"/>
          <w:kern w:val="0"/>
        </w:rPr>
        <w:t>，水利署相關作為難謂積極。</w:t>
      </w:r>
    </w:p>
    <w:p w:rsidR="007C649D" w:rsidRPr="00715E34" w:rsidRDefault="007C649D" w:rsidP="00232C83">
      <w:pPr>
        <w:pStyle w:val="3"/>
        <w:topLinePunct/>
        <w:rPr>
          <w:rFonts w:hAnsi="標楷體"/>
        </w:rPr>
      </w:pPr>
      <w:r w:rsidRPr="00715E34">
        <w:rPr>
          <w:rFonts w:hAnsi="標楷體" w:hint="eastAsia"/>
          <w:kern w:val="0"/>
        </w:rPr>
        <w:t>續</w:t>
      </w:r>
      <w:r w:rsidRPr="00715E34">
        <w:rPr>
          <w:rFonts w:hAnsi="標楷體"/>
          <w:kern w:val="0"/>
        </w:rPr>
        <w:t>查</w:t>
      </w:r>
      <w:r w:rsidRPr="00715E34">
        <w:rPr>
          <w:rFonts w:hAnsi="標楷體"/>
          <w:lang w:val="zh-TW"/>
        </w:rPr>
        <w:t>再</w:t>
      </w:r>
      <w:r w:rsidRPr="00715E34">
        <w:rPr>
          <w:rFonts w:hAnsi="標楷體"/>
          <w:szCs w:val="32"/>
        </w:rPr>
        <w:t>生水</w:t>
      </w:r>
      <w:r w:rsidR="00860C3C" w:rsidRPr="00715E34">
        <w:rPr>
          <w:rFonts w:hAnsi="標楷體"/>
          <w:lang w:val="zh-TW"/>
        </w:rPr>
        <w:t>資源發展條例</w:t>
      </w:r>
      <w:r w:rsidRPr="00715E34">
        <w:rPr>
          <w:rFonts w:hAnsi="標楷體"/>
          <w:lang w:val="zh-TW"/>
        </w:rPr>
        <w:t>業於104年12月30日公布施行（華總一義字第10400151421號），水利署</w:t>
      </w:r>
      <w:r w:rsidRPr="00715E34">
        <w:rPr>
          <w:rFonts w:hAnsi="標楷體" w:hint="eastAsia"/>
          <w:lang w:val="zh-TW"/>
        </w:rPr>
        <w:t>表示，</w:t>
      </w:r>
      <w:r w:rsidRPr="00715E34">
        <w:rPr>
          <w:rFonts w:hAnsi="標楷體"/>
          <w:lang w:val="zh-TW"/>
        </w:rPr>
        <w:t>該條例賦予廢污水及放流水回收利用之明確法律依據，包含：水源供應短缺之虞地區之用水單位強制使用一定比率再生水、賦權地方政府及用水園區主管機關參與、開放民間取得下水道系統廢污水或放流水使用許可權，及再生水供水事業法源依據；另亦賦予污廢水管理單位有開發再生水或供應再生水水源的權責，有助</w:t>
      </w:r>
      <w:r w:rsidRPr="00715E34">
        <w:rPr>
          <w:rFonts w:hAnsi="標楷體"/>
          <w:szCs w:val="32"/>
        </w:rPr>
        <w:t>突破現階段水資源困境等。</w:t>
      </w:r>
      <w:r w:rsidRPr="00715E34">
        <w:rPr>
          <w:rFonts w:hAnsi="標楷體" w:hint="eastAsia"/>
          <w:szCs w:val="32"/>
        </w:rPr>
        <w:t>復據該署查復，</w:t>
      </w:r>
      <w:r w:rsidRPr="00715E34">
        <w:rPr>
          <w:rFonts w:hAnsi="標楷體"/>
          <w:lang w:val="zh-TW"/>
        </w:rPr>
        <w:t>再</w:t>
      </w:r>
      <w:r w:rsidRPr="00715E34">
        <w:rPr>
          <w:rFonts w:hAnsi="標楷體"/>
          <w:szCs w:val="32"/>
        </w:rPr>
        <w:t>生水</w:t>
      </w:r>
      <w:r w:rsidRPr="00715E34">
        <w:rPr>
          <w:rFonts w:hAnsi="標楷體"/>
          <w:lang w:val="zh-TW"/>
        </w:rPr>
        <w:t>資源發展條例</w:t>
      </w:r>
      <w:r w:rsidRPr="00715E34">
        <w:rPr>
          <w:rFonts w:hAnsi="標楷體" w:hint="eastAsia"/>
          <w:szCs w:val="32"/>
        </w:rPr>
        <w:t>計有9</w:t>
      </w:r>
      <w:r w:rsidR="00104A85" w:rsidRPr="00715E34">
        <w:rPr>
          <w:rFonts w:hAnsi="標楷體" w:hint="eastAsia"/>
          <w:szCs w:val="32"/>
        </w:rPr>
        <w:t>項授權子法，包括</w:t>
      </w:r>
      <w:r w:rsidRPr="00715E34">
        <w:rPr>
          <w:rFonts w:hAnsi="標楷體" w:hint="eastAsia"/>
        </w:rPr>
        <w:t>再生水水質標準及使用管理辦法(第</w:t>
      </w:r>
      <w:r w:rsidRPr="00715E34">
        <w:rPr>
          <w:rFonts w:hAnsi="標楷體" w:hint="eastAsia"/>
          <w:bCs w:val="0"/>
          <w:szCs w:val="32"/>
        </w:rPr>
        <w:t>7</w:t>
      </w:r>
      <w:r w:rsidRPr="00715E34">
        <w:rPr>
          <w:rFonts w:hAnsi="標楷體" w:hint="eastAsia"/>
        </w:rPr>
        <w:t>條)、再生水經營業興辦許可申請辦法(第</w:t>
      </w:r>
      <w:r w:rsidRPr="00715E34">
        <w:rPr>
          <w:rFonts w:hAnsi="標楷體" w:hint="eastAsia"/>
          <w:bCs w:val="0"/>
          <w:szCs w:val="32"/>
        </w:rPr>
        <w:t>9</w:t>
      </w:r>
      <w:r w:rsidRPr="00715E34">
        <w:rPr>
          <w:rFonts w:hAnsi="標楷體" w:hint="eastAsia"/>
        </w:rPr>
        <w:t>條)、再生水開發案技師簽證規則(第</w:t>
      </w:r>
      <w:r w:rsidRPr="00715E34">
        <w:rPr>
          <w:rFonts w:hAnsi="標楷體" w:hint="eastAsia"/>
          <w:bCs w:val="0"/>
          <w:szCs w:val="32"/>
        </w:rPr>
        <w:t>13</w:t>
      </w:r>
      <w:r w:rsidRPr="00715E34">
        <w:rPr>
          <w:rFonts w:hAnsi="標楷體" w:hint="eastAsia"/>
        </w:rPr>
        <w:t>條)、再生水經營業及自行取用案檢查及申報辦法(第</w:t>
      </w:r>
      <w:r w:rsidRPr="00715E34">
        <w:rPr>
          <w:rFonts w:hAnsi="標楷體" w:hint="eastAsia"/>
          <w:bCs w:val="0"/>
          <w:szCs w:val="32"/>
        </w:rPr>
        <w:t>15</w:t>
      </w:r>
      <w:r w:rsidRPr="00715E34">
        <w:rPr>
          <w:rFonts w:hAnsi="標楷體" w:hint="eastAsia"/>
        </w:rPr>
        <w:t>條)、水源供應短缺之虞地區使用再生水辦法(第</w:t>
      </w:r>
      <w:r w:rsidRPr="00715E34">
        <w:rPr>
          <w:rFonts w:hAnsi="標楷體" w:hint="eastAsia"/>
          <w:bCs w:val="0"/>
          <w:szCs w:val="32"/>
        </w:rPr>
        <w:t>4</w:t>
      </w:r>
      <w:r w:rsidRPr="00715E34">
        <w:rPr>
          <w:rFonts w:hAnsi="標楷體" w:hint="eastAsia"/>
        </w:rPr>
        <w:t>條)、公共下水道系統放流水無償供應之一定期限及計費準則(第</w:t>
      </w:r>
      <w:r w:rsidRPr="00715E34">
        <w:rPr>
          <w:rFonts w:hAnsi="標楷體" w:hint="eastAsia"/>
          <w:bCs w:val="0"/>
          <w:szCs w:val="32"/>
        </w:rPr>
        <w:t>5</w:t>
      </w:r>
      <w:r w:rsidRPr="00715E34">
        <w:rPr>
          <w:rFonts w:hAnsi="標楷體" w:hint="eastAsia"/>
        </w:rPr>
        <w:t>條)、中央對地方政府再生水開發案建設費用補助辦法(第</w:t>
      </w:r>
      <w:r w:rsidRPr="00715E34">
        <w:rPr>
          <w:rFonts w:hAnsi="標楷體" w:hint="eastAsia"/>
          <w:bCs w:val="0"/>
          <w:szCs w:val="32"/>
        </w:rPr>
        <w:t>6</w:t>
      </w:r>
      <w:r w:rsidRPr="00715E34">
        <w:rPr>
          <w:rFonts w:hAnsi="標楷體" w:hint="eastAsia"/>
        </w:rPr>
        <w:t>條)、下水道系統廢(污)水或放流水供自行取用申請辦法(第</w:t>
      </w:r>
      <w:r w:rsidRPr="00715E34">
        <w:rPr>
          <w:rFonts w:hAnsi="標楷體" w:hint="eastAsia"/>
          <w:bCs w:val="0"/>
          <w:szCs w:val="32"/>
        </w:rPr>
        <w:t>11</w:t>
      </w:r>
      <w:r w:rsidRPr="00715E34">
        <w:rPr>
          <w:rFonts w:hAnsi="標楷體" w:hint="eastAsia"/>
        </w:rPr>
        <w:t>條)、再生水</w:t>
      </w:r>
      <w:r w:rsidRPr="00715E34">
        <w:rPr>
          <w:rFonts w:hAnsi="標楷體" w:hint="eastAsia"/>
        </w:rPr>
        <w:lastRenderedPageBreak/>
        <w:t>經營業再生水水費計算公式準則(第</w:t>
      </w:r>
      <w:r w:rsidRPr="00715E34">
        <w:rPr>
          <w:rFonts w:hAnsi="標楷體" w:hint="eastAsia"/>
          <w:bCs w:val="0"/>
          <w:szCs w:val="32"/>
        </w:rPr>
        <w:t>15</w:t>
      </w:r>
      <w:r w:rsidRPr="00715E34">
        <w:rPr>
          <w:rFonts w:hAnsi="標楷體" w:hint="eastAsia"/>
        </w:rPr>
        <w:t>條)。</w:t>
      </w:r>
      <w:r w:rsidRPr="00715E34">
        <w:rPr>
          <w:rFonts w:hAnsi="標楷體" w:hint="eastAsia"/>
          <w:szCs w:val="32"/>
        </w:rPr>
        <w:t>9項子法法制作業將規劃分為二梯次辦理，第1</w:t>
      </w:r>
      <w:r w:rsidR="00104A85" w:rsidRPr="00715E34">
        <w:rPr>
          <w:rFonts w:hAnsi="標楷體" w:hint="eastAsia"/>
          <w:szCs w:val="32"/>
        </w:rPr>
        <w:t>梯次推動訂定的子法包括</w:t>
      </w:r>
      <w:r w:rsidRPr="00715E34">
        <w:rPr>
          <w:rFonts w:hAnsi="標楷體" w:hint="eastAsia"/>
        </w:rPr>
        <w:t>再生水水質標準及使用管理辦法、再生水經營業興辦許可申請辦法、再生水開發案技師簽證規則、再生水經營業及自行取用案檢查及申報辦法等4項。該署已於</w:t>
      </w:r>
      <w:r w:rsidRPr="00715E34">
        <w:rPr>
          <w:rFonts w:hAnsi="標楷體" w:hint="eastAsia"/>
          <w:szCs w:val="32"/>
        </w:rPr>
        <w:t>105年2月</w:t>
      </w:r>
      <w:r w:rsidRPr="00715E34">
        <w:rPr>
          <w:rFonts w:hAnsi="標楷體" w:hint="eastAsia"/>
        </w:rPr>
        <w:t>完成草案初稿，同年</w:t>
      </w:r>
      <w:r w:rsidRPr="00715E34">
        <w:rPr>
          <w:rFonts w:hAnsi="標楷體" w:hint="eastAsia"/>
          <w:szCs w:val="32"/>
        </w:rPr>
        <w:t>2</w:t>
      </w:r>
      <w:r w:rsidRPr="00715E34">
        <w:rPr>
          <w:rFonts w:hAnsi="標楷體"/>
          <w:szCs w:val="32"/>
        </w:rPr>
        <w:t>月起至</w:t>
      </w:r>
      <w:r w:rsidRPr="00715E34">
        <w:rPr>
          <w:rFonts w:hAnsi="標楷體" w:hint="eastAsia"/>
          <w:szCs w:val="32"/>
        </w:rPr>
        <w:t>4</w:t>
      </w:r>
      <w:r w:rsidRPr="00715E34">
        <w:rPr>
          <w:rFonts w:hAnsi="標楷體"/>
          <w:szCs w:val="32"/>
        </w:rPr>
        <w:t>月</w:t>
      </w:r>
      <w:r w:rsidRPr="00715E34">
        <w:rPr>
          <w:rFonts w:hAnsi="標楷體" w:hint="eastAsia"/>
        </w:rPr>
        <w:t>中旬止分別召開專家學者諮詢會議，預計自同年</w:t>
      </w:r>
      <w:r w:rsidRPr="00715E34">
        <w:rPr>
          <w:rFonts w:hAnsi="標楷體" w:hint="eastAsia"/>
          <w:szCs w:val="32"/>
        </w:rPr>
        <w:t>5月中旬起召開跨部會檢討會議，6月起辦理預告及對外說明等語</w:t>
      </w:r>
      <w:r w:rsidRPr="00715E34">
        <w:rPr>
          <w:rFonts w:hAnsi="標楷體" w:hint="eastAsia"/>
        </w:rPr>
        <w:t>。</w:t>
      </w:r>
    </w:p>
    <w:p w:rsidR="007C649D" w:rsidRPr="00715E34" w:rsidRDefault="007C649D" w:rsidP="00232C83">
      <w:pPr>
        <w:pStyle w:val="3"/>
        <w:topLinePunct/>
        <w:rPr>
          <w:rFonts w:hAnsi="標楷體"/>
        </w:rPr>
      </w:pPr>
      <w:r w:rsidRPr="00715E34">
        <w:rPr>
          <w:rFonts w:hAnsi="標楷體" w:hint="eastAsia"/>
          <w:lang w:val="zh-TW"/>
        </w:rPr>
        <w:t>依據「中央政府機關法制作業應注意事項」第6章「作業管制」第16項規定：「</w:t>
      </w:r>
      <w:r w:rsidRPr="00715E34">
        <w:rPr>
          <w:rFonts w:hAnsi="標楷體" w:hint="eastAsia"/>
        </w:rPr>
        <w:t>草擬法律制定、修正或廢止案時，對於應訂定、修正或廢止之法規命令，應一併規劃並先期作業，於法律公布施行後6個月內完成發布；其未能於6個月內完成發布者，應說明理由並自行評估完成期限陳報行政院，其延後發布期限不得逾6個月」。</w:t>
      </w:r>
      <w:r w:rsidR="00841478" w:rsidRPr="00715E34">
        <w:rPr>
          <w:rFonts w:hAnsi="標楷體"/>
        </w:rPr>
        <w:t>再生水資源發展條例之中央主管機關為經濟部</w:t>
      </w:r>
      <w:r w:rsidR="003B5C00" w:rsidRPr="00715E34">
        <w:rPr>
          <w:rFonts w:hAnsi="標楷體" w:hint="eastAsia"/>
        </w:rPr>
        <w:t>，</w:t>
      </w:r>
      <w:r w:rsidRPr="00715E34">
        <w:rPr>
          <w:rFonts w:hAnsi="標楷體"/>
        </w:rPr>
        <w:t>鑒於國內再生水</w:t>
      </w:r>
      <w:r w:rsidRPr="00715E34">
        <w:rPr>
          <w:rFonts w:hAnsi="標楷體"/>
          <w:kern w:val="0"/>
        </w:rPr>
        <w:t>利用推展多年迄仍成效有限，亟待策進以因應國內日趨嚴峻之缺水情勢，</w:t>
      </w:r>
      <w:r w:rsidR="00841478" w:rsidRPr="00715E34">
        <w:rPr>
          <w:rFonts w:hAnsi="標楷體" w:hint="eastAsia"/>
        </w:rPr>
        <w:t>該</w:t>
      </w:r>
      <w:r w:rsidRPr="00715E34">
        <w:rPr>
          <w:rFonts w:hAnsi="標楷體"/>
        </w:rPr>
        <w:t>條例</w:t>
      </w:r>
      <w:r w:rsidR="003B5C00" w:rsidRPr="00715E34">
        <w:rPr>
          <w:rFonts w:hAnsi="標楷體"/>
        </w:rPr>
        <w:t>既已正式公布施行，</w:t>
      </w:r>
      <w:r w:rsidR="00CE2791" w:rsidRPr="00715E34">
        <w:rPr>
          <w:rFonts w:hAnsi="標楷體" w:hint="eastAsia"/>
        </w:rPr>
        <w:t>爰</w:t>
      </w:r>
      <w:r w:rsidR="00841478" w:rsidRPr="00715E34">
        <w:rPr>
          <w:rFonts w:hAnsi="標楷體" w:hint="eastAsia"/>
        </w:rPr>
        <w:t>經濟</w:t>
      </w:r>
      <w:r w:rsidR="003B5C00" w:rsidRPr="00715E34">
        <w:rPr>
          <w:rFonts w:hAnsi="標楷體" w:hint="eastAsia"/>
        </w:rPr>
        <w:t>部</w:t>
      </w:r>
      <w:r w:rsidRPr="00715E34">
        <w:rPr>
          <w:rFonts w:hAnsi="標楷體"/>
        </w:rPr>
        <w:t>應按該條例之授權，儘速</w:t>
      </w:r>
      <w:r w:rsidRPr="00715E34">
        <w:rPr>
          <w:rFonts w:hAnsi="標楷體" w:hint="eastAsia"/>
        </w:rPr>
        <w:t>依限</w:t>
      </w:r>
      <w:r w:rsidRPr="00715E34">
        <w:rPr>
          <w:rFonts w:hAnsi="標楷體"/>
        </w:rPr>
        <w:t>訂定相關</w:t>
      </w:r>
      <w:r w:rsidRPr="00715E34">
        <w:rPr>
          <w:rFonts w:hAnsi="標楷體" w:hint="eastAsia"/>
        </w:rPr>
        <w:t>9項</w:t>
      </w:r>
      <w:r w:rsidRPr="00715E34">
        <w:rPr>
          <w:rFonts w:hAnsi="標楷體"/>
        </w:rPr>
        <w:t>子法並落實執行，俾妥善利用國內每日產生之大量廢、污水做為再生水源，有效提升供水能力。</w:t>
      </w:r>
    </w:p>
    <w:p w:rsidR="00647091" w:rsidRPr="00715E34" w:rsidRDefault="00647091" w:rsidP="00232C83">
      <w:pPr>
        <w:pStyle w:val="2"/>
        <w:topLinePunct/>
        <w:spacing w:beforeLines="25" w:before="114"/>
        <w:ind w:left="1020" w:hanging="680"/>
        <w:rPr>
          <w:rFonts w:hAnsi="標楷體"/>
          <w:b/>
          <w:szCs w:val="32"/>
        </w:rPr>
      </w:pPr>
      <w:bookmarkStart w:id="89" w:name="_Toc455922272"/>
      <w:bookmarkStart w:id="90" w:name="_Toc455922473"/>
      <w:bookmarkStart w:id="91" w:name="_Toc455922897"/>
      <w:bookmarkStart w:id="92" w:name="_Toc458000631"/>
      <w:r w:rsidRPr="00715E34">
        <w:rPr>
          <w:rFonts w:hAnsi="標楷體"/>
          <w:b/>
          <w:szCs w:val="32"/>
        </w:rPr>
        <w:t>水利署迄無</w:t>
      </w:r>
      <w:r w:rsidRPr="00715E34">
        <w:rPr>
          <w:rFonts w:hAnsi="標楷體"/>
          <w:b/>
          <w:szCs w:val="36"/>
        </w:rPr>
        <w:t>定義</w:t>
      </w:r>
      <w:r w:rsidRPr="00715E34">
        <w:rPr>
          <w:rFonts w:hAnsi="標楷體"/>
          <w:b/>
          <w:szCs w:val="32"/>
        </w:rPr>
        <w:t>或條列國內高耗水產業別，針對各產業用水量之管制，係於其申請開發時審查其所提用水計畫書及抽查實際用水量，然用水計畫書審查目前僅能依循水利法施行細則第46條第1項、區域計畫法第15條之2第1項第4款及開發行為環境影響評估作業準則第11條等規定辦理，除前揭法令規定外，該署尚無法主動要求進行審查，管制強度顯然不足，亦無法</w:t>
      </w:r>
      <w:r w:rsidRPr="00715E34">
        <w:rPr>
          <w:rFonts w:hAnsi="標楷體"/>
          <w:b/>
          <w:szCs w:val="32"/>
        </w:rPr>
        <w:lastRenderedPageBreak/>
        <w:t>進行全面管制，允宜賡續推動相關法令修</w:t>
      </w:r>
      <w:r w:rsidRPr="00715E34">
        <w:rPr>
          <w:rFonts w:hAnsi="標楷體" w:hint="eastAsia"/>
          <w:b/>
          <w:szCs w:val="32"/>
        </w:rPr>
        <w:t>正</w:t>
      </w:r>
      <w:r w:rsidRPr="00715E34">
        <w:rPr>
          <w:rFonts w:hAnsi="標楷體"/>
          <w:b/>
          <w:szCs w:val="32"/>
        </w:rPr>
        <w:t>，以資策進</w:t>
      </w:r>
      <w:bookmarkEnd w:id="89"/>
      <w:bookmarkEnd w:id="90"/>
      <w:bookmarkEnd w:id="91"/>
      <w:bookmarkEnd w:id="92"/>
    </w:p>
    <w:p w:rsidR="00647091" w:rsidRPr="00715E34" w:rsidRDefault="00647091" w:rsidP="00232C83">
      <w:pPr>
        <w:pStyle w:val="3"/>
        <w:widowControl/>
        <w:suppressAutoHyphens/>
        <w:topLinePunct/>
        <w:autoSpaceDE/>
        <w:autoSpaceDN/>
        <w:textAlignment w:val="center"/>
        <w:rPr>
          <w:rFonts w:hAnsi="標楷體"/>
        </w:rPr>
      </w:pPr>
      <w:r w:rsidRPr="00715E34">
        <w:rPr>
          <w:rFonts w:hAnsi="標楷體"/>
          <w:szCs w:val="32"/>
        </w:rPr>
        <w:t>據水利署查復，目前尚無定義或條列國內高耗水產業別，針對各產業用水量之管制，係於其申請開發</w:t>
      </w:r>
      <w:r w:rsidRPr="00715E34">
        <w:rPr>
          <w:rFonts w:hAnsi="標楷體" w:hint="eastAsia"/>
          <w:szCs w:val="32"/>
        </w:rPr>
        <w:t>（興辦或擴充）</w:t>
      </w:r>
      <w:r w:rsidRPr="00715E34">
        <w:rPr>
          <w:rFonts w:hAnsi="標楷體"/>
          <w:szCs w:val="32"/>
        </w:rPr>
        <w:t>時審查其所提用水計畫書，進行用水量核給及管制；在水資源可供應之總量管制原則下，審查其需用水量合理性、是否符合節約用水原則、及計畫書內各項措施是否確實可行。若開發單位需用水量超出該區域之可供給水源量，則無法取得用水計畫審查同意，同時藉由要求合理用水回收率承諾（目前科學園區回收率多在85%以上）及開發單位自備3天以上的備援蓄水量，達到兼顧產業發展及用水效率提升之雙重目的。對於已核定用水計畫案件，水利署每年進行書面查核作業，針對用水量及期程差異較大之個案，並進行現地訪查作業，據以管控。</w:t>
      </w:r>
    </w:p>
    <w:p w:rsidR="00647091" w:rsidRPr="00715E34" w:rsidRDefault="00647091" w:rsidP="00232C83">
      <w:pPr>
        <w:pStyle w:val="3"/>
        <w:widowControl/>
        <w:suppressAutoHyphens/>
        <w:topLinePunct/>
        <w:autoSpaceDE/>
        <w:autoSpaceDN/>
        <w:textAlignment w:val="center"/>
        <w:rPr>
          <w:rFonts w:hAnsi="標楷體"/>
        </w:rPr>
      </w:pPr>
      <w:r w:rsidRPr="00715E34">
        <w:rPr>
          <w:rFonts w:hAnsi="標楷體"/>
          <w:szCs w:val="32"/>
        </w:rPr>
        <w:t>然詢據水利署表示，目前用水計畫書審查係依據開發</w:t>
      </w:r>
      <w:r w:rsidRPr="00715E34">
        <w:rPr>
          <w:rFonts w:hAnsi="標楷體" w:hint="eastAsia"/>
          <w:szCs w:val="32"/>
        </w:rPr>
        <w:t>（興辦或擴充）</w:t>
      </w:r>
      <w:r w:rsidRPr="00715E34">
        <w:rPr>
          <w:rFonts w:hAnsi="標楷體"/>
          <w:szCs w:val="32"/>
        </w:rPr>
        <w:t>案件之適用法規辦理，包括水利法施行細則第46條第1項、區域計畫法第15條之2第1項第4款、開發行為環境影響評估作業準則第11條等規定辦理，除該等法規要求外，尚無法主動要求進行審查，況且「用水計畫書審查作業要點」屬於行政規則位階，導致管制強度不足，亦無法進行全面性之管制；目前水利法修正已朝水利主管機關可主動要求審查及核定用水計畫為開發許可要件，並將未依法送審及依核定用水計畫之罰則納入立法，可有效強化用水管控等語。</w:t>
      </w:r>
    </w:p>
    <w:p w:rsidR="00647091" w:rsidRPr="00715E34" w:rsidRDefault="00647091" w:rsidP="00232C83">
      <w:pPr>
        <w:pStyle w:val="3"/>
        <w:topLinePunct/>
        <w:rPr>
          <w:rFonts w:hAnsi="標楷體"/>
          <w:szCs w:val="48"/>
        </w:rPr>
      </w:pPr>
      <w:r w:rsidRPr="00715E34">
        <w:rPr>
          <w:rFonts w:hAnsi="標楷體"/>
          <w:szCs w:val="32"/>
        </w:rPr>
        <w:t>綜上，水利署迄無定義或條列國內高耗水產業別，針對各產業用水量之管制，係於其申請開發</w:t>
      </w:r>
      <w:r w:rsidRPr="00715E34">
        <w:rPr>
          <w:rFonts w:hAnsi="標楷體" w:hint="eastAsia"/>
          <w:szCs w:val="32"/>
        </w:rPr>
        <w:t>（興辦或擴充）</w:t>
      </w:r>
      <w:r w:rsidRPr="00715E34">
        <w:rPr>
          <w:rFonts w:hAnsi="標楷體"/>
          <w:szCs w:val="32"/>
        </w:rPr>
        <w:t>時審查其所提用水計畫書及抽查實際用水</w:t>
      </w:r>
      <w:r w:rsidRPr="00715E34">
        <w:rPr>
          <w:rFonts w:hAnsi="標楷體"/>
          <w:szCs w:val="32"/>
        </w:rPr>
        <w:lastRenderedPageBreak/>
        <w:t>量，然用水計畫書審查目前僅能依循水利法施行細則第46條第1項、區域計畫法第15條之2第1項第4款及開發行為環境影響評估作業準則第11條等規定辦理，除前揭法令規定外，該署尚無法主動要求進行審查，管制強度顯然不足，亦無法進行全面管制，允宜賡續推動相關法令修</w:t>
      </w:r>
      <w:r w:rsidRPr="00715E34">
        <w:rPr>
          <w:rFonts w:hAnsi="標楷體" w:hint="eastAsia"/>
          <w:szCs w:val="32"/>
        </w:rPr>
        <w:t>正</w:t>
      </w:r>
      <w:r w:rsidRPr="00715E34">
        <w:rPr>
          <w:rFonts w:hAnsi="標楷體"/>
          <w:szCs w:val="32"/>
        </w:rPr>
        <w:t>，以資策進。</w:t>
      </w:r>
    </w:p>
    <w:p w:rsidR="004A2528" w:rsidRPr="001D74AE" w:rsidRDefault="004A2528" w:rsidP="005354F6">
      <w:pPr>
        <w:pStyle w:val="afffff9"/>
        <w:numPr>
          <w:ilvl w:val="0"/>
          <w:numId w:val="0"/>
        </w:numPr>
        <w:topLinePunct/>
        <w:spacing w:beforeLines="25" w:before="114"/>
        <w:ind w:leftChars="25" w:left="85"/>
        <w:rPr>
          <w:b/>
          <w:i/>
        </w:rPr>
      </w:pPr>
      <w:bookmarkStart w:id="93" w:name="_Toc458000632"/>
      <w:r w:rsidRPr="001D74AE">
        <w:rPr>
          <w:rFonts w:hint="eastAsia"/>
          <w:b/>
          <w:i/>
        </w:rPr>
        <w:t>《執行面》</w:t>
      </w:r>
      <w:bookmarkEnd w:id="93"/>
    </w:p>
    <w:p w:rsidR="005354F6" w:rsidRPr="00C30C6A" w:rsidRDefault="00386945" w:rsidP="005354F6">
      <w:pPr>
        <w:topLinePunct/>
        <w:ind w:left="680" w:firstLine="680"/>
        <w:rPr>
          <w:rFonts w:hAnsi="標楷體"/>
          <w:i/>
          <w:sz w:val="30"/>
          <w:szCs w:val="30"/>
        </w:rPr>
      </w:pPr>
      <w:r w:rsidRPr="00C30C6A">
        <w:rPr>
          <w:rFonts w:hAnsi="標楷體" w:hint="eastAsia"/>
          <w:i/>
          <w:sz w:val="30"/>
          <w:szCs w:val="30"/>
        </w:rPr>
        <w:t>去（104）年蘇迪勒颱風</w:t>
      </w:r>
      <w:r w:rsidR="005354F6" w:rsidRPr="00C30C6A">
        <w:rPr>
          <w:rFonts w:hAnsi="標楷體" w:hint="eastAsia"/>
          <w:i/>
          <w:sz w:val="30"/>
          <w:szCs w:val="30"/>
        </w:rPr>
        <w:t>重創</w:t>
      </w:r>
      <w:r w:rsidR="009D32F4" w:rsidRPr="00C30C6A">
        <w:rPr>
          <w:rFonts w:hAnsi="標楷體" w:hint="eastAsia"/>
          <w:i/>
          <w:sz w:val="30"/>
          <w:szCs w:val="30"/>
        </w:rPr>
        <w:t>南勢溪上游</w:t>
      </w:r>
      <w:r w:rsidR="005354F6" w:rsidRPr="00C30C6A">
        <w:rPr>
          <w:rFonts w:hAnsi="標楷體" w:hint="eastAsia"/>
          <w:i/>
          <w:sz w:val="30"/>
          <w:szCs w:val="30"/>
        </w:rPr>
        <w:t>水庫集水區，</w:t>
      </w:r>
      <w:r w:rsidR="009D32F4" w:rsidRPr="00C30C6A">
        <w:rPr>
          <w:rFonts w:hAnsi="標楷體" w:hint="eastAsia"/>
          <w:i/>
          <w:sz w:val="30"/>
          <w:szCs w:val="30"/>
        </w:rPr>
        <w:t>凸顯</w:t>
      </w:r>
      <w:r w:rsidR="005354F6" w:rsidRPr="00C30C6A">
        <w:rPr>
          <w:rFonts w:hAnsi="標楷體" w:hint="eastAsia"/>
          <w:i/>
          <w:sz w:val="30"/>
          <w:szCs w:val="30"/>
        </w:rPr>
        <w:t>各權責機關取締土地違法、超限利用及污染水源</w:t>
      </w:r>
      <w:r w:rsidR="007301EE" w:rsidRPr="00C30C6A">
        <w:rPr>
          <w:rFonts w:hAnsi="標楷體" w:hint="eastAsia"/>
          <w:i/>
          <w:sz w:val="30"/>
          <w:szCs w:val="30"/>
        </w:rPr>
        <w:t>等</w:t>
      </w:r>
      <w:r w:rsidR="005354F6" w:rsidRPr="00C30C6A">
        <w:rPr>
          <w:rFonts w:hAnsi="標楷體" w:hint="eastAsia"/>
          <w:i/>
          <w:sz w:val="30"/>
          <w:szCs w:val="30"/>
        </w:rPr>
        <w:t>行為不力，</w:t>
      </w:r>
      <w:r w:rsidR="007301EE" w:rsidRPr="00C30C6A">
        <w:rPr>
          <w:rFonts w:hAnsi="標楷體" w:hint="eastAsia"/>
          <w:i/>
          <w:sz w:val="30"/>
          <w:szCs w:val="30"/>
        </w:rPr>
        <w:t>且</w:t>
      </w:r>
      <w:r w:rsidR="005354F6" w:rsidRPr="00C30C6A">
        <w:rPr>
          <w:rFonts w:hAnsi="標楷體" w:hint="eastAsia"/>
          <w:i/>
          <w:sz w:val="30"/>
          <w:szCs w:val="30"/>
        </w:rPr>
        <w:t>集水區內各類保護區管制事權不一，水土保持工程欠缺統籌整合機制，對於崩塌地整治及復育工作亦顯消極，</w:t>
      </w:r>
      <w:r w:rsidR="007301EE" w:rsidRPr="00C30C6A">
        <w:rPr>
          <w:rFonts w:hAnsi="標楷體" w:hint="eastAsia"/>
          <w:i/>
          <w:sz w:val="30"/>
          <w:szCs w:val="30"/>
        </w:rPr>
        <w:t>又</w:t>
      </w:r>
      <w:r w:rsidR="005354F6" w:rsidRPr="00C30C6A">
        <w:rPr>
          <w:rFonts w:hAnsi="標楷體" w:hint="eastAsia"/>
          <w:i/>
          <w:sz w:val="30"/>
          <w:szCs w:val="30"/>
        </w:rPr>
        <w:t>長期怠忽水庫清</w:t>
      </w:r>
      <w:r w:rsidR="007301EE" w:rsidRPr="00C30C6A">
        <w:rPr>
          <w:rFonts w:hAnsi="標楷體" w:hint="eastAsia"/>
          <w:i/>
          <w:sz w:val="30"/>
          <w:szCs w:val="30"/>
        </w:rPr>
        <w:t>（防）</w:t>
      </w:r>
      <w:r w:rsidR="005354F6" w:rsidRPr="00C30C6A">
        <w:rPr>
          <w:rFonts w:hAnsi="標楷體" w:hint="eastAsia"/>
          <w:i/>
          <w:sz w:val="30"/>
          <w:szCs w:val="30"/>
        </w:rPr>
        <w:t>淤設備更新及水質優養化改善等工作，肇致每逢颱風豪雨災情不斷；</w:t>
      </w:r>
      <w:r w:rsidR="00D11DC1" w:rsidRPr="00C30C6A">
        <w:rPr>
          <w:rFonts w:hAnsi="標楷體" w:hint="eastAsia"/>
          <w:i/>
          <w:sz w:val="30"/>
          <w:szCs w:val="30"/>
        </w:rPr>
        <w:t>另</w:t>
      </w:r>
      <w:r w:rsidR="007301EE" w:rsidRPr="00C30C6A">
        <w:rPr>
          <w:rFonts w:hAnsi="標楷體" w:hint="eastAsia"/>
          <w:i/>
          <w:sz w:val="30"/>
          <w:szCs w:val="30"/>
        </w:rPr>
        <w:t>因</w:t>
      </w:r>
      <w:r w:rsidR="00D11DC1" w:rsidRPr="00C30C6A">
        <w:rPr>
          <w:rFonts w:hAnsi="標楷體" w:hint="eastAsia"/>
          <w:i/>
          <w:sz w:val="30"/>
          <w:szCs w:val="30"/>
        </w:rPr>
        <w:t>自來水管線老舊且汰換緩慢，漏</w:t>
      </w:r>
      <w:r w:rsidR="001541F7" w:rsidRPr="00C30C6A">
        <w:rPr>
          <w:rFonts w:hAnsi="標楷體" w:hint="eastAsia"/>
          <w:i/>
          <w:sz w:val="30"/>
          <w:szCs w:val="30"/>
        </w:rPr>
        <w:t>水率居高不下</w:t>
      </w:r>
      <w:r w:rsidR="00D11DC1" w:rsidRPr="00C30C6A">
        <w:rPr>
          <w:rFonts w:hAnsi="標楷體" w:hint="eastAsia"/>
          <w:i/>
          <w:sz w:val="30"/>
          <w:szCs w:val="30"/>
        </w:rPr>
        <w:t>，</w:t>
      </w:r>
      <w:r w:rsidR="009D32F4" w:rsidRPr="00C30C6A">
        <w:rPr>
          <w:rFonts w:hAnsi="標楷體" w:hint="eastAsia"/>
          <w:i/>
          <w:sz w:val="30"/>
          <w:szCs w:val="30"/>
        </w:rPr>
        <w:t>加上</w:t>
      </w:r>
      <w:r w:rsidR="00D11DC1" w:rsidRPr="00C30C6A">
        <w:rPr>
          <w:rFonts w:hAnsi="標楷體" w:hint="eastAsia"/>
          <w:i/>
          <w:sz w:val="30"/>
          <w:szCs w:val="30"/>
        </w:rPr>
        <w:t>農業用水圳道輸送</w:t>
      </w:r>
      <w:r w:rsidR="001541F7" w:rsidRPr="00C30C6A">
        <w:rPr>
          <w:rFonts w:hAnsi="標楷體" w:hint="eastAsia"/>
          <w:i/>
          <w:sz w:val="30"/>
          <w:szCs w:val="30"/>
        </w:rPr>
        <w:t>過程</w:t>
      </w:r>
      <w:r w:rsidR="00D11DC1" w:rsidRPr="00C30C6A">
        <w:rPr>
          <w:rFonts w:hAnsi="標楷體" w:hint="eastAsia"/>
          <w:i/>
          <w:sz w:val="30"/>
          <w:szCs w:val="30"/>
        </w:rPr>
        <w:t>損失，每年</w:t>
      </w:r>
      <w:r w:rsidR="00BE5667" w:rsidRPr="00C30C6A">
        <w:rPr>
          <w:rFonts w:hAnsi="標楷體" w:hint="eastAsia"/>
          <w:i/>
          <w:sz w:val="30"/>
          <w:szCs w:val="30"/>
        </w:rPr>
        <w:t>有高達60億立方公尺之</w:t>
      </w:r>
      <w:r w:rsidR="00D11DC1" w:rsidRPr="00C30C6A">
        <w:rPr>
          <w:rFonts w:hAnsi="標楷體" w:hint="eastAsia"/>
          <w:i/>
          <w:sz w:val="30"/>
          <w:szCs w:val="30"/>
        </w:rPr>
        <w:t>珍貴水資源</w:t>
      </w:r>
      <w:r w:rsidR="00BE5667" w:rsidRPr="00C30C6A">
        <w:rPr>
          <w:rFonts w:hAnsi="標楷體" w:hint="eastAsia"/>
          <w:i/>
          <w:sz w:val="30"/>
          <w:szCs w:val="30"/>
        </w:rPr>
        <w:t>平白</w:t>
      </w:r>
      <w:r w:rsidR="001541F7" w:rsidRPr="00C30C6A">
        <w:rPr>
          <w:rFonts w:hAnsi="標楷體" w:hint="eastAsia"/>
          <w:i/>
          <w:sz w:val="30"/>
          <w:szCs w:val="30"/>
        </w:rPr>
        <w:t>浪費</w:t>
      </w:r>
      <w:r w:rsidR="00D11DC1" w:rsidRPr="00C30C6A">
        <w:rPr>
          <w:rFonts w:hAnsi="標楷體" w:hint="eastAsia"/>
          <w:i/>
          <w:sz w:val="30"/>
          <w:szCs w:val="30"/>
        </w:rPr>
        <w:t>；</w:t>
      </w:r>
      <w:r w:rsidR="001541F7" w:rsidRPr="00C30C6A">
        <w:rPr>
          <w:rFonts w:hAnsi="標楷體" w:hint="eastAsia"/>
          <w:i/>
          <w:sz w:val="30"/>
          <w:szCs w:val="30"/>
        </w:rPr>
        <w:t>復因</w:t>
      </w:r>
      <w:r w:rsidR="00BE5667" w:rsidRPr="00C30C6A">
        <w:rPr>
          <w:rFonts w:hAnsi="標楷體" w:hint="eastAsia"/>
          <w:i/>
          <w:sz w:val="30"/>
          <w:szCs w:val="30"/>
        </w:rPr>
        <w:t>長期以來的</w:t>
      </w:r>
      <w:r w:rsidR="00137D90" w:rsidRPr="00C30C6A">
        <w:rPr>
          <w:rFonts w:hAnsi="標楷體" w:hint="eastAsia"/>
          <w:i/>
          <w:sz w:val="30"/>
          <w:szCs w:val="30"/>
        </w:rPr>
        <w:t>低廉水價政策，</w:t>
      </w:r>
      <w:r w:rsidR="00BE5667" w:rsidRPr="00C30C6A">
        <w:rPr>
          <w:rFonts w:hAnsi="標楷體" w:hint="eastAsia"/>
          <w:i/>
          <w:sz w:val="30"/>
          <w:szCs w:val="30"/>
        </w:rPr>
        <w:t>導致</w:t>
      </w:r>
      <w:r w:rsidR="00137D90" w:rsidRPr="00C30C6A">
        <w:rPr>
          <w:rFonts w:hAnsi="標楷體" w:hint="eastAsia"/>
          <w:i/>
          <w:sz w:val="30"/>
          <w:szCs w:val="30"/>
        </w:rPr>
        <w:t>自來水</w:t>
      </w:r>
      <w:r w:rsidR="00454EFC" w:rsidRPr="00C30C6A">
        <w:rPr>
          <w:rFonts w:hAnsi="標楷體" w:hint="eastAsia"/>
          <w:i/>
          <w:sz w:val="30"/>
          <w:szCs w:val="30"/>
        </w:rPr>
        <w:t>事業</w:t>
      </w:r>
      <w:r w:rsidR="00BE5667" w:rsidRPr="00C30C6A">
        <w:rPr>
          <w:rFonts w:hAnsi="標楷體" w:hint="eastAsia"/>
          <w:i/>
          <w:sz w:val="30"/>
          <w:szCs w:val="30"/>
        </w:rPr>
        <w:t>無法依</w:t>
      </w:r>
      <w:r w:rsidR="00454EFC" w:rsidRPr="00C30C6A">
        <w:rPr>
          <w:rFonts w:hAnsi="標楷體" w:hint="eastAsia"/>
          <w:i/>
          <w:sz w:val="30"/>
          <w:szCs w:val="30"/>
        </w:rPr>
        <w:t>自來水法合理反映成本，嚴重影響供水效率及永續經營，而所採分段差別費率以價制量，</w:t>
      </w:r>
      <w:r w:rsidR="007A3E1F" w:rsidRPr="00C30C6A">
        <w:rPr>
          <w:rFonts w:hAnsi="標楷體" w:hint="eastAsia"/>
          <w:i/>
          <w:sz w:val="30"/>
          <w:szCs w:val="30"/>
        </w:rPr>
        <w:t>或</w:t>
      </w:r>
      <w:r w:rsidR="00454EFC" w:rsidRPr="00C30C6A">
        <w:rPr>
          <w:rFonts w:hAnsi="標楷體" w:hint="eastAsia"/>
          <w:i/>
          <w:sz w:val="30"/>
          <w:szCs w:val="30"/>
        </w:rPr>
        <w:t>針對用水大戶採單一費率</w:t>
      </w:r>
      <w:r w:rsidR="00F35E40" w:rsidRPr="00C30C6A">
        <w:rPr>
          <w:rFonts w:hAnsi="標楷體" w:hint="eastAsia"/>
          <w:i/>
          <w:sz w:val="30"/>
          <w:szCs w:val="30"/>
        </w:rPr>
        <w:t>之做法</w:t>
      </w:r>
      <w:r w:rsidR="007A3E1F" w:rsidRPr="00C30C6A">
        <w:rPr>
          <w:rFonts w:hAnsi="標楷體" w:hint="eastAsia"/>
          <w:i/>
          <w:sz w:val="30"/>
          <w:szCs w:val="30"/>
        </w:rPr>
        <w:t>，</w:t>
      </w:r>
      <w:r w:rsidR="00454EFC" w:rsidRPr="00C30C6A">
        <w:rPr>
          <w:rFonts w:hAnsi="標楷體" w:hint="eastAsia"/>
          <w:i/>
          <w:sz w:val="30"/>
          <w:szCs w:val="30"/>
        </w:rPr>
        <w:t>抑制</w:t>
      </w:r>
      <w:r w:rsidR="001541F7" w:rsidRPr="00C30C6A">
        <w:rPr>
          <w:rFonts w:hAnsi="標楷體" w:hint="eastAsia"/>
          <w:i/>
          <w:sz w:val="30"/>
          <w:szCs w:val="30"/>
        </w:rPr>
        <w:t>成</w:t>
      </w:r>
      <w:r w:rsidR="00454EFC" w:rsidRPr="00C30C6A">
        <w:rPr>
          <w:rFonts w:hAnsi="標楷體" w:hint="eastAsia"/>
          <w:i/>
          <w:sz w:val="30"/>
          <w:szCs w:val="30"/>
        </w:rPr>
        <w:t>效</w:t>
      </w:r>
      <w:r w:rsidR="007A3E1F" w:rsidRPr="00C30C6A">
        <w:rPr>
          <w:rFonts w:hAnsi="標楷體" w:hint="eastAsia"/>
          <w:i/>
          <w:sz w:val="30"/>
          <w:szCs w:val="30"/>
        </w:rPr>
        <w:t>均不</w:t>
      </w:r>
      <w:r w:rsidR="00BE5667" w:rsidRPr="00C30C6A">
        <w:rPr>
          <w:rFonts w:hAnsi="標楷體" w:hint="eastAsia"/>
          <w:i/>
          <w:sz w:val="30"/>
          <w:szCs w:val="30"/>
        </w:rPr>
        <w:t>如預期</w:t>
      </w:r>
      <w:r w:rsidR="007A3E1F" w:rsidRPr="00C30C6A">
        <w:rPr>
          <w:rFonts w:hAnsi="標楷體" w:hint="eastAsia"/>
          <w:i/>
          <w:sz w:val="30"/>
          <w:szCs w:val="30"/>
        </w:rPr>
        <w:t>，</w:t>
      </w:r>
      <w:r w:rsidR="00454EFC" w:rsidRPr="00C30C6A">
        <w:rPr>
          <w:rFonts w:hAnsi="標楷體" w:hint="eastAsia"/>
          <w:i/>
          <w:sz w:val="30"/>
          <w:szCs w:val="30"/>
        </w:rPr>
        <w:t>未來</w:t>
      </w:r>
      <w:r w:rsidR="007A3E1F" w:rsidRPr="00C30C6A">
        <w:rPr>
          <w:rFonts w:hAnsi="標楷體" w:hint="eastAsia"/>
          <w:i/>
          <w:sz w:val="30"/>
          <w:szCs w:val="30"/>
        </w:rPr>
        <w:t>若</w:t>
      </w:r>
      <w:r w:rsidR="00454EFC" w:rsidRPr="00C30C6A">
        <w:rPr>
          <w:rFonts w:hAnsi="標楷體" w:hint="eastAsia"/>
          <w:i/>
          <w:sz w:val="30"/>
          <w:szCs w:val="30"/>
        </w:rPr>
        <w:t>開徵耗水費，</w:t>
      </w:r>
      <w:r w:rsidR="00F35E40" w:rsidRPr="00C30C6A">
        <w:rPr>
          <w:rFonts w:hAnsi="標楷體" w:hint="eastAsia"/>
          <w:i/>
          <w:sz w:val="30"/>
          <w:szCs w:val="30"/>
        </w:rPr>
        <w:t>允</w:t>
      </w:r>
      <w:r w:rsidR="00454EFC" w:rsidRPr="00C30C6A">
        <w:rPr>
          <w:rFonts w:hAnsi="標楷體" w:hint="eastAsia"/>
          <w:i/>
          <w:sz w:val="30"/>
          <w:szCs w:val="30"/>
        </w:rPr>
        <w:t>應落實使用者付費及公平性原則，俾期擴大節水成效</w:t>
      </w:r>
      <w:r w:rsidR="007A3E1F" w:rsidRPr="00C30C6A">
        <w:rPr>
          <w:rFonts w:hAnsi="標楷體" w:hint="eastAsia"/>
          <w:i/>
          <w:sz w:val="30"/>
          <w:szCs w:val="30"/>
        </w:rPr>
        <w:t>。</w:t>
      </w:r>
    </w:p>
    <w:p w:rsidR="00473050" w:rsidRPr="00715E34" w:rsidRDefault="00444C65" w:rsidP="00232C83">
      <w:pPr>
        <w:pStyle w:val="2"/>
        <w:topLinePunct/>
        <w:autoSpaceDE/>
        <w:autoSpaceDN/>
        <w:spacing w:beforeLines="25" w:before="114"/>
        <w:ind w:left="1043" w:hanging="697"/>
        <w:rPr>
          <w:rFonts w:hAnsi="標楷體"/>
          <w:b/>
        </w:rPr>
      </w:pPr>
      <w:bookmarkStart w:id="94" w:name="_Toc458000633"/>
      <w:r w:rsidRPr="00715E34">
        <w:rPr>
          <w:rFonts w:hAnsi="標楷體" w:hint="eastAsia"/>
          <w:b/>
        </w:rPr>
        <w:t>去（</w:t>
      </w:r>
      <w:r w:rsidR="00473050" w:rsidRPr="00715E34">
        <w:rPr>
          <w:rFonts w:hAnsi="標楷體"/>
          <w:b/>
        </w:rPr>
        <w:t>104</w:t>
      </w:r>
      <w:r w:rsidRPr="00715E34">
        <w:rPr>
          <w:rFonts w:hAnsi="標楷體" w:hint="eastAsia"/>
          <w:b/>
        </w:rPr>
        <w:t>）</w:t>
      </w:r>
      <w:r w:rsidR="00473050" w:rsidRPr="00715E34">
        <w:rPr>
          <w:rFonts w:hAnsi="標楷體"/>
          <w:b/>
        </w:rPr>
        <w:t>年蘇迪勒颱風</w:t>
      </w:r>
      <w:r w:rsidR="00432544" w:rsidRPr="00715E34">
        <w:rPr>
          <w:rFonts w:hAnsi="標楷體" w:hint="eastAsia"/>
          <w:b/>
        </w:rPr>
        <w:t>來襲</w:t>
      </w:r>
      <w:r w:rsidR="00473050" w:rsidRPr="00715E34">
        <w:rPr>
          <w:rFonts w:hAnsi="標楷體" w:hint="eastAsia"/>
          <w:b/>
        </w:rPr>
        <w:t>，</w:t>
      </w:r>
      <w:r w:rsidR="00473050" w:rsidRPr="00715E34">
        <w:rPr>
          <w:rFonts w:hAnsi="標楷體"/>
          <w:b/>
        </w:rPr>
        <w:t>重創新北市</w:t>
      </w:r>
      <w:r w:rsidR="00473050" w:rsidRPr="00715E34">
        <w:rPr>
          <w:rFonts w:hAnsi="標楷體" w:hint="eastAsia"/>
          <w:b/>
        </w:rPr>
        <w:t>烏來等</w:t>
      </w:r>
      <w:r w:rsidR="00473050" w:rsidRPr="00715E34">
        <w:rPr>
          <w:rFonts w:hAnsi="標楷體"/>
          <w:b/>
        </w:rPr>
        <w:t>水庫上游集水區，</w:t>
      </w:r>
      <w:r w:rsidRPr="00715E34">
        <w:rPr>
          <w:rFonts w:hAnsi="標楷體" w:hint="eastAsia"/>
          <w:b/>
        </w:rPr>
        <w:t>凸顯各權責機關</w:t>
      </w:r>
      <w:r w:rsidRPr="00715E34">
        <w:rPr>
          <w:rFonts w:hAnsi="標楷體"/>
          <w:b/>
        </w:rPr>
        <w:t>取締</w:t>
      </w:r>
      <w:r w:rsidR="00473050" w:rsidRPr="00715E34">
        <w:rPr>
          <w:rFonts w:hAnsi="標楷體" w:hint="eastAsia"/>
          <w:b/>
        </w:rPr>
        <w:t>土地</w:t>
      </w:r>
      <w:r w:rsidR="00473050" w:rsidRPr="00715E34">
        <w:rPr>
          <w:rFonts w:hAnsi="標楷體"/>
          <w:b/>
        </w:rPr>
        <w:t>違法</w:t>
      </w:r>
      <w:r w:rsidR="00473050" w:rsidRPr="00715E34">
        <w:rPr>
          <w:rFonts w:hAnsi="標楷體" w:hint="eastAsia"/>
          <w:b/>
        </w:rPr>
        <w:t>使用、</w:t>
      </w:r>
      <w:r w:rsidR="00473050" w:rsidRPr="00715E34">
        <w:rPr>
          <w:rFonts w:hAnsi="標楷體"/>
          <w:b/>
        </w:rPr>
        <w:t>超限利用</w:t>
      </w:r>
      <w:r w:rsidR="00473050" w:rsidRPr="00715E34">
        <w:rPr>
          <w:rFonts w:hAnsi="標楷體" w:hint="eastAsia"/>
          <w:b/>
        </w:rPr>
        <w:t>及污染水源行為</w:t>
      </w:r>
      <w:r w:rsidRPr="00715E34">
        <w:rPr>
          <w:rFonts w:hAnsi="標楷體" w:hint="eastAsia"/>
          <w:b/>
        </w:rPr>
        <w:t>不力</w:t>
      </w:r>
      <w:r w:rsidR="00473050" w:rsidRPr="00715E34">
        <w:rPr>
          <w:rFonts w:hAnsi="標楷體"/>
          <w:b/>
        </w:rPr>
        <w:t>，</w:t>
      </w:r>
      <w:r w:rsidR="008A76CF" w:rsidRPr="00715E34">
        <w:rPr>
          <w:rFonts w:hAnsi="標楷體"/>
          <w:b/>
        </w:rPr>
        <w:t>集水區</w:t>
      </w:r>
      <w:r w:rsidR="008A76CF" w:rsidRPr="00715E34">
        <w:rPr>
          <w:rFonts w:hAnsi="標楷體" w:hint="eastAsia"/>
          <w:b/>
        </w:rPr>
        <w:t>內</w:t>
      </w:r>
      <w:r w:rsidR="008A76CF" w:rsidRPr="00715E34">
        <w:rPr>
          <w:rFonts w:hAnsi="標楷體"/>
          <w:b/>
        </w:rPr>
        <w:t>各類保護區</w:t>
      </w:r>
      <w:r w:rsidR="000B160C" w:rsidRPr="00715E34">
        <w:rPr>
          <w:rFonts w:hAnsi="標楷體" w:hint="eastAsia"/>
          <w:b/>
        </w:rPr>
        <w:t>管制</w:t>
      </w:r>
      <w:r w:rsidR="008A76CF" w:rsidRPr="00715E34">
        <w:rPr>
          <w:rFonts w:hAnsi="標楷體"/>
          <w:b/>
        </w:rPr>
        <w:t>事權</w:t>
      </w:r>
      <w:r w:rsidR="008A76CF" w:rsidRPr="00715E34">
        <w:rPr>
          <w:rFonts w:hAnsi="標楷體" w:hint="eastAsia"/>
          <w:b/>
        </w:rPr>
        <w:t>不一，對於崩塌地</w:t>
      </w:r>
      <w:r w:rsidR="008A76CF" w:rsidRPr="00715E34">
        <w:rPr>
          <w:rFonts w:hAnsi="標楷體"/>
          <w:b/>
        </w:rPr>
        <w:t>整治及復育工作</w:t>
      </w:r>
      <w:r w:rsidR="008A76CF" w:rsidRPr="00715E34">
        <w:rPr>
          <w:rFonts w:hAnsi="標楷體" w:hint="eastAsia"/>
          <w:b/>
        </w:rPr>
        <w:t>亦顯消極，</w:t>
      </w:r>
      <w:r w:rsidRPr="00715E34">
        <w:rPr>
          <w:rFonts w:hAnsi="標楷體" w:hint="eastAsia"/>
          <w:b/>
        </w:rPr>
        <w:t>且長期怠忽</w:t>
      </w:r>
      <w:r w:rsidRPr="00715E34">
        <w:rPr>
          <w:rFonts w:hAnsi="標楷體"/>
          <w:b/>
        </w:rPr>
        <w:t>水庫清淤</w:t>
      </w:r>
      <w:r w:rsidR="008A76CF" w:rsidRPr="00715E34">
        <w:rPr>
          <w:rFonts w:hAnsi="標楷體" w:hint="eastAsia"/>
          <w:b/>
        </w:rPr>
        <w:t>、</w:t>
      </w:r>
      <w:r w:rsidRPr="00715E34">
        <w:rPr>
          <w:rFonts w:hAnsi="標楷體" w:hint="eastAsia"/>
          <w:b/>
        </w:rPr>
        <w:t>防淤設備更新</w:t>
      </w:r>
      <w:r w:rsidR="008A76CF" w:rsidRPr="00715E34">
        <w:rPr>
          <w:rFonts w:hAnsi="標楷體" w:hint="eastAsia"/>
          <w:b/>
        </w:rPr>
        <w:t>及</w:t>
      </w:r>
      <w:r w:rsidRPr="00715E34">
        <w:rPr>
          <w:rFonts w:hAnsi="標楷體" w:hint="eastAsia"/>
          <w:b/>
        </w:rPr>
        <w:t>水質優養化</w:t>
      </w:r>
      <w:r w:rsidR="008A76CF" w:rsidRPr="00715E34">
        <w:rPr>
          <w:rFonts w:hAnsi="標楷體" w:hint="eastAsia"/>
          <w:b/>
        </w:rPr>
        <w:t>改善等工作</w:t>
      </w:r>
      <w:r w:rsidRPr="00715E34">
        <w:rPr>
          <w:rFonts w:hAnsi="標楷體" w:hint="eastAsia"/>
          <w:b/>
        </w:rPr>
        <w:t>，</w:t>
      </w:r>
      <w:r w:rsidR="008A76CF" w:rsidRPr="00715E34">
        <w:rPr>
          <w:rFonts w:hAnsi="標楷體" w:hint="eastAsia"/>
          <w:b/>
        </w:rPr>
        <w:t>肇致</w:t>
      </w:r>
      <w:r w:rsidR="004E5620" w:rsidRPr="00715E34">
        <w:rPr>
          <w:rFonts w:hAnsi="標楷體" w:hint="eastAsia"/>
          <w:b/>
        </w:rPr>
        <w:t>每逢颱風豪雨</w:t>
      </w:r>
      <w:r w:rsidR="008A76CF" w:rsidRPr="00715E34">
        <w:rPr>
          <w:rFonts w:hAnsi="標楷體"/>
          <w:b/>
        </w:rPr>
        <w:t>類此災</w:t>
      </w:r>
      <w:r w:rsidR="004E5620" w:rsidRPr="00715E34">
        <w:rPr>
          <w:rFonts w:hAnsi="標楷體" w:hint="eastAsia"/>
          <w:b/>
        </w:rPr>
        <w:t>情不斷</w:t>
      </w:r>
      <w:r w:rsidR="008A76CF" w:rsidRPr="00715E34">
        <w:rPr>
          <w:rFonts w:hAnsi="標楷體" w:hint="eastAsia"/>
          <w:b/>
        </w:rPr>
        <w:t>，</w:t>
      </w:r>
      <w:r w:rsidR="004E5620" w:rsidRPr="00715E34">
        <w:rPr>
          <w:rFonts w:hAnsi="標楷體" w:hint="eastAsia"/>
          <w:b/>
        </w:rPr>
        <w:t>實</w:t>
      </w:r>
      <w:r w:rsidR="008A76CF" w:rsidRPr="00715E34">
        <w:rPr>
          <w:rFonts w:hAnsi="標楷體" w:hint="eastAsia"/>
          <w:b/>
        </w:rPr>
        <w:t>難辭</w:t>
      </w:r>
      <w:r w:rsidR="004E5620" w:rsidRPr="00715E34">
        <w:rPr>
          <w:rFonts w:hAnsi="標楷體" w:hint="eastAsia"/>
          <w:b/>
        </w:rPr>
        <w:t>怠失之</w:t>
      </w:r>
      <w:r w:rsidR="008A76CF" w:rsidRPr="00715E34">
        <w:rPr>
          <w:rFonts w:hAnsi="標楷體" w:hint="eastAsia"/>
          <w:b/>
        </w:rPr>
        <w:t>咎</w:t>
      </w:r>
      <w:bookmarkEnd w:id="94"/>
    </w:p>
    <w:p w:rsidR="00473050" w:rsidRPr="00715E34" w:rsidRDefault="00473050" w:rsidP="00232C83">
      <w:pPr>
        <w:pStyle w:val="3"/>
        <w:kinsoku w:val="0"/>
        <w:overflowPunct/>
        <w:topLinePunct/>
        <w:autoSpaceDE/>
        <w:autoSpaceDN/>
        <w:ind w:left="1393" w:hanging="697"/>
        <w:rPr>
          <w:rFonts w:hAnsi="標楷體"/>
        </w:rPr>
      </w:pPr>
      <w:r w:rsidRPr="00715E34">
        <w:rPr>
          <w:rFonts w:hAnsi="標楷體" w:hint="eastAsia"/>
        </w:rPr>
        <w:t>按山坡地保育利用條例第16條規定：「山坡地供農業使用者，應實施土地可利用限度分類，並由中央</w:t>
      </w:r>
      <w:r w:rsidRPr="00715E34">
        <w:rPr>
          <w:rFonts w:hAnsi="標楷體" w:hint="eastAsia"/>
        </w:rPr>
        <w:lastRenderedPageBreak/>
        <w:t>或直轄市主管機關完成宜農、牧地、宜林地、加強保育地查定。土地經營人或使用人，不得超限利用。」又依水土保持法第22條規定，山坡地超限利用者，或未依規定使用土地或實施水土保持之處理與維護者，由直轄市或縣（市）主管機關會同有關機關通知水土保持義務人限期改正，屆期不改正或實施不合水土保持技術規範者，得通知有關機關終止或撤銷其公有土地租約、收回土地或停止其開發私有土地等措施。另「本法第2</w:t>
      </w:r>
      <w:r w:rsidRPr="00715E34">
        <w:rPr>
          <w:rFonts w:hAnsi="標楷體"/>
        </w:rPr>
        <w:t>2</w:t>
      </w:r>
      <w:r w:rsidRPr="00715E34">
        <w:rPr>
          <w:rFonts w:hAnsi="標楷體" w:hint="eastAsia"/>
        </w:rPr>
        <w:t>條所稱山坡地超限利用，係指於依山坡地保育利用條例規定查定為宜林地或加強保育地內，從事農、漁、牧業之墾殖、經營或使用者。」為水土保持法施行細則第26條所明定。而水庫集水區內山坡地違法使用及超限利用等行為，將肇致山坡地土壤流失，水庫淤積及水質優養化等負面影響，權責機關應本於法定職權，依上揭規定落實違法查處工作。</w:t>
      </w:r>
    </w:p>
    <w:p w:rsidR="00473050" w:rsidRPr="00715E34" w:rsidRDefault="004E5620" w:rsidP="00232C83">
      <w:pPr>
        <w:pStyle w:val="3"/>
        <w:kinsoku w:val="0"/>
        <w:overflowPunct/>
        <w:topLinePunct/>
        <w:autoSpaceDE/>
        <w:autoSpaceDN/>
        <w:ind w:left="1393" w:hanging="697"/>
        <w:rPr>
          <w:rFonts w:hAnsi="標楷體"/>
        </w:rPr>
      </w:pPr>
      <w:r w:rsidRPr="00715E34">
        <w:rPr>
          <w:rFonts w:hAnsi="標楷體"/>
        </w:rPr>
        <w:t>104年8月</w:t>
      </w:r>
      <w:r w:rsidRPr="00715E34">
        <w:rPr>
          <w:rFonts w:hAnsi="標楷體" w:hint="eastAsia"/>
        </w:rPr>
        <w:t>間</w:t>
      </w:r>
      <w:r w:rsidRPr="00715E34">
        <w:rPr>
          <w:rFonts w:hAnsi="標楷體"/>
        </w:rPr>
        <w:t>蘇迪勒颱風</w:t>
      </w:r>
      <w:r w:rsidRPr="00715E34">
        <w:rPr>
          <w:rFonts w:hAnsi="標楷體" w:hint="eastAsia"/>
        </w:rPr>
        <w:t>來</w:t>
      </w:r>
      <w:r w:rsidRPr="00715E34">
        <w:rPr>
          <w:rFonts w:hAnsi="標楷體"/>
        </w:rPr>
        <w:t>襲，強風豪雨肇致新北市烏來、新店</w:t>
      </w:r>
      <w:r w:rsidRPr="00715E34">
        <w:rPr>
          <w:rFonts w:hAnsi="標楷體" w:hint="eastAsia"/>
        </w:rPr>
        <w:t>等地</w:t>
      </w:r>
      <w:r w:rsidRPr="00715E34">
        <w:rPr>
          <w:rFonts w:hAnsi="標楷體"/>
        </w:rPr>
        <w:t>區重大災害，其中烏來地區災情尤為嚴重</w:t>
      </w:r>
      <w:r w:rsidRPr="00715E34">
        <w:rPr>
          <w:rFonts w:hAnsi="標楷體" w:hint="eastAsia"/>
        </w:rPr>
        <w:t>；</w:t>
      </w:r>
      <w:r w:rsidRPr="00715E34">
        <w:rPr>
          <w:rFonts w:hAnsi="標楷體"/>
        </w:rPr>
        <w:t>依據林務局影像判釋結果，</w:t>
      </w:r>
      <w:r w:rsidRPr="00715E34">
        <w:rPr>
          <w:rFonts w:hAnsi="標楷體" w:hint="eastAsia"/>
        </w:rPr>
        <w:t>僅</w:t>
      </w:r>
      <w:r w:rsidRPr="00715E34">
        <w:rPr>
          <w:rFonts w:hAnsi="標楷體"/>
        </w:rPr>
        <w:t>烏來地區崩塌地</w:t>
      </w:r>
      <w:r w:rsidRPr="00715E34">
        <w:rPr>
          <w:rFonts w:hAnsi="標楷體" w:hint="eastAsia"/>
        </w:rPr>
        <w:t>就</w:t>
      </w:r>
      <w:r w:rsidRPr="00715E34">
        <w:rPr>
          <w:rFonts w:hAnsi="標楷體"/>
        </w:rPr>
        <w:t>有695處，</w:t>
      </w:r>
      <w:r w:rsidRPr="00715E34">
        <w:rPr>
          <w:rFonts w:hAnsi="標楷體" w:hint="eastAsia"/>
        </w:rPr>
        <w:t>共計</w:t>
      </w:r>
      <w:r w:rsidRPr="00715E34">
        <w:rPr>
          <w:rFonts w:hAnsi="標楷體"/>
        </w:rPr>
        <w:t>87.08公頃，崩塌面積較102年蘇力颱風時增加193</w:t>
      </w:r>
      <w:r w:rsidR="004D4DBC" w:rsidRPr="00715E34">
        <w:rPr>
          <w:rFonts w:hAnsi="標楷體"/>
        </w:rPr>
        <w:t>%</w:t>
      </w:r>
      <w:r w:rsidRPr="00715E34">
        <w:rPr>
          <w:rFonts w:hAnsi="標楷體"/>
        </w:rPr>
        <w:t>，崩塌面積</w:t>
      </w:r>
      <w:r w:rsidRPr="00715E34">
        <w:rPr>
          <w:rFonts w:hAnsi="標楷體" w:hint="eastAsia"/>
        </w:rPr>
        <w:t>則</w:t>
      </w:r>
      <w:r w:rsidRPr="00715E34">
        <w:rPr>
          <w:rFonts w:hAnsi="標楷體"/>
        </w:rPr>
        <w:t>增加880</w:t>
      </w:r>
      <w:r w:rsidR="004D4DBC" w:rsidRPr="00715E34">
        <w:rPr>
          <w:rFonts w:hAnsi="標楷體"/>
        </w:rPr>
        <w:t>%</w:t>
      </w:r>
      <w:r w:rsidRPr="00715E34">
        <w:rPr>
          <w:rFonts w:hAnsi="標楷體" w:hint="eastAsia"/>
        </w:rPr>
        <w:t>，亦導致</w:t>
      </w:r>
      <w:r w:rsidR="00473050" w:rsidRPr="00715E34">
        <w:rPr>
          <w:rFonts w:hAnsi="標楷體" w:hint="eastAsia"/>
        </w:rPr>
        <w:t>南勢溪集水區</w:t>
      </w:r>
      <w:r w:rsidRPr="00715E34">
        <w:rPr>
          <w:rFonts w:hAnsi="標楷體" w:hint="eastAsia"/>
        </w:rPr>
        <w:t>之</w:t>
      </w:r>
      <w:r w:rsidR="00473050" w:rsidRPr="00715E34">
        <w:rPr>
          <w:rFonts w:hAnsi="標楷體" w:hint="eastAsia"/>
        </w:rPr>
        <w:t>溪水混濁</w:t>
      </w:r>
      <w:r w:rsidRPr="00715E34">
        <w:rPr>
          <w:rFonts w:hAnsi="標楷體" w:hint="eastAsia"/>
        </w:rPr>
        <w:t>。</w:t>
      </w:r>
      <w:r w:rsidR="00473050" w:rsidRPr="00715E34">
        <w:rPr>
          <w:rFonts w:hAnsi="標楷體" w:hint="eastAsia"/>
        </w:rPr>
        <w:t>據</w:t>
      </w:r>
      <w:r w:rsidR="004B37F9" w:rsidRPr="00715E34">
        <w:rPr>
          <w:rFonts w:hAnsi="標楷體" w:hint="eastAsia"/>
        </w:rPr>
        <w:t>水利署臺北水源特定區管理局（下稱</w:t>
      </w:r>
      <w:r w:rsidR="00473050" w:rsidRPr="00715E34">
        <w:rPr>
          <w:rFonts w:hAnsi="標楷體"/>
        </w:rPr>
        <w:t>臺北水源局</w:t>
      </w:r>
      <w:r w:rsidR="004B37F9" w:rsidRPr="00715E34">
        <w:rPr>
          <w:rFonts w:hAnsi="標楷體" w:hint="eastAsia"/>
        </w:rPr>
        <w:t>）</w:t>
      </w:r>
      <w:r w:rsidR="00473050" w:rsidRPr="00715E34">
        <w:rPr>
          <w:rFonts w:hAnsi="標楷體"/>
        </w:rPr>
        <w:t>表示，</w:t>
      </w:r>
      <w:r w:rsidR="006B470D" w:rsidRPr="00715E34">
        <w:rPr>
          <w:rFonts w:hAnsi="標楷體"/>
        </w:rPr>
        <w:t>蘇迪勒</w:t>
      </w:r>
      <w:r w:rsidR="00473050" w:rsidRPr="00715E34">
        <w:rPr>
          <w:rFonts w:hAnsi="標楷體"/>
        </w:rPr>
        <w:t>颱風造成災害係屬</w:t>
      </w:r>
      <w:r w:rsidR="00473050" w:rsidRPr="00715E34">
        <w:rPr>
          <w:rFonts w:hAnsi="標楷體" w:hint="eastAsia"/>
        </w:rPr>
        <w:t>多因素</w:t>
      </w:r>
      <w:r w:rsidR="00473050" w:rsidRPr="00715E34">
        <w:rPr>
          <w:rFonts w:hAnsi="標楷體"/>
        </w:rPr>
        <w:t>複合型之災害</w:t>
      </w:r>
      <w:r w:rsidRPr="00715E34">
        <w:rPr>
          <w:rFonts w:hAnsi="標楷體" w:hint="eastAsia"/>
        </w:rPr>
        <w:t>；</w:t>
      </w:r>
      <w:r w:rsidR="00473050" w:rsidRPr="00715E34">
        <w:rPr>
          <w:rFonts w:hAnsi="標楷體" w:hint="eastAsia"/>
        </w:rPr>
        <w:t>惟查，臺北水源局於95</w:t>
      </w:r>
      <w:r w:rsidR="00BD6B56" w:rsidRPr="00715E34">
        <w:rPr>
          <w:rFonts w:hAnsi="標楷體" w:hint="eastAsia"/>
        </w:rPr>
        <w:t>年</w:t>
      </w:r>
      <w:r w:rsidR="00473050" w:rsidRPr="00715E34">
        <w:rPr>
          <w:rFonts w:hAnsi="標楷體" w:hint="eastAsia"/>
        </w:rPr>
        <w:t>至104年間協助辦理該集水區內前開超限利用等違法行為查報，除「濫葬」一項有明顯改善外，其餘違法行為並未有稍減，且</w:t>
      </w:r>
      <w:r w:rsidR="00473050" w:rsidRPr="00715E34">
        <w:rPr>
          <w:rFonts w:hAnsi="標楷體"/>
        </w:rPr>
        <w:t>參與本案履勘</w:t>
      </w:r>
      <w:r w:rsidR="00473050" w:rsidRPr="00715E34">
        <w:rPr>
          <w:rFonts w:hAnsi="標楷體" w:hint="eastAsia"/>
        </w:rPr>
        <w:t>諮詢之</w:t>
      </w:r>
      <w:r w:rsidR="00473050" w:rsidRPr="00715E34">
        <w:rPr>
          <w:rFonts w:hAnsi="標楷體"/>
        </w:rPr>
        <w:t>學者專家</w:t>
      </w:r>
      <w:r w:rsidR="00473050" w:rsidRPr="00715E34">
        <w:rPr>
          <w:rFonts w:hAnsi="標楷體" w:hint="eastAsia"/>
        </w:rPr>
        <w:t>亦認為</w:t>
      </w:r>
      <w:r w:rsidR="00473050" w:rsidRPr="00715E34">
        <w:rPr>
          <w:rFonts w:hAnsi="標楷體"/>
        </w:rPr>
        <w:t>，</w:t>
      </w:r>
      <w:r w:rsidR="00473050" w:rsidRPr="00715E34">
        <w:rPr>
          <w:rFonts w:hAnsi="標楷體" w:hint="eastAsia"/>
        </w:rPr>
        <w:t>除自然因素外，土地超限利用、違規使用及聚落違建等因素均不應輕忽，其中溫泉活生活污水直接排入南勢溪及廢棄</w:t>
      </w:r>
      <w:r w:rsidR="00473050" w:rsidRPr="00715E34">
        <w:rPr>
          <w:rFonts w:hAnsi="標楷體" w:hint="eastAsia"/>
        </w:rPr>
        <w:lastRenderedPageBreak/>
        <w:t>物處理等問題，更為民眾所詬病</w:t>
      </w:r>
      <w:r w:rsidR="00473050" w:rsidRPr="00715E34">
        <w:rPr>
          <w:rStyle w:val="aff2"/>
          <w:rFonts w:hAnsi="標楷體"/>
        </w:rPr>
        <w:footnoteReference w:id="21"/>
      </w:r>
      <w:r w:rsidR="00473050" w:rsidRPr="00715E34">
        <w:rPr>
          <w:rFonts w:hAnsi="標楷體" w:hint="eastAsia"/>
        </w:rPr>
        <w:t>；本院於102年間曾針對烏來溫泉區管線管理問題提出調查報告，迄今仍存有約半數不合法之溫泉業者亟待查處</w:t>
      </w:r>
      <w:r w:rsidR="00473050" w:rsidRPr="00715E34">
        <w:rPr>
          <w:rStyle w:val="aff2"/>
          <w:rFonts w:hAnsi="標楷體"/>
        </w:rPr>
        <w:footnoteReference w:id="22"/>
      </w:r>
      <w:r w:rsidR="00005F59" w:rsidRPr="00715E34">
        <w:rPr>
          <w:rFonts w:hAnsi="標楷體" w:hint="eastAsia"/>
        </w:rPr>
        <w:t>，執法效能明顯不彰</w:t>
      </w:r>
      <w:r w:rsidR="00473050" w:rsidRPr="00715E34">
        <w:rPr>
          <w:rFonts w:hAnsi="標楷體" w:hint="eastAsia"/>
        </w:rPr>
        <w:t>。</w:t>
      </w:r>
    </w:p>
    <w:p w:rsidR="00005F59" w:rsidRPr="00715E34" w:rsidRDefault="00005F59" w:rsidP="00232C83">
      <w:pPr>
        <w:pStyle w:val="3"/>
        <w:topLinePunct/>
        <w:autoSpaceDE/>
        <w:autoSpaceDN/>
        <w:ind w:left="1393" w:hanging="697"/>
        <w:rPr>
          <w:rFonts w:hAnsi="標楷體"/>
        </w:rPr>
      </w:pPr>
      <w:r w:rsidRPr="00715E34">
        <w:rPr>
          <w:rFonts w:hAnsi="標楷體" w:hint="eastAsia"/>
        </w:rPr>
        <w:t>另查，目前相關權責</w:t>
      </w:r>
      <w:r w:rsidRPr="00715E34">
        <w:rPr>
          <w:rFonts w:hAnsi="標楷體"/>
        </w:rPr>
        <w:t>機關為保護水質或避免國土超限利用，於水庫集水區內</w:t>
      </w:r>
      <w:r w:rsidRPr="00715E34">
        <w:rPr>
          <w:rFonts w:hAnsi="標楷體" w:hint="eastAsia"/>
        </w:rPr>
        <w:t>均有</w:t>
      </w:r>
      <w:r w:rsidRPr="00715E34">
        <w:rPr>
          <w:rFonts w:hAnsi="標楷體"/>
        </w:rPr>
        <w:t>劃定各類保護區加以管制，</w:t>
      </w:r>
      <w:r w:rsidRPr="00715E34">
        <w:rPr>
          <w:rFonts w:hAnsi="標楷體" w:hint="eastAsia"/>
        </w:rPr>
        <w:t>其</w:t>
      </w:r>
      <w:r w:rsidRPr="00715E34">
        <w:rPr>
          <w:rFonts w:hAnsi="標楷體"/>
        </w:rPr>
        <w:t>所劃設有關水源、水質</w:t>
      </w:r>
      <w:r w:rsidRPr="00715E34">
        <w:rPr>
          <w:rFonts w:hAnsi="標楷體" w:hint="eastAsia"/>
        </w:rPr>
        <w:t>或</w:t>
      </w:r>
      <w:r w:rsidRPr="00715E34">
        <w:rPr>
          <w:rFonts w:hAnsi="標楷體"/>
        </w:rPr>
        <w:t>水量之保護區，諸如</w:t>
      </w:r>
      <w:r w:rsidRPr="00715E34">
        <w:rPr>
          <w:rFonts w:hAnsi="標楷體" w:hint="eastAsia"/>
        </w:rPr>
        <w:t>經濟部對水庫安全需特別保護地帶，依水利法個別檢討劃設水庫蓄水範圍管理，對自來水水源水質保護需要，則依自來水法劃設自來水水質水量保護區管理，農委會亦於水庫集水區劃設特定水土保持區以加強集水區水土林保育；另外尚有依其他法律劃設之</w:t>
      </w:r>
      <w:r w:rsidRPr="00715E34">
        <w:rPr>
          <w:rFonts w:hAnsi="標楷體"/>
        </w:rPr>
        <w:t>飲用水水源水質保護區、水源特定區、水污染管制區及重要水庫集水區等</w:t>
      </w:r>
      <w:r w:rsidRPr="00715E34">
        <w:rPr>
          <w:rFonts w:hAnsi="標楷體" w:hint="eastAsia"/>
        </w:rPr>
        <w:t>。然而，</w:t>
      </w:r>
      <w:r w:rsidRPr="00715E34">
        <w:rPr>
          <w:rFonts w:hAnsi="標楷體"/>
        </w:rPr>
        <w:t>各</w:t>
      </w:r>
      <w:r w:rsidRPr="00715E34">
        <w:rPr>
          <w:rFonts w:hAnsi="標楷體" w:hint="eastAsia"/>
        </w:rPr>
        <w:t>該</w:t>
      </w:r>
      <w:r w:rsidRPr="00715E34">
        <w:rPr>
          <w:rFonts w:hAnsi="標楷體"/>
        </w:rPr>
        <w:t>保護區所劃設之管制範圍常有重疊</w:t>
      </w:r>
      <w:r w:rsidRPr="00715E34">
        <w:rPr>
          <w:rFonts w:hAnsi="標楷體" w:hint="eastAsia"/>
        </w:rPr>
        <w:t>之</w:t>
      </w:r>
      <w:r w:rsidRPr="00715E34">
        <w:rPr>
          <w:rFonts w:hAnsi="標楷體"/>
        </w:rPr>
        <w:t>情形</w:t>
      </w:r>
      <w:r w:rsidRPr="00715E34">
        <w:rPr>
          <w:rFonts w:hAnsi="標楷體" w:hint="eastAsia"/>
        </w:rPr>
        <w:t>，其</w:t>
      </w:r>
      <w:r w:rsidRPr="00715E34">
        <w:rPr>
          <w:rFonts w:hAnsi="標楷體"/>
        </w:rPr>
        <w:t>管制內容</w:t>
      </w:r>
      <w:r w:rsidRPr="00715E34">
        <w:rPr>
          <w:rFonts w:hAnsi="標楷體" w:hint="eastAsia"/>
        </w:rPr>
        <w:t>卻</w:t>
      </w:r>
      <w:r w:rsidRPr="00715E34">
        <w:rPr>
          <w:rFonts w:hAnsi="標楷體"/>
        </w:rPr>
        <w:t>非一致，對於民眾權益限制</w:t>
      </w:r>
      <w:r w:rsidRPr="00715E34">
        <w:rPr>
          <w:rFonts w:hAnsi="標楷體" w:hint="eastAsia"/>
        </w:rPr>
        <w:t>寬嚴</w:t>
      </w:r>
      <w:r w:rsidRPr="00715E34">
        <w:rPr>
          <w:rFonts w:hAnsi="標楷體"/>
        </w:rPr>
        <w:t>程度亦有不同，</w:t>
      </w:r>
      <w:r w:rsidRPr="00715E34">
        <w:rPr>
          <w:rFonts w:hAnsi="標楷體" w:hint="eastAsia"/>
        </w:rPr>
        <w:t>導致</w:t>
      </w:r>
      <w:r w:rsidRPr="00715E34">
        <w:rPr>
          <w:rFonts w:hAnsi="標楷體"/>
        </w:rPr>
        <w:t>民眾動輒違反規定，甚且受罰，反而不利於水庫集水區保育推展</w:t>
      </w:r>
      <w:r w:rsidRPr="00715E34">
        <w:rPr>
          <w:rFonts w:hAnsi="標楷體" w:hint="eastAsia"/>
        </w:rPr>
        <w:t>；</w:t>
      </w:r>
      <w:r w:rsidRPr="00715E34">
        <w:rPr>
          <w:rFonts w:hAnsi="標楷體"/>
        </w:rPr>
        <w:t>本院</w:t>
      </w:r>
      <w:r w:rsidRPr="00715E34">
        <w:rPr>
          <w:rFonts w:hAnsi="標楷體" w:hint="eastAsia"/>
        </w:rPr>
        <w:t>早</w:t>
      </w:r>
      <w:r w:rsidRPr="00715E34">
        <w:rPr>
          <w:rFonts w:hAnsi="標楷體"/>
        </w:rPr>
        <w:t>於92年專案調查研究報告即已</w:t>
      </w:r>
      <w:r w:rsidRPr="00715E34">
        <w:rPr>
          <w:rFonts w:hAnsi="標楷體" w:hint="eastAsia"/>
        </w:rPr>
        <w:t>指出</w:t>
      </w:r>
      <w:r w:rsidRPr="00715E34">
        <w:rPr>
          <w:rFonts w:hAnsi="標楷體"/>
        </w:rPr>
        <w:t>相關問題，</w:t>
      </w:r>
      <w:r w:rsidRPr="00715E34">
        <w:rPr>
          <w:rFonts w:hAnsi="標楷體" w:hint="eastAsia"/>
        </w:rPr>
        <w:t>然</w:t>
      </w:r>
      <w:r w:rsidRPr="00715E34">
        <w:rPr>
          <w:rFonts w:hAnsi="標楷體"/>
        </w:rPr>
        <w:t>迄未</w:t>
      </w:r>
      <w:r w:rsidRPr="00715E34">
        <w:rPr>
          <w:rFonts w:hAnsi="標楷體" w:hint="eastAsia"/>
        </w:rPr>
        <w:t>獲正視</w:t>
      </w:r>
      <w:r w:rsidRPr="00715E34">
        <w:rPr>
          <w:rFonts w:hAnsi="標楷體"/>
        </w:rPr>
        <w:t>解決</w:t>
      </w:r>
      <w:r w:rsidRPr="00715E34">
        <w:rPr>
          <w:rFonts w:hAnsi="標楷體" w:hint="eastAsia"/>
        </w:rPr>
        <w:t>。</w:t>
      </w:r>
      <w:r w:rsidRPr="00715E34">
        <w:rPr>
          <w:rFonts w:hAnsi="標楷體"/>
        </w:rPr>
        <w:t>水利署</w:t>
      </w:r>
      <w:r w:rsidRPr="00715E34">
        <w:rPr>
          <w:rFonts w:hAnsi="標楷體" w:hint="eastAsia"/>
        </w:rPr>
        <w:t>雖稱</w:t>
      </w:r>
      <w:r w:rsidRPr="00715E34">
        <w:rPr>
          <w:rFonts w:hAnsi="標楷體"/>
        </w:rPr>
        <w:t>，各類保護區所劃設之管制範圍互有重疊，係對水質及集水區</w:t>
      </w:r>
      <w:r w:rsidRPr="00715E34">
        <w:rPr>
          <w:rFonts w:hAnsi="標楷體" w:hint="eastAsia"/>
        </w:rPr>
        <w:t>內的</w:t>
      </w:r>
      <w:r w:rsidRPr="00715E34">
        <w:rPr>
          <w:rFonts w:hAnsi="標楷體"/>
        </w:rPr>
        <w:t>水、土、林為多層次之保護。</w:t>
      </w:r>
      <w:r w:rsidRPr="00715E34">
        <w:rPr>
          <w:rFonts w:hAnsi="標楷體" w:hint="eastAsia"/>
        </w:rPr>
        <w:t>然事權重疊，難免發生推諉；管制不一，常致民眾無以適從，益顯</w:t>
      </w:r>
      <w:r w:rsidRPr="00715E34">
        <w:rPr>
          <w:rFonts w:hAnsi="標楷體"/>
        </w:rPr>
        <w:t>各</w:t>
      </w:r>
      <w:r w:rsidRPr="00715E34">
        <w:rPr>
          <w:rFonts w:hAnsi="標楷體" w:hint="eastAsia"/>
        </w:rPr>
        <w:t>該權責</w:t>
      </w:r>
      <w:r w:rsidRPr="00715E34">
        <w:rPr>
          <w:rFonts w:hAnsi="標楷體"/>
        </w:rPr>
        <w:t>主管機關於執行相關管制規定事項時，</w:t>
      </w:r>
      <w:r w:rsidRPr="00715E34">
        <w:rPr>
          <w:rFonts w:hAnsi="標楷體" w:hint="eastAsia"/>
        </w:rPr>
        <w:t>未就</w:t>
      </w:r>
      <w:r w:rsidRPr="00715E34">
        <w:rPr>
          <w:rFonts w:hAnsi="標楷體"/>
        </w:rPr>
        <w:t>民眾權益及集水區水土保育</w:t>
      </w:r>
      <w:r w:rsidRPr="00715E34">
        <w:rPr>
          <w:rFonts w:hAnsi="標楷體" w:hint="eastAsia"/>
        </w:rPr>
        <w:t>二者間權衡並顧</w:t>
      </w:r>
      <w:r w:rsidRPr="00715E34">
        <w:rPr>
          <w:rFonts w:hAnsi="標楷體"/>
        </w:rPr>
        <w:t>，</w:t>
      </w:r>
      <w:r w:rsidRPr="00715E34">
        <w:rPr>
          <w:rFonts w:hAnsi="標楷體" w:hint="eastAsia"/>
        </w:rPr>
        <w:t>故適當的檢討</w:t>
      </w:r>
      <w:r w:rsidRPr="00715E34">
        <w:rPr>
          <w:rFonts w:hAnsi="標楷體"/>
        </w:rPr>
        <w:t>整合各類保護區之事權</w:t>
      </w:r>
      <w:r w:rsidRPr="00715E34">
        <w:rPr>
          <w:rFonts w:hAnsi="標楷體" w:hint="eastAsia"/>
        </w:rPr>
        <w:t>，</w:t>
      </w:r>
      <w:r w:rsidRPr="00715E34">
        <w:rPr>
          <w:rFonts w:hAnsi="標楷體"/>
        </w:rPr>
        <w:t>實有其必要。</w:t>
      </w:r>
    </w:p>
    <w:p w:rsidR="00473050" w:rsidRPr="00715E34" w:rsidRDefault="00473050" w:rsidP="00232C83">
      <w:pPr>
        <w:pStyle w:val="3"/>
        <w:topLinePunct/>
        <w:autoSpaceDE/>
        <w:autoSpaceDN/>
        <w:ind w:left="1393" w:hanging="697"/>
        <w:rPr>
          <w:rFonts w:hAnsi="標楷體"/>
        </w:rPr>
      </w:pPr>
      <w:r w:rsidRPr="00715E34">
        <w:rPr>
          <w:rFonts w:hAnsi="標楷體" w:hint="eastAsia"/>
        </w:rPr>
        <w:lastRenderedPageBreak/>
        <w:t>又據</w:t>
      </w:r>
      <w:r w:rsidRPr="00715E34">
        <w:rPr>
          <w:rFonts w:hAnsi="標楷體"/>
        </w:rPr>
        <w:t>林務局於本</w:t>
      </w:r>
      <w:r w:rsidRPr="00715E34">
        <w:rPr>
          <w:rFonts w:hAnsi="標楷體" w:hint="eastAsia"/>
        </w:rPr>
        <w:t>案</w:t>
      </w:r>
      <w:r w:rsidRPr="00715E34">
        <w:rPr>
          <w:rFonts w:hAnsi="標楷體"/>
        </w:rPr>
        <w:t>履勘簡報</w:t>
      </w:r>
      <w:r w:rsidRPr="00715E34">
        <w:rPr>
          <w:rFonts w:hAnsi="標楷體" w:hint="eastAsia"/>
        </w:rPr>
        <w:t>所稱</w:t>
      </w:r>
      <w:r w:rsidRPr="00715E34">
        <w:rPr>
          <w:rFonts w:hAnsi="標楷體"/>
        </w:rPr>
        <w:t>，對於災後之崩塌地，如屬人力機具不可到達且治理成效有限地區，僅能任其自然復育並持續監測，餘則採人工撒播草種、樹種及輔以工程方法予以整治，仍須整體調查規劃後施作等語</w:t>
      </w:r>
      <w:r w:rsidRPr="00715E34">
        <w:rPr>
          <w:rFonts w:hAnsi="標楷體" w:hint="eastAsia"/>
        </w:rPr>
        <w:t>；嗣</w:t>
      </w:r>
      <w:r w:rsidRPr="00715E34">
        <w:rPr>
          <w:rFonts w:hAnsi="標楷體"/>
        </w:rPr>
        <w:t>該局</w:t>
      </w:r>
      <w:r w:rsidRPr="00715E34">
        <w:rPr>
          <w:rFonts w:hAnsi="標楷體" w:hint="eastAsia"/>
        </w:rPr>
        <w:t>到院</w:t>
      </w:r>
      <w:r w:rsidRPr="00715E34">
        <w:rPr>
          <w:rFonts w:hAnsi="標楷體"/>
        </w:rPr>
        <w:t>詢問時改稱，實施國有林集水區之治理規劃，將以保全對象、地形起伏比、地質、綠覆率、土壤沖蝕、崩塌率以及土石流潛勢溪流等7項評估指標，分類治理。是以，權責機關除以災害現場之個別災變特性研擬整治因應對策外，亦</w:t>
      </w:r>
      <w:r w:rsidRPr="00715E34">
        <w:rPr>
          <w:rFonts w:hAnsi="標楷體" w:hint="eastAsia"/>
        </w:rPr>
        <w:t>應</w:t>
      </w:r>
      <w:r w:rsidRPr="00715E34">
        <w:rPr>
          <w:rFonts w:hAnsi="標楷體"/>
        </w:rPr>
        <w:t>考量</w:t>
      </w:r>
      <w:r w:rsidRPr="00715E34">
        <w:rPr>
          <w:rFonts w:hAnsi="標楷體" w:hint="eastAsia"/>
        </w:rPr>
        <w:t>輿情</w:t>
      </w:r>
      <w:r w:rsidRPr="00715E34">
        <w:rPr>
          <w:rFonts w:hAnsi="標楷體"/>
        </w:rPr>
        <w:t>觀感，對於無保全對象及人力機具無法到達之災害地點，仍應有加強人工植生復育之</w:t>
      </w:r>
      <w:r w:rsidRPr="00715E34">
        <w:rPr>
          <w:rFonts w:hAnsi="標楷體" w:hint="eastAsia"/>
        </w:rPr>
        <w:t>適宜</w:t>
      </w:r>
      <w:r w:rsidRPr="00715E34">
        <w:rPr>
          <w:rFonts w:hAnsi="標楷體"/>
        </w:rPr>
        <w:t>作為，如東札孔溪上游58及60國有林班地整治以縮短復原期程，如任由崩坍處自然復育，而未予以任何工程</w:t>
      </w:r>
      <w:r w:rsidRPr="00715E34">
        <w:rPr>
          <w:rFonts w:hAnsi="標楷體" w:hint="eastAsia"/>
        </w:rPr>
        <w:t>方法</w:t>
      </w:r>
      <w:r w:rsidRPr="00715E34">
        <w:rPr>
          <w:rFonts w:hAnsi="標楷體"/>
        </w:rPr>
        <w:t>或施作，恐</w:t>
      </w:r>
      <w:r w:rsidRPr="00715E34">
        <w:rPr>
          <w:rFonts w:hAnsi="標楷體" w:hint="eastAsia"/>
        </w:rPr>
        <w:t>難符合</w:t>
      </w:r>
      <w:r w:rsidRPr="00715E34">
        <w:rPr>
          <w:rFonts w:hAnsi="標楷體"/>
        </w:rPr>
        <w:t>民眾</w:t>
      </w:r>
      <w:r w:rsidRPr="00715E34">
        <w:rPr>
          <w:rFonts w:hAnsi="標楷體" w:hint="eastAsia"/>
        </w:rPr>
        <w:t>期望</w:t>
      </w:r>
      <w:r w:rsidRPr="00715E34">
        <w:rPr>
          <w:rFonts w:hAnsi="標楷體"/>
        </w:rPr>
        <w:t>。</w:t>
      </w:r>
    </w:p>
    <w:p w:rsidR="00473050" w:rsidRPr="00715E34" w:rsidRDefault="00005F59" w:rsidP="00232C83">
      <w:pPr>
        <w:pStyle w:val="3"/>
        <w:kinsoku w:val="0"/>
        <w:overflowPunct/>
        <w:topLinePunct/>
        <w:autoSpaceDE/>
        <w:autoSpaceDN/>
        <w:ind w:left="1393" w:hanging="697"/>
        <w:rPr>
          <w:rFonts w:hAnsi="標楷體"/>
        </w:rPr>
      </w:pPr>
      <w:r w:rsidRPr="00715E34">
        <w:rPr>
          <w:rFonts w:hAnsi="標楷體" w:hint="eastAsia"/>
        </w:rPr>
        <w:t>另</w:t>
      </w:r>
      <w:r w:rsidR="00473050" w:rsidRPr="00715E34">
        <w:rPr>
          <w:rFonts w:hAnsi="標楷體" w:hint="eastAsia"/>
        </w:rPr>
        <w:t>國內</w:t>
      </w:r>
      <w:r w:rsidR="00473050" w:rsidRPr="00715E34">
        <w:rPr>
          <w:rFonts w:hAnsi="標楷體"/>
        </w:rPr>
        <w:t>水庫集水區</w:t>
      </w:r>
      <w:r w:rsidR="00473050" w:rsidRPr="00715E34">
        <w:rPr>
          <w:rFonts w:hAnsi="標楷體" w:hint="eastAsia"/>
        </w:rPr>
        <w:t>多因地形陡峭，地質破碎，泥沙含量高，如未做好水土保持工作，遭逢極端氣候之強降雨，因土石崩塌及表土沖刷帶來大量沈積物，勢將致使</w:t>
      </w:r>
      <w:r w:rsidR="00473050" w:rsidRPr="00715E34">
        <w:rPr>
          <w:rFonts w:hAnsi="標楷體"/>
        </w:rPr>
        <w:t>水庫加速淤積，</w:t>
      </w:r>
      <w:r w:rsidR="00473050" w:rsidRPr="00715E34">
        <w:rPr>
          <w:rFonts w:hAnsi="標楷體" w:hint="eastAsia"/>
        </w:rPr>
        <w:t>難以永續利用。關於水庫清淤問題，國內新建水庫壩址難尋，民眾環保意識高漲，現階段興建新的水庫已無可能；而現有的水庫，依本院104年10月7日財政及經濟委員會通過之調查報告中指出，竟有多座水庫近13年來均無辦理任何清淤浚渫作為之情事；縱</w:t>
      </w:r>
      <w:r w:rsidR="00473050" w:rsidRPr="00715E34">
        <w:rPr>
          <w:rFonts w:hAnsi="標楷體"/>
        </w:rPr>
        <w:t>經濟部</w:t>
      </w:r>
      <w:r w:rsidR="00473050" w:rsidRPr="00715E34">
        <w:rPr>
          <w:rFonts w:hAnsi="標楷體" w:hint="eastAsia"/>
        </w:rPr>
        <w:t>強調</w:t>
      </w:r>
      <w:r w:rsidR="00473050" w:rsidRPr="00715E34">
        <w:rPr>
          <w:rFonts w:hAnsi="標楷體"/>
        </w:rPr>
        <w:t>，</w:t>
      </w:r>
      <w:r w:rsidR="00473050" w:rsidRPr="00715E34">
        <w:rPr>
          <w:rFonts w:hAnsi="標楷體"/>
          <w:noProof/>
        </w:rPr>
        <w:t>水庫清淤受限於天候、水庫水位、交通運輸、民眾抗爭及淤積物處置不易等</w:t>
      </w:r>
      <w:r w:rsidR="00473050" w:rsidRPr="00715E34">
        <w:rPr>
          <w:rFonts w:hAnsi="標楷體" w:hint="eastAsia"/>
          <w:noProof/>
        </w:rPr>
        <w:t>諸多</w:t>
      </w:r>
      <w:r w:rsidR="00473050" w:rsidRPr="00715E34">
        <w:rPr>
          <w:rFonts w:hAnsi="標楷體"/>
          <w:noProof/>
        </w:rPr>
        <w:t>問題，</w:t>
      </w:r>
      <w:r w:rsidR="00473050" w:rsidRPr="00715E34">
        <w:rPr>
          <w:rFonts w:hAnsi="標楷體" w:hint="eastAsia"/>
          <w:noProof/>
        </w:rPr>
        <w:t>處理不易；然為維護民生及產業用水安全無虞，使水庫於雨量豐枯分布懸殊時，得以發揮蓄豐濟枯，以因應漫長的枯水期，權責機關除應本於「清淤無上限」原則，致力於現有水庫清淤浚渫外，水庫的防淤工作亦應</w:t>
      </w:r>
      <w:r w:rsidR="00473050" w:rsidRPr="00715E34">
        <w:rPr>
          <w:rFonts w:hAnsi="標楷體" w:hint="eastAsia"/>
          <w:noProof/>
        </w:rPr>
        <w:lastRenderedPageBreak/>
        <w:t>併予進行，依水庫淤積之速率，積極辦理其防淤改造，改善或更新防淤設備，以利水庫永續利用。學者亦認為，要維持水庫功能存在，現有水庫必須進行防淤更新改善，近年來因重要水庫淤積嚴重，除83年阿公店水庫已更新改善外，於93年艾莉颱風及98年莫拉克風災後，刻正分別進行石門及曾文、南化水庫等防淤工程計畫</w:t>
      </w:r>
      <w:r w:rsidR="00473050" w:rsidRPr="00715E34">
        <w:rPr>
          <w:rStyle w:val="aff2"/>
          <w:rFonts w:hAnsi="標楷體"/>
          <w:noProof/>
        </w:rPr>
        <w:footnoteReference w:id="23"/>
      </w:r>
      <w:r w:rsidR="00473050" w:rsidRPr="00715E34">
        <w:rPr>
          <w:rFonts w:hAnsi="標楷體" w:hint="eastAsia"/>
          <w:noProof/>
        </w:rPr>
        <w:t>。另有鑒於石門水庫為國內首件進行防淤功能改善工程之營運中水庫，藉由設備及功能更新，更能精進其排淤、防淤效果。該水庫已分別進行「增設取水工工程」、「電廠防淤</w:t>
      </w:r>
      <w:r w:rsidR="002E72BC" w:rsidRPr="00715E34">
        <w:rPr>
          <w:rFonts w:hAnsi="標楷體" w:hint="eastAsia"/>
          <w:noProof/>
        </w:rPr>
        <w:t>1</w:t>
      </w:r>
      <w:r w:rsidR="00473050" w:rsidRPr="00715E34">
        <w:rPr>
          <w:rFonts w:hAnsi="標楷體" w:hint="eastAsia"/>
          <w:noProof/>
        </w:rPr>
        <w:t>、</w:t>
      </w:r>
      <w:r w:rsidR="002E72BC" w:rsidRPr="00715E34">
        <w:rPr>
          <w:rFonts w:hAnsi="標楷體" w:hint="eastAsia"/>
          <w:noProof/>
        </w:rPr>
        <w:t>2</w:t>
      </w:r>
      <w:r w:rsidR="00473050" w:rsidRPr="00715E34">
        <w:rPr>
          <w:rFonts w:hAnsi="標楷體" w:hint="eastAsia"/>
          <w:noProof/>
        </w:rPr>
        <w:t>期工程」、「調整池工程」及「防淤隧道工程」等水庫更新改善工程，其中電廠防淤</w:t>
      </w:r>
      <w:r w:rsidR="002E72BC" w:rsidRPr="00715E34">
        <w:rPr>
          <w:rFonts w:hAnsi="標楷體" w:hint="eastAsia"/>
          <w:noProof/>
        </w:rPr>
        <w:t>1</w:t>
      </w:r>
      <w:r w:rsidR="00473050" w:rsidRPr="00715E34">
        <w:rPr>
          <w:rFonts w:hAnsi="標楷體" w:hint="eastAsia"/>
          <w:noProof/>
        </w:rPr>
        <w:t>、</w:t>
      </w:r>
      <w:r w:rsidR="002E72BC" w:rsidRPr="00715E34">
        <w:rPr>
          <w:rFonts w:hAnsi="標楷體" w:hint="eastAsia"/>
          <w:noProof/>
        </w:rPr>
        <w:t>2</w:t>
      </w:r>
      <w:r w:rsidR="00473050" w:rsidRPr="00715E34">
        <w:rPr>
          <w:rFonts w:hAnsi="標楷體" w:hint="eastAsia"/>
          <w:noProof/>
        </w:rPr>
        <w:t>期工程完工後，預估每年可排放約100萬立方公尺之淤沙，節省約5億元清淤成本，未來新建之阿姆坪防淤隧道（辦理中，預估每年除淤64萬立方公尺）及大灣坪防淤隧道（規劃中，預估每年除淤71萬立方公尺）如完工投入防淤行列，將大幅提升水庫整體排沙效率。</w:t>
      </w:r>
      <w:r w:rsidR="00473050" w:rsidRPr="00715E34">
        <w:rPr>
          <w:rFonts w:hAnsi="標楷體"/>
        </w:rPr>
        <w:t>爰此，經濟部及農委會等權責機關</w:t>
      </w:r>
      <w:r w:rsidR="00473050" w:rsidRPr="00715E34">
        <w:rPr>
          <w:rFonts w:hAnsi="標楷體" w:hint="eastAsia"/>
        </w:rPr>
        <w:t>自責無旁貸，</w:t>
      </w:r>
      <w:r w:rsidR="00473050" w:rsidRPr="00715E34">
        <w:rPr>
          <w:rFonts w:hAnsi="標楷體"/>
        </w:rPr>
        <w:t>允應持續</w:t>
      </w:r>
      <w:r w:rsidR="00473050" w:rsidRPr="00715E34">
        <w:rPr>
          <w:rFonts w:hAnsi="標楷體" w:hint="eastAsia"/>
        </w:rPr>
        <w:t>加強</w:t>
      </w:r>
      <w:r w:rsidR="00473050" w:rsidRPr="00715E34">
        <w:rPr>
          <w:rFonts w:hAnsi="標楷體"/>
        </w:rPr>
        <w:t>集水區水土保持</w:t>
      </w:r>
      <w:r w:rsidR="00473050" w:rsidRPr="00715E34">
        <w:rPr>
          <w:rFonts w:hAnsi="標楷體" w:hint="eastAsia"/>
        </w:rPr>
        <w:t>工作，</w:t>
      </w:r>
      <w:r w:rsidR="00473050" w:rsidRPr="00715E34">
        <w:rPr>
          <w:rFonts w:hAnsi="標楷體"/>
        </w:rPr>
        <w:t>督</w:t>
      </w:r>
      <w:r w:rsidR="00473050" w:rsidRPr="00715E34">
        <w:rPr>
          <w:rFonts w:hAnsi="標楷體" w:hint="eastAsia"/>
        </w:rPr>
        <w:t>促</w:t>
      </w:r>
      <w:r w:rsidR="00473050" w:rsidRPr="00715E34">
        <w:rPr>
          <w:rFonts w:hAnsi="標楷體"/>
        </w:rPr>
        <w:t>水庫管理機關</w:t>
      </w:r>
      <w:r w:rsidR="00473050" w:rsidRPr="00715E34">
        <w:rPr>
          <w:rFonts w:hAnsi="標楷體" w:hint="eastAsia"/>
        </w:rPr>
        <w:t>持續</w:t>
      </w:r>
      <w:r w:rsidR="00473050" w:rsidRPr="00715E34">
        <w:rPr>
          <w:rFonts w:hAnsi="標楷體"/>
        </w:rPr>
        <w:t>辦理所轄水庫清淤</w:t>
      </w:r>
      <w:r w:rsidR="00473050" w:rsidRPr="00715E34">
        <w:rPr>
          <w:rFonts w:hAnsi="標楷體" w:hint="eastAsia"/>
        </w:rPr>
        <w:t>浚渫</w:t>
      </w:r>
      <w:r w:rsidR="00473050" w:rsidRPr="00715E34">
        <w:rPr>
          <w:rFonts w:hAnsi="標楷體"/>
        </w:rPr>
        <w:t>工作</w:t>
      </w:r>
      <w:r w:rsidR="00473050" w:rsidRPr="00715E34">
        <w:rPr>
          <w:rFonts w:hAnsi="標楷體" w:hint="eastAsia"/>
        </w:rPr>
        <w:t>，加速更新改善水庫防淤相關設備，以利水庫永續利用</w:t>
      </w:r>
      <w:r w:rsidR="00473050" w:rsidRPr="00715E34">
        <w:rPr>
          <w:rFonts w:hAnsi="標楷體"/>
        </w:rPr>
        <w:t>。</w:t>
      </w:r>
    </w:p>
    <w:p w:rsidR="00473050" w:rsidRPr="00715E34" w:rsidRDefault="00005F59" w:rsidP="00232C83">
      <w:pPr>
        <w:pStyle w:val="3"/>
        <w:kinsoku w:val="0"/>
        <w:overflowPunct/>
        <w:topLinePunct/>
        <w:autoSpaceDE/>
        <w:autoSpaceDN/>
        <w:ind w:left="1393" w:hanging="697"/>
        <w:rPr>
          <w:rFonts w:hAnsi="標楷體"/>
        </w:rPr>
      </w:pPr>
      <w:r w:rsidRPr="00715E34">
        <w:rPr>
          <w:rFonts w:hAnsi="標楷體" w:hint="eastAsia"/>
        </w:rPr>
        <w:t>再者，</w:t>
      </w:r>
      <w:r w:rsidR="00473050" w:rsidRPr="00715E34">
        <w:rPr>
          <w:rFonts w:hAnsi="標楷體" w:hint="eastAsia"/>
        </w:rPr>
        <w:t>水庫集水區如因水土保持工作執行不佳，超限利用及環境污染取締不力，將使集水區內的生活污水或遊樂區污水等「點污染源」污染物大量進入水庫，抑或過度的農林業開墾、畜牧飼養、農民大量使用農藥肥料及自然崩塌等「非點污染源」物質污染水質，大量氮、磷等污染物排入水庫中，造成</w:t>
      </w:r>
      <w:r w:rsidR="00473050" w:rsidRPr="00715E34">
        <w:rPr>
          <w:rFonts w:hAnsi="標楷體" w:hint="eastAsia"/>
        </w:rPr>
        <w:lastRenderedPageBreak/>
        <w:t>水庫水質優養化，除破壞景觀、貽害水質外，亦將縮短水庫的使用壽命。據</w:t>
      </w:r>
      <w:r w:rsidR="0047082F" w:rsidRPr="00715E34">
        <w:rPr>
          <w:rFonts w:hAnsi="標楷體" w:hint="eastAsia"/>
          <w:lang w:eastAsia="zh-HK"/>
        </w:rPr>
        <w:t>行政院</w:t>
      </w:r>
      <w:r w:rsidR="00473050" w:rsidRPr="00715E34">
        <w:rPr>
          <w:rFonts w:hAnsi="標楷體" w:hint="eastAsia"/>
        </w:rPr>
        <w:t>環</w:t>
      </w:r>
      <w:r w:rsidR="0008776E" w:rsidRPr="00715E34">
        <w:rPr>
          <w:rFonts w:hAnsi="標楷體" w:hint="eastAsia"/>
        </w:rPr>
        <w:t>境</w:t>
      </w:r>
      <w:r w:rsidR="00473050" w:rsidRPr="00715E34">
        <w:rPr>
          <w:rFonts w:hAnsi="標楷體" w:hint="eastAsia"/>
        </w:rPr>
        <w:t>保</w:t>
      </w:r>
      <w:r w:rsidR="0008776E" w:rsidRPr="00715E34">
        <w:rPr>
          <w:rFonts w:hAnsi="標楷體" w:hint="eastAsia"/>
        </w:rPr>
        <w:t>護</w:t>
      </w:r>
      <w:r w:rsidR="00473050" w:rsidRPr="00715E34">
        <w:rPr>
          <w:rFonts w:hAnsi="標楷體" w:hint="eastAsia"/>
        </w:rPr>
        <w:t>署</w:t>
      </w:r>
      <w:r w:rsidR="0047082F" w:rsidRPr="00715E34">
        <w:rPr>
          <w:rFonts w:hAnsi="標楷體" w:hint="eastAsia"/>
        </w:rPr>
        <w:t>（</w:t>
      </w:r>
      <w:r w:rsidR="0047082F" w:rsidRPr="00715E34">
        <w:rPr>
          <w:rFonts w:hAnsi="標楷體" w:hint="eastAsia"/>
          <w:lang w:eastAsia="zh-HK"/>
        </w:rPr>
        <w:t>下稱環保署</w:t>
      </w:r>
      <w:r w:rsidR="0047082F" w:rsidRPr="00715E34">
        <w:rPr>
          <w:rFonts w:hAnsi="標楷體" w:hint="eastAsia"/>
        </w:rPr>
        <w:t>）</w:t>
      </w:r>
      <w:r w:rsidR="00473050" w:rsidRPr="00715E34">
        <w:rPr>
          <w:rFonts w:hAnsi="標楷體" w:hint="eastAsia"/>
        </w:rPr>
        <w:t>104年環境水質監測年報所載當年度水庫水質監測資料，以評估水質優養化程度之卡爾森指數(Carlson</w:t>
      </w:r>
      <w:r w:rsidR="00370BAD" w:rsidRPr="00715E34">
        <w:rPr>
          <w:rFonts w:hAnsi="標楷體" w:hint="eastAsia"/>
        </w:rPr>
        <w:t xml:space="preserve"> </w:t>
      </w:r>
      <w:r w:rsidR="00473050" w:rsidRPr="00715E34">
        <w:rPr>
          <w:rFonts w:hAnsi="標楷體" w:hint="eastAsia"/>
        </w:rPr>
        <w:t>trophic</w:t>
      </w:r>
      <w:r w:rsidR="00370BAD" w:rsidRPr="00715E34">
        <w:rPr>
          <w:rFonts w:hAnsi="標楷體" w:hint="eastAsia"/>
        </w:rPr>
        <w:t xml:space="preserve"> </w:t>
      </w:r>
      <w:r w:rsidR="00473050" w:rsidRPr="00715E34">
        <w:rPr>
          <w:rFonts w:hAnsi="標楷體" w:hint="eastAsia"/>
        </w:rPr>
        <w:t>state</w:t>
      </w:r>
      <w:r w:rsidR="00370BAD" w:rsidRPr="00715E34">
        <w:rPr>
          <w:rFonts w:hAnsi="標楷體" w:hint="eastAsia"/>
        </w:rPr>
        <w:t xml:space="preserve"> </w:t>
      </w:r>
      <w:r w:rsidR="00473050" w:rsidRPr="00715E34">
        <w:rPr>
          <w:rFonts w:hAnsi="標楷體" w:hint="eastAsia"/>
        </w:rPr>
        <w:t>index,</w:t>
      </w:r>
      <w:r w:rsidR="00603D47" w:rsidRPr="00715E34">
        <w:rPr>
          <w:rFonts w:hAnsi="標楷體" w:hint="eastAsia"/>
        </w:rPr>
        <w:t xml:space="preserve"> </w:t>
      </w:r>
      <w:r w:rsidR="00473050" w:rsidRPr="00715E34">
        <w:rPr>
          <w:rFonts w:hAnsi="標楷體" w:hint="eastAsia"/>
        </w:rPr>
        <w:t>CTSI)</w:t>
      </w:r>
      <w:r w:rsidR="00473050" w:rsidRPr="00715E34">
        <w:rPr>
          <w:rStyle w:val="aff2"/>
          <w:rFonts w:hAnsi="標楷體"/>
        </w:rPr>
        <w:footnoteReference w:id="24"/>
      </w:r>
      <w:r w:rsidR="00473050" w:rsidRPr="00715E34">
        <w:rPr>
          <w:rFonts w:hAnsi="標楷體" w:hint="eastAsia"/>
        </w:rPr>
        <w:t>評估，顯示本島20座主要水庫中，石門、明德、白河、鏡面、澄清湖、鳳山與牡丹等7座水庫水質屬於優養程度，呈現普養的水庫數為12座，呈現貧養的水庫數則僅為翡翠水庫1座，至於離島28座水庫則皆屬於優養狀態，整體而言，104年度水庫優養程度與103年比較略高，而貧養水庫數與103年比較則略低。行政院為達成河川不缺氧、不發臭及水庫活化不優養之目標，前於100年核定環保署提報之「水體環境水質改善及經營管理計畫」，該計畫自101年起，以106年為目標年，持續推動11條重點河川之水體水質改善工作，並定期檢驗水庫水質，針對水質優養化水庫，擬定水質改善策略，協調集水區相關主管機關共同改善。其中推動阻絕點污染源工作策略為：加強點污染源稽查管制工作、在污水下水道地區加速推動污水下水道系統建設、在污水下水道尚未到達地區推動聚落式污水處理設施或現地處理；另在控制非點污染源工作策略則為針對集水區內農地、市鎮等，推動非點污染源最佳管理作業，係依不同土地利用型態，如市鎮、道路、茶園、遊憩行為及其他農業行為等，推動硬體結構性及軟體非結構性之最佳管理作業。該計畫在「河川再生與水庫活化」方面預期將完成改善</w:t>
      </w:r>
      <w:r w:rsidR="00473050" w:rsidRPr="00715E34">
        <w:rPr>
          <w:rFonts w:hAnsi="標楷體"/>
        </w:rPr>
        <w:t>2</w:t>
      </w:r>
      <w:r w:rsidR="00473050" w:rsidRPr="00715E34">
        <w:rPr>
          <w:rFonts w:hAnsi="標楷體" w:hint="eastAsia"/>
        </w:rPr>
        <w:t>座</w:t>
      </w:r>
      <w:r w:rsidR="00473050" w:rsidRPr="00715E34">
        <w:rPr>
          <w:rFonts w:hAnsi="標楷體" w:hint="eastAsia"/>
        </w:rPr>
        <w:lastRenderedPageBreak/>
        <w:t>水庫脫離水質優養化，使國</w:t>
      </w:r>
      <w:r w:rsidR="004C0212" w:rsidRPr="00715E34">
        <w:rPr>
          <w:rFonts w:hAnsi="標楷體" w:hint="eastAsia"/>
        </w:rPr>
        <w:t>內</w:t>
      </w:r>
      <w:r w:rsidR="00473050" w:rsidRPr="00715E34">
        <w:rPr>
          <w:rFonts w:hAnsi="標楷體" w:hint="eastAsia"/>
        </w:rPr>
        <w:t>優養化水庫座數降至</w:t>
      </w:r>
      <w:r w:rsidR="00473050" w:rsidRPr="00715E34">
        <w:rPr>
          <w:rFonts w:hAnsi="標楷體"/>
        </w:rPr>
        <w:t>3</w:t>
      </w:r>
      <w:r w:rsidR="00473050" w:rsidRPr="00715E34">
        <w:rPr>
          <w:rFonts w:hAnsi="標楷體" w:hint="eastAsia"/>
        </w:rPr>
        <w:t>座以下。然而，肇致水庫水質優養化成因甚多，亦需各權責機關長期努力方能獲致成果，惟依環保署全國環境水質監測資訊網資料顯示，前揭石門等7座水質優養化之主要水庫於本年度第1季水質仍呈優養化狀態；行政院既已核定「水體環境水質改善及經營管理計畫」，且該計畫所定目標年（106年）行將屆至，該院允應針對水質已優養化及有優養化之虞的水庫，依所擬定的水質改善策略，積極督促及協調水庫與集水區相關權責機關，持續加強辦理水土保持工作，取締土地超限利用及傾倒廢棄物等污染水質之違法行為，監測水質及共同改善水庫水質優養化問題，避免影響水資源的有效利用。</w:t>
      </w:r>
    </w:p>
    <w:p w:rsidR="00473050" w:rsidRPr="00715E34" w:rsidRDefault="00473050" w:rsidP="00232C83">
      <w:pPr>
        <w:pStyle w:val="3"/>
        <w:topLinePunct/>
        <w:rPr>
          <w:rFonts w:hAnsi="標楷體"/>
        </w:rPr>
      </w:pPr>
      <w:r w:rsidRPr="00715E34">
        <w:rPr>
          <w:rFonts w:hAnsi="標楷體" w:hint="eastAsia"/>
        </w:rPr>
        <w:t>綜上</w:t>
      </w:r>
      <w:r w:rsidRPr="00715E34">
        <w:rPr>
          <w:rFonts w:hAnsi="標楷體"/>
        </w:rPr>
        <w:t>，</w:t>
      </w:r>
      <w:r w:rsidRPr="00715E34">
        <w:rPr>
          <w:rFonts w:hAnsi="標楷體" w:hint="eastAsia"/>
        </w:rPr>
        <w:t>蘇迪勒颱風重創新北市烏來等水庫上游集水區，</w:t>
      </w:r>
      <w:r w:rsidR="000B160C" w:rsidRPr="00715E34">
        <w:rPr>
          <w:rFonts w:hAnsi="標楷體" w:hint="eastAsia"/>
        </w:rPr>
        <w:t>凸顯各權責機關取締土地違法使用、超限利用及污染水源行為不力，集水區內各類保護區之管制事權不一，對於崩塌地整治及復育工作亦顯消極，且長期怠忽水庫清淤、防淤設備更新及水質優養化改善等工作，肇致每逢颱風豪雨類此災情不斷，實難辭怠失之咎。行政院應即正視並督促所屬積極改善，俾確保水庫利用及集水區環境永續發展</w:t>
      </w:r>
      <w:r w:rsidRPr="00715E34">
        <w:rPr>
          <w:rFonts w:hAnsi="標楷體"/>
        </w:rPr>
        <w:t>。</w:t>
      </w:r>
    </w:p>
    <w:p w:rsidR="00473050" w:rsidRPr="00715E34" w:rsidRDefault="00473050" w:rsidP="00232C83">
      <w:pPr>
        <w:pStyle w:val="2"/>
        <w:topLinePunct/>
        <w:spacing w:beforeLines="25" w:before="114"/>
        <w:ind w:left="1020" w:hanging="680"/>
        <w:rPr>
          <w:rFonts w:hAnsi="標楷體"/>
          <w:b/>
        </w:rPr>
      </w:pPr>
      <w:bookmarkStart w:id="95" w:name="_Toc458000634"/>
      <w:r w:rsidRPr="00715E34">
        <w:rPr>
          <w:rFonts w:hAnsi="標楷體" w:hint="eastAsia"/>
          <w:b/>
        </w:rPr>
        <w:t>按現行「水庫集水區保育綱要」明定，水庫集水區範圍水土保持工程，係由相關機關依業務權責及專長分工治理，災害發生時相關機關相互間之通報應變及災後復原重建，皆凸顯權責機關橫向聯繫合作之重要性；</w:t>
      </w:r>
      <w:r w:rsidR="00655030" w:rsidRPr="00715E34">
        <w:rPr>
          <w:rFonts w:hAnsi="標楷體" w:hint="eastAsia"/>
          <w:b/>
        </w:rPr>
        <w:t>然</w:t>
      </w:r>
      <w:r w:rsidRPr="00715E34">
        <w:rPr>
          <w:rFonts w:hAnsi="標楷體" w:hint="eastAsia"/>
          <w:b/>
        </w:rPr>
        <w:t>由蘇迪勒颱風肇致南勢溪上游嚴重災害，益加暴露相關權責機關仍各自為政，欠缺統籌整合機制</w:t>
      </w:r>
      <w:bookmarkEnd w:id="95"/>
    </w:p>
    <w:p w:rsidR="00473050" w:rsidRPr="00715E34" w:rsidRDefault="00473050" w:rsidP="00232C83">
      <w:pPr>
        <w:pStyle w:val="3"/>
        <w:numPr>
          <w:ilvl w:val="2"/>
          <w:numId w:val="1"/>
        </w:numPr>
        <w:topLinePunct/>
        <w:autoSpaceDE/>
        <w:autoSpaceDN/>
        <w:ind w:left="1418" w:hanging="697"/>
        <w:rPr>
          <w:rFonts w:hAnsi="標楷體"/>
        </w:rPr>
      </w:pPr>
      <w:r w:rsidRPr="00715E34">
        <w:rPr>
          <w:rFonts w:hAnsi="標楷體"/>
        </w:rPr>
        <w:t>依</w:t>
      </w:r>
      <w:r w:rsidRPr="00715E34">
        <w:rPr>
          <w:rFonts w:hAnsi="標楷體"/>
          <w:lang w:val="zh-TW"/>
        </w:rPr>
        <w:t>行政院95年3月</w:t>
      </w:r>
      <w:r w:rsidRPr="00715E34">
        <w:rPr>
          <w:rFonts w:hAnsi="標楷體" w:hint="eastAsia"/>
          <w:lang w:val="zh-TW"/>
        </w:rPr>
        <w:t>間</w:t>
      </w:r>
      <w:r w:rsidRPr="00715E34">
        <w:rPr>
          <w:rFonts w:hAnsi="標楷體"/>
          <w:lang w:val="zh-TW"/>
        </w:rPr>
        <w:t>核定之「水庫集水區保育綱要」，有關集水區治理分工如下：</w:t>
      </w:r>
      <w:r w:rsidRPr="00715E34">
        <w:rPr>
          <w:rFonts w:hAnsi="標楷體"/>
        </w:rPr>
        <w:t>水利署負責水庫</w:t>
      </w:r>
      <w:r w:rsidRPr="00715E34">
        <w:rPr>
          <w:rFonts w:hAnsi="標楷體"/>
        </w:rPr>
        <w:lastRenderedPageBreak/>
        <w:t>蓄水範圍</w:t>
      </w:r>
      <w:r w:rsidRPr="00715E34">
        <w:rPr>
          <w:rFonts w:hAnsi="標楷體"/>
          <w:szCs w:val="32"/>
        </w:rPr>
        <w:t>（含保護帶）</w:t>
      </w:r>
      <w:r w:rsidRPr="00715E34">
        <w:rPr>
          <w:rFonts w:hAnsi="標楷體"/>
        </w:rPr>
        <w:t>治理，農委會林務局負責國有林班地治理</w:t>
      </w:r>
      <w:r w:rsidRPr="00715E34">
        <w:rPr>
          <w:rFonts w:hAnsi="標楷體"/>
          <w:szCs w:val="32"/>
        </w:rPr>
        <w:t>（不含蓄水範圍）</w:t>
      </w:r>
      <w:r w:rsidRPr="00715E34">
        <w:rPr>
          <w:rFonts w:hAnsi="標楷體"/>
        </w:rPr>
        <w:t>，農委會水土保持局</w:t>
      </w:r>
      <w:r w:rsidRPr="00715E34">
        <w:rPr>
          <w:rFonts w:hAnsi="標楷體" w:hint="eastAsia"/>
        </w:rPr>
        <w:t>（下稱水保局）</w:t>
      </w:r>
      <w:r w:rsidRPr="00715E34">
        <w:rPr>
          <w:rFonts w:hAnsi="標楷體"/>
        </w:rPr>
        <w:t>負責二者以外之山坡地治理，有關道路水土保持部分，則由道路主管機關依權責辦理（路權及上下邊坡不可分割之治理範圍）。</w:t>
      </w:r>
      <w:r w:rsidRPr="00715E34">
        <w:rPr>
          <w:rFonts w:hAnsi="標楷體" w:hint="eastAsia"/>
        </w:rPr>
        <w:t>另</w:t>
      </w:r>
      <w:r w:rsidRPr="00715E34">
        <w:rPr>
          <w:rFonts w:hAnsi="標楷體"/>
        </w:rPr>
        <w:t>依</w:t>
      </w:r>
      <w:r w:rsidRPr="00715E34">
        <w:rPr>
          <w:rFonts w:hAnsi="標楷體"/>
          <w:noProof/>
        </w:rPr>
        <w:t>災害防救法第4條及同法第3條第1款規定</w:t>
      </w:r>
      <w:r w:rsidRPr="00715E34">
        <w:rPr>
          <w:rFonts w:hAnsi="標楷體" w:hint="eastAsia"/>
          <w:noProof/>
        </w:rPr>
        <w:t>，災害防救</w:t>
      </w:r>
      <w:r w:rsidRPr="00715E34">
        <w:rPr>
          <w:rFonts w:hAnsi="標楷體"/>
          <w:noProof/>
        </w:rPr>
        <w:t>之主管機關在中央為內政部</w:t>
      </w:r>
      <w:r w:rsidRPr="00715E34">
        <w:rPr>
          <w:rFonts w:hAnsi="標楷體" w:hint="eastAsia"/>
          <w:noProof/>
        </w:rPr>
        <w:t>，</w:t>
      </w:r>
      <w:r w:rsidRPr="00715E34">
        <w:rPr>
          <w:rFonts w:hAnsi="標楷體"/>
          <w:noProof/>
        </w:rPr>
        <w:t>在</w:t>
      </w:r>
      <w:r w:rsidRPr="00715E34">
        <w:rPr>
          <w:rFonts w:hAnsi="標楷體" w:hint="eastAsia"/>
          <w:noProof/>
        </w:rPr>
        <w:t>地方為</w:t>
      </w:r>
      <w:r w:rsidRPr="00715E34">
        <w:rPr>
          <w:rFonts w:hAnsi="標楷體"/>
          <w:noProof/>
        </w:rPr>
        <w:t>直轄市政府</w:t>
      </w:r>
      <w:r w:rsidRPr="00715E34">
        <w:rPr>
          <w:rFonts w:hAnsi="標楷體" w:hint="eastAsia"/>
          <w:noProof/>
        </w:rPr>
        <w:t>或</w:t>
      </w:r>
      <w:r w:rsidRPr="00715E34">
        <w:rPr>
          <w:rFonts w:hAnsi="標楷體"/>
          <w:noProof/>
        </w:rPr>
        <w:t>縣（市）政府</w:t>
      </w:r>
      <w:r w:rsidRPr="00715E34">
        <w:rPr>
          <w:rFonts w:hAnsi="標楷體" w:hint="eastAsia"/>
          <w:noProof/>
        </w:rPr>
        <w:t>；</w:t>
      </w:r>
      <w:r w:rsidRPr="00715E34">
        <w:rPr>
          <w:rFonts w:hAnsi="標楷體"/>
          <w:noProof/>
        </w:rPr>
        <w:t>當災害發生時，就各該災害防救業務及類型執行災害防救任務工作，直轄市、縣（市）政府及鄉（鎮、市）公所則依地方制度法規定分別辦理災害防救自治事項。</w:t>
      </w:r>
      <w:r w:rsidRPr="00715E34">
        <w:rPr>
          <w:rFonts w:hAnsi="標楷體" w:hint="eastAsia"/>
          <w:noProof/>
        </w:rPr>
        <w:t>再依</w:t>
      </w:r>
      <w:r w:rsidRPr="00715E34">
        <w:rPr>
          <w:rFonts w:hAnsi="標楷體"/>
        </w:rPr>
        <w:t>行政院99年6月3日函頒之「坡地崩塌防災權責分工表」，明定災後復原重建工作，山坡地治理由農委會水保局主辦，林班地治理由農委會林務局主辦，河川治理由水利署、直轄市或縣（市）政府主辦，至路權及上下邊坡不可分割之治理範圍則由交通部公路總局道路主管機關主辦。</w:t>
      </w:r>
      <w:r w:rsidRPr="00715E34">
        <w:rPr>
          <w:rFonts w:hAnsi="標楷體" w:hint="eastAsia"/>
        </w:rPr>
        <w:t>又</w:t>
      </w:r>
      <w:r w:rsidRPr="00715E34">
        <w:rPr>
          <w:rFonts w:hAnsi="標楷體"/>
        </w:rPr>
        <w:t>水利署組織條例第13條規定</w:t>
      </w:r>
      <w:r w:rsidRPr="00715E34">
        <w:rPr>
          <w:rFonts w:hAnsi="標楷體" w:hint="eastAsia"/>
        </w:rPr>
        <w:t>略以：水利</w:t>
      </w:r>
      <w:r w:rsidRPr="00715E34">
        <w:rPr>
          <w:rFonts w:hAnsi="標楷體"/>
        </w:rPr>
        <w:t>署為辦理臺北水源特定區之水庫集水區保育、治理及管理工作，得設</w:t>
      </w:r>
      <w:r w:rsidR="004B37F9" w:rsidRPr="00715E34">
        <w:rPr>
          <w:rFonts w:hAnsi="標楷體" w:hint="eastAsia"/>
        </w:rPr>
        <w:t>臺北水源局</w:t>
      </w:r>
      <w:r w:rsidRPr="00715E34">
        <w:rPr>
          <w:rFonts w:hAnsi="標楷體" w:hint="eastAsia"/>
        </w:rPr>
        <w:t>。是目前</w:t>
      </w:r>
      <w:r w:rsidRPr="00715E34">
        <w:rPr>
          <w:rFonts w:hAnsi="標楷體"/>
        </w:rPr>
        <w:t>翡翠、石門等水庫集水區由中央相關目的事業主管機關與地方政府依權責分別辦理保育、治理</w:t>
      </w:r>
      <w:r w:rsidRPr="00715E34">
        <w:rPr>
          <w:rFonts w:hAnsi="標楷體" w:hint="eastAsia"/>
        </w:rPr>
        <w:t>，災害發生時通報防救</w:t>
      </w:r>
      <w:r w:rsidRPr="00715E34">
        <w:rPr>
          <w:rFonts w:hAnsi="標楷體"/>
        </w:rPr>
        <w:t>及災後復原重建工作，臺北水源特定區水庫集水區則另設臺北水源局，負責辦理該特定區內水庫集水區保育、治理及管理工作</w:t>
      </w:r>
      <w:r w:rsidRPr="00715E34">
        <w:rPr>
          <w:rFonts w:hAnsi="標楷體"/>
          <w:szCs w:val="32"/>
          <w:lang w:val="zh-TW"/>
        </w:rPr>
        <w:t>，合先</w:t>
      </w:r>
      <w:r w:rsidRPr="00715E34">
        <w:rPr>
          <w:rFonts w:hAnsi="標楷體" w:hint="eastAsia"/>
          <w:szCs w:val="32"/>
          <w:lang w:val="zh-TW"/>
        </w:rPr>
        <w:t>敘</w:t>
      </w:r>
      <w:r w:rsidRPr="00715E34">
        <w:rPr>
          <w:rFonts w:hAnsi="標楷體"/>
          <w:szCs w:val="32"/>
          <w:lang w:val="zh-TW"/>
        </w:rPr>
        <w:t>明。</w:t>
      </w:r>
    </w:p>
    <w:p w:rsidR="00473050" w:rsidRPr="00715E34" w:rsidRDefault="00473050" w:rsidP="00232C83">
      <w:pPr>
        <w:pStyle w:val="3"/>
        <w:topLinePunct/>
        <w:autoSpaceDE/>
        <w:autoSpaceDN/>
        <w:ind w:left="1393" w:hanging="697"/>
        <w:rPr>
          <w:rFonts w:hAnsi="標楷體"/>
        </w:rPr>
      </w:pPr>
      <w:r w:rsidRPr="00715E34">
        <w:rPr>
          <w:rFonts w:hAnsi="標楷體" w:hint="eastAsia"/>
        </w:rPr>
        <w:t>查</w:t>
      </w:r>
      <w:r w:rsidRPr="00715E34">
        <w:rPr>
          <w:rFonts w:hAnsi="標楷體"/>
        </w:rPr>
        <w:t>本院前於101年調查南勢溪上游東札孔溪嚴重崩塌，面積逾百公頃，自來水取水口原水濁度曾飆升至1萬2千NTU（Nephelometric</w:t>
      </w:r>
      <w:r w:rsidR="00E12B0F" w:rsidRPr="00715E34">
        <w:rPr>
          <w:rFonts w:hAnsi="標楷體" w:hint="eastAsia"/>
        </w:rPr>
        <w:t xml:space="preserve"> </w:t>
      </w:r>
      <w:r w:rsidRPr="00715E34">
        <w:rPr>
          <w:rFonts w:hAnsi="標楷體"/>
        </w:rPr>
        <w:t>Turbidity</w:t>
      </w:r>
      <w:r w:rsidR="00E12B0F" w:rsidRPr="00715E34">
        <w:rPr>
          <w:rFonts w:hAnsi="標楷體" w:hint="eastAsia"/>
        </w:rPr>
        <w:t xml:space="preserve"> </w:t>
      </w:r>
      <w:r w:rsidRPr="00715E34">
        <w:rPr>
          <w:rFonts w:hAnsi="標楷體"/>
        </w:rPr>
        <w:t>Unit</w:t>
      </w:r>
      <w:r w:rsidR="00ED0649">
        <w:rPr>
          <w:rStyle w:val="aff2"/>
          <w:rFonts w:hAnsi="標楷體"/>
        </w:rPr>
        <w:footnoteReference w:id="25"/>
      </w:r>
      <w:r w:rsidRPr="00715E34">
        <w:rPr>
          <w:rFonts w:hAnsi="標楷體"/>
        </w:rPr>
        <w:t>）</w:t>
      </w:r>
      <w:r w:rsidRPr="00715E34">
        <w:rPr>
          <w:rFonts w:hAnsi="標楷體" w:hint="eastAsia"/>
        </w:rPr>
        <w:lastRenderedPageBreak/>
        <w:t>等情</w:t>
      </w:r>
      <w:r w:rsidRPr="00715E34">
        <w:rPr>
          <w:rFonts w:hAnsi="標楷體"/>
        </w:rPr>
        <w:t>案</w:t>
      </w:r>
      <w:r w:rsidRPr="00715E34">
        <w:rPr>
          <w:rFonts w:hAnsi="標楷體" w:hint="eastAsia"/>
        </w:rPr>
        <w:t>時</w:t>
      </w:r>
      <w:r w:rsidRPr="00715E34">
        <w:rPr>
          <w:rFonts w:hAnsi="標楷體"/>
        </w:rPr>
        <w:t>，調查意見</w:t>
      </w:r>
      <w:r w:rsidRPr="00715E34">
        <w:rPr>
          <w:rFonts w:hAnsi="標楷體" w:hint="eastAsia"/>
        </w:rPr>
        <w:t>曾籲請</w:t>
      </w:r>
      <w:r w:rsidRPr="00715E34">
        <w:rPr>
          <w:rFonts w:hAnsi="標楷體"/>
        </w:rPr>
        <w:t>行政院應善用該院「重要河川流域協調會報」之協調機制，統合各相關權責機關，整體規劃該流域河川整治方式及責任分工</w:t>
      </w:r>
      <w:r w:rsidRPr="00715E34">
        <w:rPr>
          <w:rFonts w:hAnsi="標楷體" w:hint="eastAsia"/>
        </w:rPr>
        <w:t>。</w:t>
      </w:r>
      <w:r w:rsidRPr="00715E34">
        <w:rPr>
          <w:rFonts w:hAnsi="標楷體"/>
        </w:rPr>
        <w:t>嗣行政院函復辦理情形</w:t>
      </w:r>
      <w:r w:rsidRPr="00715E34">
        <w:rPr>
          <w:rStyle w:val="aff2"/>
          <w:rFonts w:hAnsi="標楷體"/>
          <w:szCs w:val="32"/>
        </w:rPr>
        <w:footnoteReference w:id="26"/>
      </w:r>
      <w:r w:rsidRPr="00715E34">
        <w:rPr>
          <w:rFonts w:hAnsi="標楷體" w:hint="eastAsia"/>
        </w:rPr>
        <w:t>略以</w:t>
      </w:r>
      <w:r w:rsidRPr="00715E34">
        <w:rPr>
          <w:rFonts w:hAnsi="標楷體"/>
        </w:rPr>
        <w:t>：</w:t>
      </w:r>
      <w:r w:rsidRPr="00715E34">
        <w:rPr>
          <w:rFonts w:hAnsi="標楷體" w:hint="eastAsia"/>
        </w:rPr>
        <w:t>該</w:t>
      </w:r>
      <w:r w:rsidRPr="00715E34">
        <w:rPr>
          <w:rFonts w:hAnsi="標楷體"/>
        </w:rPr>
        <w:t>院為協調、整合國家重要河川流域內之水、土、林資源永續運用、集水區保育、重要河川流域防汛與環境營造及土地利用等事項，特設</w:t>
      </w:r>
      <w:r w:rsidRPr="00715E34">
        <w:rPr>
          <w:rFonts w:hAnsi="標楷體" w:hint="eastAsia"/>
        </w:rPr>
        <w:t>「</w:t>
      </w:r>
      <w:r w:rsidRPr="00715E34">
        <w:rPr>
          <w:rFonts w:hAnsi="標楷體"/>
        </w:rPr>
        <w:t>行政院重要河川協調會報</w:t>
      </w:r>
      <w:r w:rsidRPr="00715E34">
        <w:rPr>
          <w:rFonts w:hAnsi="標楷體" w:hint="eastAsia"/>
        </w:rPr>
        <w:t>」</w:t>
      </w:r>
      <w:r w:rsidRPr="00715E34">
        <w:rPr>
          <w:rFonts w:hAnsi="標楷體"/>
        </w:rPr>
        <w:t>，以協調、推動及追蹤管考相關事務</w:t>
      </w:r>
      <w:r w:rsidRPr="00715E34">
        <w:rPr>
          <w:rFonts w:hAnsi="標楷體" w:hint="eastAsia"/>
        </w:rPr>
        <w:t>；</w:t>
      </w:r>
      <w:r w:rsidRPr="00715E34">
        <w:rPr>
          <w:rFonts w:hAnsi="標楷體"/>
          <w:szCs w:val="32"/>
        </w:rPr>
        <w:t>為因應全球氣候變遷，極端氣候頻率增加，及確保大臺北地區民生供水之安全與品質</w:t>
      </w:r>
      <w:r w:rsidRPr="00715E34">
        <w:rPr>
          <w:rFonts w:hAnsi="標楷體" w:hint="eastAsia"/>
          <w:szCs w:val="32"/>
        </w:rPr>
        <w:t>，</w:t>
      </w:r>
      <w:r w:rsidRPr="00715E34">
        <w:rPr>
          <w:rFonts w:hAnsi="標楷體"/>
          <w:szCs w:val="32"/>
        </w:rPr>
        <w:t>除辦理治理工作及持續加強監測，並定期將辦理情形提報上開會報檢討、追蹤，做好橫向聯繫，保持各單位暢通及合作之管道，若有緊急應變必要，即刻召開會議，採取妥善應變措施</w:t>
      </w:r>
      <w:r w:rsidRPr="00715E34">
        <w:rPr>
          <w:rFonts w:hAnsi="標楷體" w:hint="eastAsia"/>
          <w:szCs w:val="32"/>
        </w:rPr>
        <w:t>。</w:t>
      </w:r>
      <w:r w:rsidRPr="00715E34">
        <w:rPr>
          <w:rFonts w:hAnsi="標楷體"/>
          <w:szCs w:val="32"/>
        </w:rPr>
        <w:t>然</w:t>
      </w:r>
      <w:r w:rsidRPr="00715E34">
        <w:rPr>
          <w:rFonts w:hAnsi="標楷體" w:hint="eastAsia"/>
          <w:szCs w:val="32"/>
        </w:rPr>
        <w:t>而</w:t>
      </w:r>
      <w:r w:rsidRPr="00715E34">
        <w:rPr>
          <w:rFonts w:hAnsi="標楷體"/>
          <w:szCs w:val="32"/>
        </w:rPr>
        <w:t>104年</w:t>
      </w:r>
      <w:r w:rsidRPr="00715E34">
        <w:rPr>
          <w:rFonts w:hAnsi="標楷體" w:hint="eastAsia"/>
          <w:szCs w:val="32"/>
        </w:rPr>
        <w:t>8月</w:t>
      </w:r>
      <w:r w:rsidRPr="00715E34">
        <w:rPr>
          <w:rFonts w:hAnsi="標楷體"/>
          <w:szCs w:val="32"/>
        </w:rPr>
        <w:t>蘇迪勒颱風來襲，在烏來地區南勢溪上游降下豪雨，</w:t>
      </w:r>
      <w:r w:rsidRPr="00715E34">
        <w:rPr>
          <w:rFonts w:hAnsi="標楷體"/>
        </w:rPr>
        <w:t>造成坡地沖蝕、土石崩落、道路崩塌及民宅淹水等災情，肇致溪水混濁</w:t>
      </w:r>
      <w:r w:rsidRPr="00715E34">
        <w:rPr>
          <w:rFonts w:hAnsi="標楷體" w:hint="eastAsia"/>
        </w:rPr>
        <w:t>，影響大臺北地區民生用水；臺北市</w:t>
      </w:r>
      <w:r w:rsidRPr="00715E34">
        <w:rPr>
          <w:rFonts w:hAnsi="標楷體"/>
        </w:rPr>
        <w:t>政府指責中央未做好南勢溪上游的水土保持工作，</w:t>
      </w:r>
      <w:r w:rsidRPr="00715E34">
        <w:rPr>
          <w:rFonts w:hAnsi="標楷體" w:hint="eastAsia"/>
        </w:rPr>
        <w:t>影響自來水淨水場取用原水，中央相關機關則指稱係該府應變有問題；使原本於災害來襲時應相互聯繫、協調及合作者，反而交相指摘、卸責。而行政院之「</w:t>
      </w:r>
      <w:r w:rsidRPr="00715E34">
        <w:rPr>
          <w:rFonts w:hAnsi="標楷體"/>
        </w:rPr>
        <w:t>行政院重要河川協調會報</w:t>
      </w:r>
      <w:r w:rsidRPr="00715E34">
        <w:rPr>
          <w:rFonts w:hAnsi="標楷體" w:hint="eastAsia"/>
        </w:rPr>
        <w:t>」亦未能於該次風災中發揮「會報」之聯繫協調功能，即時應變，</w:t>
      </w:r>
      <w:r w:rsidRPr="00715E34">
        <w:rPr>
          <w:rFonts w:hAnsi="標楷體"/>
        </w:rPr>
        <w:t>確實使該集水區保育及分工管理與治理備受質疑。</w:t>
      </w:r>
    </w:p>
    <w:p w:rsidR="00473050" w:rsidRPr="00715E34" w:rsidRDefault="00473050" w:rsidP="00232C83">
      <w:pPr>
        <w:pStyle w:val="3"/>
        <w:topLinePunct/>
        <w:autoSpaceDE/>
        <w:autoSpaceDN/>
        <w:ind w:left="1393" w:hanging="697"/>
        <w:rPr>
          <w:rFonts w:hAnsi="標楷體"/>
        </w:rPr>
      </w:pPr>
      <w:r w:rsidRPr="00715E34">
        <w:rPr>
          <w:rFonts w:hAnsi="標楷體" w:hint="eastAsia"/>
        </w:rPr>
        <w:t>詢據水利署查復，</w:t>
      </w:r>
      <w:r w:rsidRPr="00715E34">
        <w:rPr>
          <w:rFonts w:hAnsi="標楷體"/>
        </w:rPr>
        <w:t>按行政院所核定之「水庫集水區保育綱要」乃屬策略性之上位計畫，作為水庫集水區各權責機關分工治理之依據，水庫集水區範圍水</w:t>
      </w:r>
      <w:r w:rsidRPr="00715E34">
        <w:rPr>
          <w:rFonts w:hAnsi="標楷體"/>
        </w:rPr>
        <w:lastRenderedPageBreak/>
        <w:t>土保持工程係由相關機關依業務權責及專長分工治理</w:t>
      </w:r>
      <w:r w:rsidRPr="00715E34">
        <w:rPr>
          <w:rFonts w:hAnsi="標楷體" w:hint="eastAsia"/>
        </w:rPr>
        <w:t>；惟</w:t>
      </w:r>
      <w:r w:rsidRPr="00715E34">
        <w:rPr>
          <w:rFonts w:hAnsi="標楷體"/>
        </w:rPr>
        <w:t>各水庫集水區內之山坡地陡峭與分布、地質脆弱與敏感程度、土地環境容受力及人為開發情形等影響集水區水土保持相關因素皆不相同，不同水庫集水區自然地理環境迥異，僅適用「水庫集水區保育綱要」分工治理原則，未能因地制宜，恐無法積極妥善做好集水區整治工作</w:t>
      </w:r>
      <w:r w:rsidRPr="00715E34">
        <w:rPr>
          <w:rFonts w:hAnsi="標楷體" w:hint="eastAsia"/>
        </w:rPr>
        <w:t>，</w:t>
      </w:r>
      <w:r w:rsidRPr="00715E34">
        <w:rPr>
          <w:rFonts w:hAnsi="標楷體"/>
        </w:rPr>
        <w:t>宜</w:t>
      </w:r>
      <w:r w:rsidRPr="00715E34">
        <w:rPr>
          <w:rFonts w:hAnsi="標楷體" w:hint="eastAsia"/>
        </w:rPr>
        <w:t>參據</w:t>
      </w:r>
      <w:r w:rsidRPr="00715E34">
        <w:rPr>
          <w:rFonts w:hAnsi="標楷體"/>
        </w:rPr>
        <w:t>該保育綱要措施三、（二）推動水庫集水區整體保育2.水庫集水區治理：「為達成水庫集水區泥沙生產之減量及水庫水質之維護目標，依前述分工由權責機關提出相關治理計畫，以及由環保署提出水質改善計畫，經水庫管理機關（構）彙整提報，以作為水庫集水區治理之執行依據」</w:t>
      </w:r>
      <w:r w:rsidRPr="00715E34">
        <w:rPr>
          <w:rFonts w:hAnsi="標楷體" w:hint="eastAsia"/>
        </w:rPr>
        <w:t>，按各</w:t>
      </w:r>
      <w:r w:rsidRPr="00715E34">
        <w:rPr>
          <w:rFonts w:hAnsi="標楷體"/>
        </w:rPr>
        <w:t>水庫集水區特性訂定個別保育實施計畫（或綱要），</w:t>
      </w:r>
      <w:r w:rsidRPr="00715E34">
        <w:rPr>
          <w:rFonts w:hAnsi="標楷體" w:hint="eastAsia"/>
        </w:rPr>
        <w:t>以</w:t>
      </w:r>
      <w:r w:rsidRPr="00715E34">
        <w:rPr>
          <w:rFonts w:hAnsi="標楷體"/>
        </w:rPr>
        <w:t>作為集水區長期整治之依據</w:t>
      </w:r>
      <w:r w:rsidRPr="00715E34">
        <w:rPr>
          <w:rFonts w:hAnsi="標楷體" w:hint="eastAsia"/>
        </w:rPr>
        <w:t>云云</w:t>
      </w:r>
      <w:r w:rsidRPr="00715E34">
        <w:rPr>
          <w:rFonts w:hAnsi="標楷體"/>
        </w:rPr>
        <w:t>。然</w:t>
      </w:r>
      <w:r w:rsidRPr="00715E34">
        <w:rPr>
          <w:rFonts w:hAnsi="標楷體" w:hint="eastAsia"/>
        </w:rPr>
        <w:t>查</w:t>
      </w:r>
      <w:r w:rsidRPr="00715E34">
        <w:rPr>
          <w:rFonts w:hAnsi="標楷體"/>
        </w:rPr>
        <w:t>，自93年艾利颱風及94年馬莎颱風侵襲，因集水區大量崩坍之土沙災害，造成石門水庫庫區原水濁度過高，無法由既有之取水口供水，自來水停水長達17天，民生與經濟產業重大損失之情事發生</w:t>
      </w:r>
      <w:r w:rsidRPr="00715E34">
        <w:rPr>
          <w:rFonts w:hAnsi="標楷體"/>
          <w:vertAlign w:val="superscript"/>
        </w:rPr>
        <w:footnoteReference w:id="27"/>
      </w:r>
      <w:r w:rsidRPr="00715E34">
        <w:rPr>
          <w:rFonts w:hAnsi="標楷體"/>
        </w:rPr>
        <w:t>後，十餘年間僅於95</w:t>
      </w:r>
      <w:r w:rsidR="00D566D4" w:rsidRPr="00715E34">
        <w:rPr>
          <w:rFonts w:hAnsi="標楷體" w:hint="eastAsia"/>
        </w:rPr>
        <w:t>年</w:t>
      </w:r>
      <w:r w:rsidRPr="00715E34">
        <w:rPr>
          <w:rFonts w:hAnsi="標楷體"/>
        </w:rPr>
        <w:t>及99年</w:t>
      </w:r>
      <w:r w:rsidRPr="00715E34">
        <w:rPr>
          <w:rFonts w:hAnsi="標楷體" w:hint="eastAsia"/>
        </w:rPr>
        <w:t>先後</w:t>
      </w:r>
      <w:r w:rsidRPr="00715E34">
        <w:rPr>
          <w:rFonts w:hAnsi="標楷體"/>
        </w:rPr>
        <w:t>通過石門水庫及其集水區整治特別條例及曾文南化烏山頭水庫治理及穩定南部地區供水特別條例</w:t>
      </w:r>
      <w:r w:rsidR="001B5AFD" w:rsidRPr="00715E34">
        <w:rPr>
          <w:rFonts w:hAnsi="標楷體"/>
        </w:rPr>
        <w:t>（</w:t>
      </w:r>
      <w:r w:rsidR="001B5AFD" w:rsidRPr="00715E34">
        <w:rPr>
          <w:rFonts w:hAnsi="標楷體" w:hint="eastAsia"/>
        </w:rPr>
        <w:t>皆</w:t>
      </w:r>
      <w:r w:rsidR="001B5AFD" w:rsidRPr="00715E34">
        <w:rPr>
          <w:rFonts w:hAnsi="標楷體"/>
        </w:rPr>
        <w:t>已廢止）</w:t>
      </w:r>
      <w:r w:rsidRPr="00715E34">
        <w:rPr>
          <w:rFonts w:hAnsi="標楷體" w:hint="eastAsia"/>
        </w:rPr>
        <w:t>。迨</w:t>
      </w:r>
      <w:r w:rsidRPr="00715E34">
        <w:rPr>
          <w:rFonts w:hAnsi="標楷體"/>
        </w:rPr>
        <w:t>103年行政院為回應「看見臺灣」</w:t>
      </w:r>
      <w:r w:rsidRPr="00715E34">
        <w:rPr>
          <w:rFonts w:hAnsi="標楷體" w:hint="eastAsia"/>
        </w:rPr>
        <w:t>紀</w:t>
      </w:r>
      <w:r w:rsidRPr="00715E34">
        <w:rPr>
          <w:rFonts w:hAnsi="標楷體"/>
        </w:rPr>
        <w:t>錄片提到國內諸多環境破壞及污染現象，以及各界對污染防治及水土保育的重視，</w:t>
      </w:r>
      <w:r w:rsidRPr="00715E34">
        <w:rPr>
          <w:rFonts w:hAnsi="標楷體" w:hint="eastAsia"/>
        </w:rPr>
        <w:t>始責成</w:t>
      </w:r>
      <w:r w:rsidRPr="00715E34">
        <w:rPr>
          <w:rFonts w:hAnsi="標楷體"/>
        </w:rPr>
        <w:t>水利署就需優先處理之石門等13座水庫，加速辦理水庫清淤及防淤工作</w:t>
      </w:r>
      <w:r w:rsidRPr="00715E34">
        <w:rPr>
          <w:rFonts w:hAnsi="標楷體" w:hint="eastAsia"/>
        </w:rPr>
        <w:t>，</w:t>
      </w:r>
      <w:r w:rsidRPr="00715E34">
        <w:rPr>
          <w:rFonts w:hAnsi="標楷體"/>
        </w:rPr>
        <w:t>該署方將上述13座水庫分2階段提報水庫集水區保育實施計畫。104年蘇迪勒颱風造成南勢溪上游多處土石崩坍，</w:t>
      </w:r>
      <w:r w:rsidRPr="00715E34">
        <w:rPr>
          <w:rFonts w:hAnsi="標楷體" w:hint="eastAsia"/>
        </w:rPr>
        <w:t>復</w:t>
      </w:r>
      <w:r w:rsidRPr="00715E34">
        <w:rPr>
          <w:rFonts w:hAnsi="標楷體"/>
        </w:rPr>
        <w:t>促使</w:t>
      </w:r>
      <w:r w:rsidRPr="00715E34">
        <w:rPr>
          <w:rFonts w:hAnsi="標楷體"/>
        </w:rPr>
        <w:lastRenderedPageBreak/>
        <w:t>水利署研擬新店溪上游河川流域保育治理綱要之訂定</w:t>
      </w:r>
      <w:r w:rsidR="001B5AFD" w:rsidRPr="00715E34">
        <w:rPr>
          <w:rFonts w:hAnsi="標楷體" w:hint="eastAsia"/>
        </w:rPr>
        <w:t>，迄至本</w:t>
      </w:r>
      <w:r w:rsidRPr="00715E34">
        <w:rPr>
          <w:rFonts w:hAnsi="標楷體" w:hint="eastAsia"/>
        </w:rPr>
        <w:t>（105）年1月26日始核定「新店溪上游流域保育治理及區域穩定供水綱要計畫」</w:t>
      </w:r>
      <w:r w:rsidRPr="00715E34">
        <w:rPr>
          <w:rFonts w:hAnsi="標楷體"/>
        </w:rPr>
        <w:t>。</w:t>
      </w:r>
      <w:r w:rsidRPr="00715E34">
        <w:rPr>
          <w:rFonts w:hAnsi="標楷體" w:hint="eastAsia"/>
        </w:rPr>
        <w:t>各</w:t>
      </w:r>
      <w:r w:rsidRPr="00715E34">
        <w:rPr>
          <w:rFonts w:hAnsi="標楷體"/>
        </w:rPr>
        <w:t>權責機關未依「水庫集水區保育綱要」</w:t>
      </w:r>
      <w:r w:rsidRPr="00715E34">
        <w:rPr>
          <w:rFonts w:hAnsi="標楷體" w:hint="eastAsia"/>
        </w:rPr>
        <w:t>積極</w:t>
      </w:r>
      <w:r w:rsidRPr="00715E34">
        <w:rPr>
          <w:rFonts w:hAnsi="標楷體"/>
        </w:rPr>
        <w:t>提出相關水庫集水區之治理計畫</w:t>
      </w:r>
      <w:r w:rsidRPr="00715E34">
        <w:rPr>
          <w:rFonts w:hAnsi="標楷體" w:hint="eastAsia"/>
        </w:rPr>
        <w:t>之被動心態，可見一斑</w:t>
      </w:r>
      <w:r w:rsidRPr="00715E34">
        <w:rPr>
          <w:rFonts w:hAnsi="標楷體"/>
        </w:rPr>
        <w:t>。</w:t>
      </w:r>
    </w:p>
    <w:p w:rsidR="00473050" w:rsidRPr="00715E34" w:rsidRDefault="00473050" w:rsidP="00232C83">
      <w:pPr>
        <w:pStyle w:val="3"/>
        <w:kinsoku w:val="0"/>
        <w:overflowPunct/>
        <w:topLinePunct/>
        <w:autoSpaceDE/>
        <w:autoSpaceDN/>
        <w:ind w:left="1393" w:hanging="697"/>
        <w:rPr>
          <w:rFonts w:hAnsi="標楷體"/>
        </w:rPr>
      </w:pPr>
      <w:r w:rsidRPr="00715E34">
        <w:rPr>
          <w:rFonts w:hAnsi="標楷體" w:hint="eastAsia"/>
        </w:rPr>
        <w:t>另查，</w:t>
      </w:r>
      <w:r w:rsidRPr="00715E34">
        <w:rPr>
          <w:rFonts w:hAnsi="標楷體"/>
        </w:rPr>
        <w:t>行政院公共工程委員會函復交通部有關蘇迪勒颱風期間坡地土石流失，危及公路及民宅安全，因坡地治理權責涉及多機關，該部</w:t>
      </w:r>
      <w:r w:rsidRPr="00715E34">
        <w:rPr>
          <w:rFonts w:hAnsi="標楷體" w:hint="eastAsia"/>
        </w:rPr>
        <w:t>商</w:t>
      </w:r>
      <w:r w:rsidRPr="00715E34">
        <w:rPr>
          <w:rFonts w:hAnsi="標楷體"/>
        </w:rPr>
        <w:t>請該會統籌協調治理權責</w:t>
      </w:r>
      <w:r w:rsidRPr="00715E34">
        <w:rPr>
          <w:rFonts w:hAnsi="標楷體" w:hint="eastAsia"/>
        </w:rPr>
        <w:t>之函文提及</w:t>
      </w:r>
      <w:r w:rsidRPr="00715E34">
        <w:rPr>
          <w:rFonts w:hAnsi="標楷體"/>
        </w:rPr>
        <w:t>，該會前於104年4月29日召開「公共建設督導會報」決議略以：「有關通案性之坡地防災問題，請農委會督導水保局依『坡地崩塌防災權責分工表』之『3-1：山坡地治理，由農委會（水保局）主辦』，於組織業務職掌、水土保持法及水保工程專業範疇，評估技術面之綜合治理規劃，再由各權責機關、土地管理機關或水土保持義務人依法分工辦理或據以研提應變計畫」。</w:t>
      </w:r>
      <w:r w:rsidRPr="00715E34">
        <w:rPr>
          <w:rFonts w:hAnsi="標楷體" w:hint="eastAsia"/>
        </w:rPr>
        <w:t>足徵，現行</w:t>
      </w:r>
      <w:r w:rsidRPr="00715E34">
        <w:rPr>
          <w:rFonts w:hAnsi="標楷體"/>
        </w:rPr>
        <w:t>水庫集水區災害修復</w:t>
      </w:r>
      <w:r w:rsidRPr="00715E34">
        <w:rPr>
          <w:rFonts w:hAnsi="標楷體" w:hint="eastAsia"/>
        </w:rPr>
        <w:t>，</w:t>
      </w:r>
      <w:r w:rsidRPr="00715E34">
        <w:rPr>
          <w:rFonts w:hAnsi="標楷體"/>
        </w:rPr>
        <w:t>雖已頒有「坡地崩塌防災權責分工表」確認</w:t>
      </w:r>
      <w:r w:rsidRPr="00715E34">
        <w:rPr>
          <w:rFonts w:hAnsi="標楷體" w:hint="eastAsia"/>
        </w:rPr>
        <w:t>各</w:t>
      </w:r>
      <w:r w:rsidRPr="00715E34">
        <w:rPr>
          <w:rFonts w:hAnsi="標楷體"/>
        </w:rPr>
        <w:t>機關權責範圍分工治理</w:t>
      </w:r>
      <w:r w:rsidRPr="00715E34">
        <w:rPr>
          <w:rFonts w:hAnsi="標楷體" w:hint="eastAsia"/>
        </w:rPr>
        <w:t>，然集水區山坡地單ㄧ崩坍災害點，經常涵蓋山坡地、道路及河川範圍，坡地治理權責涉及數個機關，僅依現行「水庫集水區保育綱要」及「坡地崩塌防災權責分工表」等規定，由權責機關各自修復災損，仍因部分權責分工難以釐清</w:t>
      </w:r>
      <w:r w:rsidRPr="00715E34">
        <w:rPr>
          <w:rFonts w:hAnsi="標楷體"/>
        </w:rPr>
        <w:t>，</w:t>
      </w:r>
      <w:r w:rsidRPr="00715E34">
        <w:rPr>
          <w:rFonts w:hAnsi="標楷體" w:hint="eastAsia"/>
        </w:rPr>
        <w:t>致延誤復原時機，有</w:t>
      </w:r>
      <w:r w:rsidRPr="00715E34">
        <w:rPr>
          <w:rFonts w:hAnsi="標楷體"/>
        </w:rPr>
        <w:t>削弱治理能量</w:t>
      </w:r>
      <w:r w:rsidRPr="00715E34">
        <w:rPr>
          <w:rFonts w:hAnsi="標楷體" w:hint="eastAsia"/>
        </w:rPr>
        <w:t>之虞，此由蘇迪勒颱風期間各該權責機關之橫向</w:t>
      </w:r>
      <w:r w:rsidR="001B5AFD" w:rsidRPr="00715E34">
        <w:rPr>
          <w:rFonts w:hAnsi="標楷體" w:hint="eastAsia"/>
        </w:rPr>
        <w:t>聯</w:t>
      </w:r>
      <w:r w:rsidRPr="00715E34">
        <w:rPr>
          <w:rFonts w:hAnsi="標楷體" w:hint="eastAsia"/>
        </w:rPr>
        <w:t>繫窘況，得證實務上猶有未盡周妥之處。</w:t>
      </w:r>
    </w:p>
    <w:p w:rsidR="00473050" w:rsidRPr="00715E34" w:rsidRDefault="00473050" w:rsidP="00232C83">
      <w:pPr>
        <w:pStyle w:val="3"/>
        <w:kinsoku w:val="0"/>
        <w:overflowPunct/>
        <w:topLinePunct/>
        <w:autoSpaceDE/>
        <w:autoSpaceDN/>
        <w:ind w:left="1393" w:hanging="697"/>
        <w:rPr>
          <w:rFonts w:hAnsi="標楷體"/>
        </w:rPr>
      </w:pPr>
      <w:r w:rsidRPr="00715E34">
        <w:rPr>
          <w:rFonts w:hAnsi="標楷體" w:hint="eastAsia"/>
        </w:rPr>
        <w:t>復</w:t>
      </w:r>
      <w:r w:rsidRPr="00715E34">
        <w:rPr>
          <w:rFonts w:hAnsi="標楷體"/>
        </w:rPr>
        <w:t>按水利署各區水資源局組織通則第2條規定：「經濟部水利署設北、中、南區水資源局，掌理下列事項：……三、水庫安全、經營管理與集水區保育及治理事項。」是以</w:t>
      </w:r>
      <w:r w:rsidRPr="00715E34">
        <w:rPr>
          <w:rFonts w:hAnsi="標楷體" w:hint="eastAsia"/>
        </w:rPr>
        <w:t>，</w:t>
      </w:r>
      <w:r w:rsidRPr="00715E34">
        <w:rPr>
          <w:rFonts w:hAnsi="標楷體"/>
        </w:rPr>
        <w:t>水利署各區水資源局為水庫</w:t>
      </w:r>
      <w:r w:rsidRPr="00715E34">
        <w:rPr>
          <w:rFonts w:hAnsi="標楷體"/>
        </w:rPr>
        <w:lastRenderedPageBreak/>
        <w:t>集水區管理機關</w:t>
      </w:r>
      <w:r w:rsidRPr="00715E34">
        <w:rPr>
          <w:rFonts w:hAnsi="標楷體" w:hint="eastAsia"/>
        </w:rPr>
        <w:t>。</w:t>
      </w:r>
      <w:r w:rsidRPr="00715E34">
        <w:rPr>
          <w:rFonts w:hAnsi="標楷體"/>
        </w:rPr>
        <w:t>然國內水庫數量眾多，集水區面積廣大，由各區水資源局負責區域內保育及治理恐力有未逮，「水庫集水區保育綱要」</w:t>
      </w:r>
      <w:r w:rsidRPr="00715E34">
        <w:rPr>
          <w:rFonts w:hAnsi="標楷體" w:hint="eastAsia"/>
        </w:rPr>
        <w:t>即揭露</w:t>
      </w:r>
      <w:r w:rsidRPr="00715E34">
        <w:rPr>
          <w:rFonts w:hAnsi="標楷體"/>
        </w:rPr>
        <w:t>水庫集水區的管理問題在於</w:t>
      </w:r>
      <w:r w:rsidRPr="00715E34">
        <w:rPr>
          <w:rFonts w:hAnsi="標楷體"/>
          <w:szCs w:val="32"/>
        </w:rPr>
        <w:t>目前水庫集水區土地管制法令尚稱完備，惟各主管機關執行人力不足，未能落實執行</w:t>
      </w:r>
      <w:r w:rsidRPr="00715E34">
        <w:rPr>
          <w:rFonts w:hAnsi="標楷體"/>
        </w:rPr>
        <w:t>。</w:t>
      </w:r>
      <w:r w:rsidRPr="00715E34">
        <w:rPr>
          <w:rFonts w:hAnsi="標楷體" w:hint="eastAsia"/>
        </w:rPr>
        <w:t>行政院查復本院時亦坦認，執行水庫集水區水土保持工作所</w:t>
      </w:r>
      <w:r w:rsidRPr="00715E34">
        <w:rPr>
          <w:rFonts w:hAnsi="標楷體"/>
        </w:rPr>
        <w:t>遭遇問題瓶頸</w:t>
      </w:r>
      <w:r w:rsidRPr="00715E34">
        <w:rPr>
          <w:rFonts w:hAnsi="標楷體" w:hint="eastAsia"/>
        </w:rPr>
        <w:t>，在於</w:t>
      </w:r>
      <w:r w:rsidRPr="00715E34">
        <w:rPr>
          <w:rFonts w:hAnsi="標楷體"/>
        </w:rPr>
        <w:t>山坡地幅員廣大，水土保持執行人力嚴重不足</w:t>
      </w:r>
      <w:r w:rsidRPr="00715E34">
        <w:rPr>
          <w:rFonts w:hAnsi="標楷體" w:hint="eastAsia"/>
        </w:rPr>
        <w:t>；對於權責分工較難釐清部分，該院俟組織改造後，將業務整合至單一窗口環境資源部，透過系統化綜合處理水資源及水土保持問題，整合相關資源，提升防災量能，辦理山坡地範圍內水土保持工作。</w:t>
      </w:r>
      <w:r w:rsidRPr="00715E34">
        <w:rPr>
          <w:rFonts w:hAnsi="標楷體"/>
        </w:rPr>
        <w:t>本案調查期間</w:t>
      </w:r>
      <w:r w:rsidRPr="00715E34">
        <w:rPr>
          <w:rFonts w:hAnsi="標楷體" w:hint="eastAsia"/>
        </w:rPr>
        <w:t>現場履勘</w:t>
      </w:r>
      <w:r w:rsidRPr="00715E34">
        <w:rPr>
          <w:rFonts w:hAnsi="標楷體"/>
        </w:rPr>
        <w:t>與會學者專家</w:t>
      </w:r>
      <w:r w:rsidRPr="00715E34">
        <w:rPr>
          <w:rFonts w:hAnsi="標楷體" w:hint="eastAsia"/>
        </w:rPr>
        <w:t>，</w:t>
      </w:r>
      <w:r w:rsidRPr="00715E34">
        <w:rPr>
          <w:rFonts w:hAnsi="標楷體"/>
        </w:rPr>
        <w:t>咸認各水庫集水區應比照臺北水源特定區設置水源特定區管理局，統籌、整合及協調各保育治理權責</w:t>
      </w:r>
      <w:r w:rsidRPr="00715E34">
        <w:rPr>
          <w:rStyle w:val="aff2"/>
          <w:rFonts w:hAnsi="標楷體"/>
        </w:rPr>
        <w:footnoteReference w:id="28"/>
      </w:r>
      <w:r w:rsidRPr="00715E34">
        <w:rPr>
          <w:rFonts w:hAnsi="標楷體"/>
        </w:rPr>
        <w:t>。是以</w:t>
      </w:r>
      <w:r w:rsidRPr="00715E34">
        <w:rPr>
          <w:rFonts w:hAnsi="標楷體" w:hint="eastAsia"/>
        </w:rPr>
        <w:t>，除設置環境資源部統合資源及協調機關橫向聯繫外，</w:t>
      </w:r>
      <w:r w:rsidRPr="00715E34">
        <w:rPr>
          <w:rFonts w:hAnsi="標楷體"/>
        </w:rPr>
        <w:t>各水庫集水區宜有管理機關設置，俾統籌辦理水土保育及災害防救復原等相關事宜。爰行政院</w:t>
      </w:r>
      <w:r w:rsidRPr="00715E34">
        <w:rPr>
          <w:rFonts w:hAnsi="標楷體" w:hint="eastAsia"/>
        </w:rPr>
        <w:t>允</w:t>
      </w:r>
      <w:r w:rsidRPr="00715E34">
        <w:rPr>
          <w:rFonts w:hAnsi="標楷體"/>
        </w:rPr>
        <w:t>宜</w:t>
      </w:r>
      <w:r w:rsidRPr="00715E34">
        <w:rPr>
          <w:rFonts w:hAnsi="標楷體" w:hint="eastAsia"/>
        </w:rPr>
        <w:t>加強推動環境資源部之成立，並</w:t>
      </w:r>
      <w:r w:rsidRPr="00715E34">
        <w:rPr>
          <w:rFonts w:hAnsi="標楷體"/>
        </w:rPr>
        <w:t>落實「水庫集水區保育綱要」中推動成立水庫集水區（或流域）管理局相關措施，俾強化集水區內水土林資源之整合與災害防治能力</w:t>
      </w:r>
      <w:r w:rsidRPr="00715E34">
        <w:rPr>
          <w:rFonts w:hAnsi="標楷體" w:hint="eastAsia"/>
        </w:rPr>
        <w:t>；在環境資源部未成立前，行政院宜督促所屬機關加強橫向聯繫，以強化水庫集水區管理及治理工作</w:t>
      </w:r>
      <w:r w:rsidRPr="00715E34">
        <w:rPr>
          <w:rFonts w:hAnsi="標楷體"/>
        </w:rPr>
        <w:t>。</w:t>
      </w:r>
    </w:p>
    <w:p w:rsidR="00473050" w:rsidRPr="00715E34" w:rsidRDefault="00473050" w:rsidP="00232C83">
      <w:pPr>
        <w:pStyle w:val="3"/>
        <w:kinsoku w:val="0"/>
        <w:overflowPunct/>
        <w:topLinePunct/>
        <w:autoSpaceDE/>
        <w:autoSpaceDN/>
        <w:ind w:left="1393" w:hanging="697"/>
        <w:rPr>
          <w:rFonts w:hAnsi="標楷體"/>
        </w:rPr>
      </w:pPr>
      <w:r w:rsidRPr="00715E34">
        <w:rPr>
          <w:rFonts w:hAnsi="標楷體"/>
        </w:rPr>
        <w:t>綜上</w:t>
      </w:r>
      <w:r w:rsidRPr="00715E34">
        <w:rPr>
          <w:rFonts w:hAnsi="標楷體" w:hint="eastAsia"/>
        </w:rPr>
        <w:t>據論</w:t>
      </w:r>
      <w:r w:rsidR="00B52B0B" w:rsidRPr="00715E34">
        <w:rPr>
          <w:rFonts w:hAnsi="標楷體"/>
        </w:rPr>
        <w:t>，</w:t>
      </w:r>
      <w:r w:rsidR="009D04B9">
        <w:rPr>
          <w:rFonts w:hAnsi="標楷體" w:hint="eastAsia"/>
        </w:rPr>
        <w:t>臺灣</w:t>
      </w:r>
      <w:r w:rsidRPr="00715E34">
        <w:rPr>
          <w:rFonts w:hAnsi="標楷體"/>
        </w:rPr>
        <w:t>山高水急，地質活動頻繁，</w:t>
      </w:r>
      <w:r w:rsidRPr="00715E34">
        <w:rPr>
          <w:rFonts w:hAnsi="標楷體" w:hint="eastAsia"/>
        </w:rPr>
        <w:t>加強</w:t>
      </w:r>
      <w:r w:rsidRPr="00715E34">
        <w:rPr>
          <w:rFonts w:hAnsi="標楷體"/>
        </w:rPr>
        <w:t>水庫集水區治理以求永續水庫功能，應為政府施政重點。</w:t>
      </w:r>
      <w:r w:rsidRPr="00715E34">
        <w:rPr>
          <w:rFonts w:hAnsi="標楷體" w:hint="eastAsia"/>
        </w:rPr>
        <w:t>按現行</w:t>
      </w:r>
      <w:r w:rsidRPr="00715E34">
        <w:rPr>
          <w:rFonts w:hAnsi="標楷體"/>
        </w:rPr>
        <w:t>「水庫集水區保育綱要」</w:t>
      </w:r>
      <w:r w:rsidRPr="00715E34">
        <w:rPr>
          <w:rFonts w:hAnsi="標楷體" w:hint="eastAsia"/>
        </w:rPr>
        <w:t>明定，</w:t>
      </w:r>
      <w:r w:rsidRPr="00715E34">
        <w:rPr>
          <w:rFonts w:hAnsi="標楷體"/>
        </w:rPr>
        <w:t>水庫集水區</w:t>
      </w:r>
      <w:r w:rsidRPr="00715E34">
        <w:rPr>
          <w:rFonts w:hAnsi="標楷體" w:hint="eastAsia"/>
        </w:rPr>
        <w:t>範圍</w:t>
      </w:r>
      <w:r w:rsidRPr="00715E34">
        <w:rPr>
          <w:rFonts w:hAnsi="標楷體"/>
        </w:rPr>
        <w:t>水土保持</w:t>
      </w:r>
      <w:r w:rsidRPr="00715E34">
        <w:rPr>
          <w:rFonts w:hAnsi="標楷體" w:hint="eastAsia"/>
        </w:rPr>
        <w:t>相關</w:t>
      </w:r>
      <w:r w:rsidRPr="00715E34">
        <w:rPr>
          <w:rFonts w:hAnsi="標楷體"/>
        </w:rPr>
        <w:t>工程</w:t>
      </w:r>
      <w:r w:rsidRPr="00715E34">
        <w:rPr>
          <w:rFonts w:hAnsi="標楷體" w:hint="eastAsia"/>
        </w:rPr>
        <w:t>，係由相關</w:t>
      </w:r>
      <w:r w:rsidRPr="00715E34">
        <w:rPr>
          <w:rFonts w:hAnsi="標楷體"/>
        </w:rPr>
        <w:t>機關</w:t>
      </w:r>
      <w:r w:rsidRPr="00715E34">
        <w:rPr>
          <w:rFonts w:hAnsi="標楷體" w:hint="eastAsia"/>
        </w:rPr>
        <w:t>依</w:t>
      </w:r>
      <w:r w:rsidRPr="00715E34">
        <w:rPr>
          <w:rFonts w:hAnsi="標楷體"/>
        </w:rPr>
        <w:t>業務權責及專長分工治理，</w:t>
      </w:r>
      <w:r w:rsidRPr="00715E34">
        <w:rPr>
          <w:rFonts w:hAnsi="標楷體" w:hint="eastAsia"/>
        </w:rPr>
        <w:t>災害發生時依災害防救法規</w:t>
      </w:r>
      <w:r w:rsidRPr="00715E34">
        <w:rPr>
          <w:rFonts w:hAnsi="標楷體" w:hint="eastAsia"/>
        </w:rPr>
        <w:lastRenderedPageBreak/>
        <w:t>定分工救災，以及災後依據「</w:t>
      </w:r>
      <w:r w:rsidRPr="00715E34">
        <w:rPr>
          <w:rFonts w:hAnsi="標楷體"/>
        </w:rPr>
        <w:t>坡地崩塌防災權責分工表</w:t>
      </w:r>
      <w:r w:rsidRPr="00715E34">
        <w:rPr>
          <w:rFonts w:hAnsi="標楷體" w:hint="eastAsia"/>
        </w:rPr>
        <w:t>」辦理坡地災害點復原工作，在在彰顯水庫集水區面臨災害來襲時權責機關橫向聯繫機制之重要性；然由</w:t>
      </w:r>
      <w:r w:rsidRPr="00715E34">
        <w:rPr>
          <w:rFonts w:hAnsi="標楷體"/>
        </w:rPr>
        <w:t>蘇迪勒颱風肇致南勢溪上游嚴重災害，</w:t>
      </w:r>
      <w:r w:rsidRPr="00715E34">
        <w:rPr>
          <w:rFonts w:hAnsi="標楷體" w:hint="eastAsia"/>
        </w:rPr>
        <w:t>暴露相關權責機關仍各自為政</w:t>
      </w:r>
      <w:r w:rsidRPr="00715E34">
        <w:rPr>
          <w:rFonts w:hAnsi="標楷體"/>
        </w:rPr>
        <w:t>，欠缺統籌整合機關</w:t>
      </w:r>
      <w:r w:rsidRPr="00715E34">
        <w:rPr>
          <w:rFonts w:hAnsi="標楷體" w:hint="eastAsia"/>
        </w:rPr>
        <w:t>。行政院允宜督促所屬機關加強橫向聯繫，積極推動治理機關之設置，統合水庫集水區管理及治理工作，以強化集水區內水土保持及災害防治與應變能力。</w:t>
      </w:r>
    </w:p>
    <w:p w:rsidR="00493F8C" w:rsidRPr="00EB549F" w:rsidRDefault="00493F8C" w:rsidP="00232C83">
      <w:pPr>
        <w:pStyle w:val="2"/>
        <w:widowControl/>
        <w:suppressAutoHyphens/>
        <w:topLinePunct/>
        <w:autoSpaceDE/>
        <w:autoSpaceDN/>
        <w:spacing w:beforeLines="25" w:before="114"/>
        <w:ind w:left="1020" w:hanging="680"/>
        <w:textAlignment w:val="center"/>
        <w:rPr>
          <w:rFonts w:hAnsi="標楷體"/>
          <w:b/>
        </w:rPr>
      </w:pPr>
      <w:bookmarkStart w:id="96" w:name="_Toc458000635"/>
      <w:r w:rsidRPr="00715E34">
        <w:rPr>
          <w:rFonts w:hAnsi="標楷體"/>
          <w:b/>
          <w:szCs w:val="32"/>
        </w:rPr>
        <w:t>國內自來水管線老舊且汰換緩慢，漏水率偏高，每年漏失自來水量約達10億</w:t>
      </w:r>
      <w:r w:rsidR="00E13AC3" w:rsidRPr="00715E34">
        <w:rPr>
          <w:rFonts w:hAnsi="標楷體"/>
          <w:b/>
          <w:szCs w:val="32"/>
        </w:rPr>
        <w:t>立方公尺</w:t>
      </w:r>
      <w:r w:rsidRPr="00715E34">
        <w:rPr>
          <w:rFonts w:hAnsi="標楷體"/>
          <w:b/>
          <w:szCs w:val="32"/>
        </w:rPr>
        <w:t>，等同2.5</w:t>
      </w:r>
      <w:r w:rsidR="00C82696" w:rsidRPr="00715E34">
        <w:rPr>
          <w:rFonts w:hAnsi="標楷體" w:hint="eastAsia"/>
          <w:b/>
          <w:szCs w:val="32"/>
        </w:rPr>
        <w:t>座</w:t>
      </w:r>
      <w:r w:rsidRPr="00715E34">
        <w:rPr>
          <w:rFonts w:hAnsi="標楷體"/>
          <w:b/>
          <w:szCs w:val="32"/>
        </w:rPr>
        <w:t>石門水庫蓄水量；而農業用水於圳道輸送過程中損失約50億</w:t>
      </w:r>
      <w:r w:rsidR="00E13AC3" w:rsidRPr="00715E34">
        <w:rPr>
          <w:rFonts w:hAnsi="標楷體"/>
          <w:b/>
          <w:szCs w:val="32"/>
        </w:rPr>
        <w:t>立方公尺</w:t>
      </w:r>
      <w:r w:rsidRPr="00715E34">
        <w:rPr>
          <w:rFonts w:hAnsi="標楷體"/>
          <w:b/>
          <w:szCs w:val="32"/>
        </w:rPr>
        <w:t>，共計60億</w:t>
      </w:r>
      <w:r w:rsidR="00E13AC3" w:rsidRPr="00715E34">
        <w:rPr>
          <w:rFonts w:hAnsi="標楷體"/>
          <w:b/>
          <w:szCs w:val="32"/>
        </w:rPr>
        <w:t>立方公尺</w:t>
      </w:r>
      <w:r w:rsidRPr="00715E34">
        <w:rPr>
          <w:rFonts w:hAnsi="標楷體"/>
          <w:b/>
          <w:szCs w:val="32"/>
        </w:rPr>
        <w:t>珍貴水資源流失浪費，</w:t>
      </w:r>
      <w:r w:rsidRPr="00EB549F">
        <w:rPr>
          <w:rFonts w:hAnsi="標楷體"/>
          <w:b/>
          <w:szCs w:val="32"/>
        </w:rPr>
        <w:t>相關權責機關</w:t>
      </w:r>
      <w:r w:rsidR="00EB549F" w:rsidRPr="00EB549F">
        <w:rPr>
          <w:rFonts w:hAnsi="標楷體" w:hint="eastAsia"/>
          <w:b/>
          <w:szCs w:val="32"/>
        </w:rPr>
        <w:t>顯未善盡水資源管理之能事，確有怠失</w:t>
      </w:r>
      <w:bookmarkEnd w:id="96"/>
    </w:p>
    <w:p w:rsidR="00493F8C" w:rsidRPr="00715E34" w:rsidRDefault="00493F8C" w:rsidP="00232C83">
      <w:pPr>
        <w:pStyle w:val="3"/>
        <w:widowControl/>
        <w:suppressAutoHyphens/>
        <w:topLinePunct/>
        <w:autoSpaceDE/>
        <w:autoSpaceDN/>
        <w:textAlignment w:val="center"/>
        <w:rPr>
          <w:rFonts w:hAnsi="標楷體"/>
          <w:szCs w:val="32"/>
        </w:rPr>
      </w:pPr>
      <w:r w:rsidRPr="00715E34">
        <w:rPr>
          <w:rFonts w:hAnsi="標楷體"/>
        </w:rPr>
        <w:t>據台水公司查復，前於93年至101年間推動「降低漏水率實施計畫」，102年接續推動「降低漏水率計畫（102至111年）」，並自籌借貸辦理，預計每年以管線汰換率1%為原則，預計10年總計汰換管線6,00</w:t>
      </w:r>
      <w:r w:rsidRPr="00715E34">
        <w:rPr>
          <w:rFonts w:hAnsi="標楷體"/>
          <w:szCs w:val="32"/>
        </w:rPr>
        <w:t>0公里。而96年至103年自來水管線年平均汰換長度約600公里，年汰換率約為1%（總管線長度約為6萬公里）。另截至103年底，該公司之自來水漏水率已降至18.04%，符合103年度計畫目標18.25%，預期110年漏水率應可達成降至15%等語。</w:t>
      </w:r>
    </w:p>
    <w:p w:rsidR="00493F8C" w:rsidRPr="00715E34" w:rsidRDefault="00493F8C" w:rsidP="00232C83">
      <w:pPr>
        <w:pStyle w:val="3"/>
        <w:widowControl/>
        <w:suppressAutoHyphens/>
        <w:topLinePunct/>
        <w:autoSpaceDE/>
        <w:autoSpaceDN/>
        <w:textAlignment w:val="center"/>
        <w:rPr>
          <w:rFonts w:hAnsi="標楷體"/>
          <w:szCs w:val="32"/>
        </w:rPr>
      </w:pPr>
      <w:r w:rsidRPr="00715E34">
        <w:rPr>
          <w:rFonts w:hAnsi="標楷體"/>
          <w:szCs w:val="32"/>
        </w:rPr>
        <w:t>本院前</w:t>
      </w:r>
      <w:r w:rsidRPr="00715E34">
        <w:rPr>
          <w:rFonts w:hAnsi="標楷體" w:hint="eastAsia"/>
          <w:szCs w:val="32"/>
        </w:rPr>
        <w:t>於</w:t>
      </w:r>
      <w:r w:rsidRPr="00715E34">
        <w:rPr>
          <w:rFonts w:hAnsi="標楷體"/>
          <w:szCs w:val="32"/>
        </w:rPr>
        <w:t>100年2月24日</w:t>
      </w:r>
      <w:r w:rsidRPr="00715E34">
        <w:rPr>
          <w:rFonts w:hAnsi="標楷體" w:hint="eastAsia"/>
          <w:szCs w:val="32"/>
        </w:rPr>
        <w:t>就</w:t>
      </w:r>
      <w:r w:rsidRPr="00715E34">
        <w:rPr>
          <w:rFonts w:hAnsi="標楷體"/>
          <w:szCs w:val="32"/>
        </w:rPr>
        <w:t>地下水管漏水情形嚴重等相關問題進行調查</w:t>
      </w:r>
      <w:r w:rsidRPr="00715E34">
        <w:rPr>
          <w:rFonts w:hAnsi="標楷體" w:hint="eastAsia"/>
          <w:szCs w:val="32"/>
        </w:rPr>
        <w:t>（</w:t>
      </w:r>
      <w:r w:rsidRPr="00715E34">
        <w:rPr>
          <w:rFonts w:hAnsi="標楷體"/>
          <w:szCs w:val="32"/>
        </w:rPr>
        <w:t>院台調壹字第10008000580號函</w:t>
      </w:r>
      <w:r w:rsidRPr="00715E34">
        <w:rPr>
          <w:rFonts w:hAnsi="標楷體" w:hint="eastAsia"/>
          <w:szCs w:val="32"/>
        </w:rPr>
        <w:t>），發現台水公司</w:t>
      </w:r>
      <w:r w:rsidRPr="00715E34">
        <w:rPr>
          <w:rFonts w:hAnsi="標楷體"/>
          <w:szCs w:val="32"/>
        </w:rPr>
        <w:t>過去為積極提高用水普及率，多採用經濟管種，如PVCP塑膠管（占全部管線64.6%），其耐震、抗壓或耐蝕能力、水密性等不</w:t>
      </w:r>
      <w:r w:rsidRPr="00715E34">
        <w:rPr>
          <w:rFonts w:hAnsi="標楷體"/>
          <w:szCs w:val="32"/>
        </w:rPr>
        <w:lastRenderedPageBreak/>
        <w:t>足，經車輛輾壓、地震、老化等原因，導致管路漏水。</w:t>
      </w:r>
      <w:r w:rsidRPr="00715E34">
        <w:rPr>
          <w:rFonts w:hAnsi="標楷體" w:hint="eastAsia"/>
          <w:szCs w:val="32"/>
        </w:rPr>
        <w:t>該</w:t>
      </w:r>
      <w:r w:rsidRPr="00715E34">
        <w:rPr>
          <w:rFonts w:hAnsi="標楷體"/>
          <w:szCs w:val="32"/>
        </w:rPr>
        <w:t>公司99年漏水率為20.51%，與鄰近國家新加坡、日本等介於6%</w:t>
      </w:r>
      <w:r w:rsidRPr="00715E34">
        <w:rPr>
          <w:rFonts w:hAnsi="標楷體" w:hint="eastAsia"/>
          <w:szCs w:val="32"/>
        </w:rPr>
        <w:t>至</w:t>
      </w:r>
      <w:r w:rsidRPr="00715E34">
        <w:rPr>
          <w:rFonts w:hAnsi="標楷體"/>
          <w:szCs w:val="32"/>
        </w:rPr>
        <w:t>8%之間比較，</w:t>
      </w:r>
      <w:r w:rsidRPr="00715E34">
        <w:rPr>
          <w:rFonts w:hAnsi="標楷體" w:hint="eastAsia"/>
          <w:szCs w:val="32"/>
        </w:rPr>
        <w:t>顯</w:t>
      </w:r>
      <w:r w:rsidRPr="00715E34">
        <w:rPr>
          <w:rFonts w:hAnsi="標楷體"/>
          <w:szCs w:val="32"/>
        </w:rPr>
        <w:t>屬偏高</w:t>
      </w:r>
      <w:r w:rsidRPr="00715E34">
        <w:rPr>
          <w:rFonts w:hAnsi="標楷體" w:hint="eastAsia"/>
          <w:szCs w:val="32"/>
        </w:rPr>
        <w:t>。又</w:t>
      </w:r>
      <w:r w:rsidRPr="00715E34">
        <w:rPr>
          <w:rFonts w:hAnsi="標楷體"/>
          <w:szCs w:val="32"/>
        </w:rPr>
        <w:t>迄99年止，逾齡管線長度為17,707公里，</w:t>
      </w:r>
      <w:r w:rsidRPr="00715E34">
        <w:rPr>
          <w:rFonts w:hAnsi="標楷體" w:hint="eastAsia"/>
          <w:szCs w:val="32"/>
        </w:rPr>
        <w:t>占</w:t>
      </w:r>
      <w:r w:rsidRPr="00715E34">
        <w:rPr>
          <w:rFonts w:hAnsi="標楷體"/>
          <w:szCs w:val="32"/>
        </w:rPr>
        <w:t>全部管線30.95%，12年後逾齡管線將續增至40,295公里</w:t>
      </w:r>
      <w:r w:rsidRPr="00715E34">
        <w:rPr>
          <w:rFonts w:hAnsi="標楷體" w:hint="eastAsia"/>
          <w:szCs w:val="32"/>
        </w:rPr>
        <w:t>。</w:t>
      </w:r>
      <w:r w:rsidRPr="00715E34">
        <w:rPr>
          <w:rFonts w:hAnsi="標楷體"/>
          <w:szCs w:val="32"/>
        </w:rPr>
        <w:t>由日本東京都水道局全面汰換管線經驗可知，50年間投入管線汰換經費折合新</w:t>
      </w:r>
      <w:r w:rsidRPr="00715E34">
        <w:rPr>
          <w:rFonts w:hAnsi="標楷體" w:hint="eastAsia"/>
          <w:szCs w:val="32"/>
        </w:rPr>
        <w:t>臺</w:t>
      </w:r>
      <w:r w:rsidRPr="00715E34">
        <w:rPr>
          <w:rFonts w:hAnsi="標楷體"/>
          <w:szCs w:val="32"/>
        </w:rPr>
        <w:t>幣為6,723億元，減少漏水率42.9%，平均每降低1%需156.7億元（東京都水道局2002年管線總長度為24,530</w:t>
      </w:r>
      <w:r w:rsidRPr="00715E34">
        <w:rPr>
          <w:rFonts w:hAnsi="標楷體" w:hint="eastAsia"/>
          <w:szCs w:val="32"/>
        </w:rPr>
        <w:t>公里</w:t>
      </w:r>
      <w:r w:rsidRPr="00715E34">
        <w:rPr>
          <w:rFonts w:hAnsi="標楷體"/>
          <w:szCs w:val="32"/>
        </w:rPr>
        <w:t>，台水公司為54,983</w:t>
      </w:r>
      <w:r w:rsidRPr="00715E34">
        <w:rPr>
          <w:rFonts w:hAnsi="標楷體" w:hint="eastAsia"/>
          <w:szCs w:val="32"/>
        </w:rPr>
        <w:t>公里</w:t>
      </w:r>
      <w:r w:rsidRPr="00715E34">
        <w:rPr>
          <w:rFonts w:hAnsi="標楷體"/>
          <w:szCs w:val="32"/>
        </w:rPr>
        <w:t>，高達2.24倍）</w:t>
      </w:r>
      <w:r w:rsidRPr="00715E34">
        <w:rPr>
          <w:rFonts w:hAnsi="標楷體" w:hint="eastAsia"/>
          <w:szCs w:val="32"/>
        </w:rPr>
        <w:t>，</w:t>
      </w:r>
      <w:r w:rsidR="00FA2E71" w:rsidRPr="00715E34">
        <w:rPr>
          <w:rFonts w:hAnsi="標楷體"/>
          <w:szCs w:val="32"/>
        </w:rPr>
        <w:t>然因</w:t>
      </w:r>
      <w:r w:rsidRPr="00715E34">
        <w:rPr>
          <w:rFonts w:hAnsi="標楷體"/>
          <w:szCs w:val="32"/>
        </w:rPr>
        <w:t>國</w:t>
      </w:r>
      <w:r w:rsidR="00FA2E71" w:rsidRPr="00715E34">
        <w:rPr>
          <w:rFonts w:hAnsi="標楷體" w:hint="eastAsia"/>
          <w:szCs w:val="32"/>
        </w:rPr>
        <w:t>內</w:t>
      </w:r>
      <w:r w:rsidRPr="00715E34">
        <w:rPr>
          <w:rFonts w:hAnsi="標楷體"/>
          <w:szCs w:val="32"/>
        </w:rPr>
        <w:t>水價長期偏低，導致乏缺充足經費加速管線的改善更新，造成自來水輸送過程中漏損嚴重，每年漏失的水量高達約10億</w:t>
      </w:r>
      <w:r w:rsidR="00E13AC3" w:rsidRPr="00715E34">
        <w:rPr>
          <w:rFonts w:hAnsi="標楷體" w:hint="eastAsia"/>
          <w:szCs w:val="32"/>
        </w:rPr>
        <w:t>立方公尺</w:t>
      </w:r>
      <w:r w:rsidRPr="00715E34">
        <w:rPr>
          <w:rFonts w:hAnsi="標楷體"/>
          <w:szCs w:val="32"/>
        </w:rPr>
        <w:t>，不僅是水資源的損失與浪費，也造成國內缺水危機。</w:t>
      </w:r>
    </w:p>
    <w:p w:rsidR="00493F8C" w:rsidRPr="00715E34" w:rsidRDefault="00493F8C" w:rsidP="00232C83">
      <w:pPr>
        <w:pStyle w:val="3"/>
        <w:widowControl/>
        <w:suppressAutoHyphens/>
        <w:topLinePunct/>
        <w:autoSpaceDE/>
        <w:autoSpaceDN/>
        <w:textAlignment w:val="center"/>
        <w:rPr>
          <w:rFonts w:hAnsi="標楷體"/>
        </w:rPr>
      </w:pPr>
      <w:r w:rsidRPr="00715E34">
        <w:rPr>
          <w:rFonts w:hAnsi="標楷體"/>
          <w:szCs w:val="32"/>
        </w:rPr>
        <w:t>本院諮詢歐陽理事長</w:t>
      </w:r>
      <w:r w:rsidR="00A47126">
        <w:rPr>
          <w:rFonts w:hAnsi="標楷體"/>
          <w:szCs w:val="32"/>
        </w:rPr>
        <w:t>○○</w:t>
      </w:r>
      <w:r w:rsidRPr="00715E34">
        <w:rPr>
          <w:rFonts w:hAnsi="標楷體"/>
          <w:szCs w:val="32"/>
        </w:rPr>
        <w:t>指出：國際自來水協會建議1.5%年汰換率，台水公司管線汰換率僅1</w:t>
      </w:r>
      <w:r w:rsidRPr="00715E34">
        <w:rPr>
          <w:rFonts w:hAnsi="標楷體"/>
        </w:rPr>
        <w:t>%，</w:t>
      </w:r>
      <w:r w:rsidRPr="00715E34">
        <w:rPr>
          <w:rFonts w:hAnsi="標楷體"/>
          <w:szCs w:val="32"/>
        </w:rPr>
        <w:t>100年以上才更新</w:t>
      </w:r>
      <w:r w:rsidRPr="00715E34">
        <w:rPr>
          <w:rFonts w:hAnsi="標楷體" w:hint="eastAsia"/>
          <w:szCs w:val="32"/>
        </w:rPr>
        <w:t>1</w:t>
      </w:r>
      <w:r w:rsidRPr="00715E34">
        <w:rPr>
          <w:rFonts w:hAnsi="標楷體"/>
          <w:szCs w:val="32"/>
        </w:rPr>
        <w:t>次，汰換比率偏低，而管線已有80</w:t>
      </w:r>
      <w:r w:rsidRPr="00715E34">
        <w:rPr>
          <w:rFonts w:hAnsi="標楷體"/>
        </w:rPr>
        <w:t>%</w:t>
      </w:r>
      <w:r w:rsidRPr="00715E34">
        <w:rPr>
          <w:rFonts w:hAnsi="標楷體"/>
          <w:szCs w:val="32"/>
        </w:rPr>
        <w:t>以上超過使用年限，倘若未能加速管線更新改善，將使自來水系統有整體性破敗的危機，而漏水量大於修復量，所以會愈來愈缺水；</w:t>
      </w:r>
      <w:r w:rsidRPr="00715E34">
        <w:rPr>
          <w:rFonts w:hAnsi="標楷體" w:hint="eastAsia"/>
        </w:rPr>
        <w:t>台水</w:t>
      </w:r>
      <w:r w:rsidRPr="00715E34">
        <w:rPr>
          <w:rFonts w:hAnsi="標楷體"/>
        </w:rPr>
        <w:t>公司101年供應31億</w:t>
      </w:r>
      <w:r w:rsidR="00E13AC3" w:rsidRPr="00715E34">
        <w:rPr>
          <w:rFonts w:hAnsi="標楷體" w:hint="eastAsia"/>
        </w:rPr>
        <w:t>立方公尺</w:t>
      </w:r>
      <w:r w:rsidRPr="00715E34">
        <w:rPr>
          <w:rFonts w:hAnsi="標楷體"/>
        </w:rPr>
        <w:t>的水，有收到費用的僅為22.5億</w:t>
      </w:r>
      <w:r w:rsidR="00E13AC3" w:rsidRPr="00715E34">
        <w:rPr>
          <w:rFonts w:hAnsi="標楷體" w:hint="eastAsia"/>
        </w:rPr>
        <w:t>立方公尺</w:t>
      </w:r>
      <w:r w:rsidRPr="00715E34">
        <w:rPr>
          <w:rFonts w:hAnsi="標楷體"/>
        </w:rPr>
        <w:t>，供水效率僅為70%，相當於50年前日本的水準，漏掉損失約10億</w:t>
      </w:r>
      <w:r w:rsidR="00E13AC3" w:rsidRPr="00715E34">
        <w:rPr>
          <w:rFonts w:hAnsi="標楷體" w:hint="eastAsia"/>
        </w:rPr>
        <w:t>立方公尺</w:t>
      </w:r>
      <w:r w:rsidRPr="00715E34">
        <w:rPr>
          <w:rFonts w:hAnsi="標楷體"/>
        </w:rPr>
        <w:t>的水。而梁董事長</w:t>
      </w:r>
      <w:r w:rsidR="00A47126">
        <w:rPr>
          <w:rFonts w:hAnsi="標楷體"/>
        </w:rPr>
        <w:t>○○</w:t>
      </w:r>
      <w:r w:rsidRPr="00715E34">
        <w:rPr>
          <w:rFonts w:hAnsi="標楷體"/>
        </w:rPr>
        <w:t>也提及：因台水公司無力進行管線</w:t>
      </w:r>
      <w:r w:rsidR="004C0212" w:rsidRPr="00715E34">
        <w:rPr>
          <w:rFonts w:hAnsi="標楷體"/>
        </w:rPr>
        <w:t>維修，漏水率偏高，</w:t>
      </w:r>
      <w:r w:rsidRPr="00715E34">
        <w:rPr>
          <w:rFonts w:hAnsi="標楷體"/>
        </w:rPr>
        <w:t>國</w:t>
      </w:r>
      <w:r w:rsidR="004C0212" w:rsidRPr="00715E34">
        <w:rPr>
          <w:rFonts w:hAnsi="標楷體" w:hint="eastAsia"/>
        </w:rPr>
        <w:t>內</w:t>
      </w:r>
      <w:r w:rsidRPr="00715E34">
        <w:rPr>
          <w:rFonts w:hAnsi="標楷體"/>
        </w:rPr>
        <w:t>漏水率達18%，遠高於日本（東京）的3%，每年漏水達10億</w:t>
      </w:r>
      <w:r w:rsidR="00E13AC3" w:rsidRPr="00715E34">
        <w:rPr>
          <w:rFonts w:hAnsi="標楷體"/>
        </w:rPr>
        <w:t>立方公尺</w:t>
      </w:r>
      <w:r w:rsidRPr="00715E34">
        <w:rPr>
          <w:rFonts w:hAnsi="標楷體"/>
        </w:rPr>
        <w:t>，約2.5</w:t>
      </w:r>
      <w:r w:rsidR="00C82696" w:rsidRPr="00715E34">
        <w:rPr>
          <w:rFonts w:hAnsi="標楷體" w:hint="eastAsia"/>
        </w:rPr>
        <w:t>座</w:t>
      </w:r>
      <w:r w:rsidRPr="00715E34">
        <w:rPr>
          <w:rFonts w:hAnsi="標楷體"/>
        </w:rPr>
        <w:t>石門水庫</w:t>
      </w:r>
      <w:r w:rsidRPr="00715E34">
        <w:rPr>
          <w:rFonts w:hAnsi="標楷體" w:hint="eastAsia"/>
        </w:rPr>
        <w:t>蓄水量</w:t>
      </w:r>
      <w:r w:rsidRPr="00715E34">
        <w:rPr>
          <w:rFonts w:hAnsi="標楷體"/>
        </w:rPr>
        <w:t>。足徵自來水管線老舊及汰換緩慢，為導致漏水率偏高之主因。</w:t>
      </w:r>
    </w:p>
    <w:p w:rsidR="00493F8C" w:rsidRPr="00715E34" w:rsidRDefault="00493F8C" w:rsidP="00232C83">
      <w:pPr>
        <w:pStyle w:val="3"/>
        <w:widowControl/>
        <w:suppressAutoHyphens/>
        <w:topLinePunct/>
        <w:autoSpaceDE/>
        <w:autoSpaceDN/>
        <w:textAlignment w:val="center"/>
        <w:rPr>
          <w:rFonts w:hAnsi="標楷體"/>
        </w:rPr>
      </w:pPr>
      <w:r w:rsidRPr="00715E34">
        <w:rPr>
          <w:rFonts w:hAnsi="標楷體"/>
          <w:szCs w:val="32"/>
        </w:rPr>
        <w:t>另詢據農委會雖稱，</w:t>
      </w:r>
      <w:r w:rsidRPr="00715E34">
        <w:rPr>
          <w:rFonts w:hAnsi="標楷體"/>
          <w:kern w:val="0"/>
          <w:szCs w:val="32"/>
        </w:rPr>
        <w:t>自90年起推動執行「加強農田水利建設計畫」改善渠道輸漏水損失，至104年6</w:t>
      </w:r>
      <w:r w:rsidRPr="00715E34">
        <w:rPr>
          <w:rFonts w:hAnsi="標楷體"/>
          <w:kern w:val="0"/>
          <w:szCs w:val="32"/>
        </w:rPr>
        <w:lastRenderedPageBreak/>
        <w:t>月，累計完成4,915公里（每年約300公里），占總灌溉排水系統長度7萬公里之7%，減少3.44億</w:t>
      </w:r>
      <w:r w:rsidR="00E13AC3" w:rsidRPr="00715E34">
        <w:rPr>
          <w:rFonts w:hAnsi="標楷體" w:hint="eastAsia"/>
          <w:kern w:val="0"/>
          <w:szCs w:val="32"/>
        </w:rPr>
        <w:t>立方公尺</w:t>
      </w:r>
      <w:r w:rsidRPr="00715E34">
        <w:rPr>
          <w:rFonts w:hAnsi="標楷體"/>
          <w:kern w:val="0"/>
          <w:szCs w:val="32"/>
        </w:rPr>
        <w:t>輸水損失量（每公里可節水7萬</w:t>
      </w:r>
      <w:r w:rsidR="00E13AC3" w:rsidRPr="00715E34">
        <w:rPr>
          <w:rFonts w:hAnsi="標楷體" w:hint="eastAsia"/>
          <w:kern w:val="0"/>
          <w:szCs w:val="32"/>
        </w:rPr>
        <w:t>立方公尺</w:t>
      </w:r>
      <w:r w:rsidRPr="00715E34">
        <w:rPr>
          <w:rFonts w:hAnsi="標楷體"/>
          <w:kern w:val="0"/>
          <w:szCs w:val="32"/>
        </w:rPr>
        <w:t>）云云；然</w:t>
      </w:r>
      <w:r w:rsidRPr="00715E34">
        <w:rPr>
          <w:rFonts w:hAnsi="標楷體"/>
          <w:szCs w:val="32"/>
        </w:rPr>
        <w:t>本院諮詢歐陽理事長</w:t>
      </w:r>
      <w:r w:rsidR="00A47126">
        <w:rPr>
          <w:rFonts w:hAnsi="標楷體"/>
          <w:szCs w:val="32"/>
        </w:rPr>
        <w:t>○○</w:t>
      </w:r>
      <w:r w:rsidRPr="00715E34">
        <w:rPr>
          <w:rFonts w:hAnsi="標楷體"/>
          <w:szCs w:val="32"/>
        </w:rPr>
        <w:t>仍指出：</w:t>
      </w:r>
      <w:r w:rsidRPr="00715E34">
        <w:rPr>
          <w:rFonts w:hAnsi="標楷體" w:hint="eastAsia"/>
          <w:szCs w:val="32"/>
        </w:rPr>
        <w:t>國內</w:t>
      </w:r>
      <w:r w:rsidRPr="00715E34">
        <w:rPr>
          <w:rFonts w:hAnsi="標楷體"/>
          <w:szCs w:val="32"/>
        </w:rPr>
        <w:t>的農業用水，水庫共供應6億8千萬</w:t>
      </w:r>
      <w:r w:rsidR="00E13AC3" w:rsidRPr="00715E34">
        <w:rPr>
          <w:rFonts w:hAnsi="標楷體" w:hint="eastAsia"/>
          <w:szCs w:val="32"/>
        </w:rPr>
        <w:t>立方公尺</w:t>
      </w:r>
      <w:r w:rsidRPr="00715E34">
        <w:rPr>
          <w:rFonts w:hAnsi="標楷體"/>
          <w:szCs w:val="32"/>
        </w:rPr>
        <w:t>，在送到農田中的圳道損失了36</w:t>
      </w:r>
      <w:r w:rsidRPr="00715E34">
        <w:rPr>
          <w:rFonts w:hAnsi="標楷體"/>
        </w:rPr>
        <w:t>%</w:t>
      </w:r>
      <w:r w:rsidRPr="00715E34">
        <w:rPr>
          <w:rFonts w:hAnsi="標楷體" w:hint="eastAsia"/>
        </w:rPr>
        <w:t>，</w:t>
      </w:r>
      <w:r w:rsidRPr="00715E34">
        <w:rPr>
          <w:rFonts w:hAnsi="標楷體" w:hint="eastAsia"/>
          <w:szCs w:val="32"/>
        </w:rPr>
        <w:t>每年農業總用水量約130億</w:t>
      </w:r>
      <w:r w:rsidR="00E13AC3" w:rsidRPr="00715E34">
        <w:rPr>
          <w:rFonts w:hAnsi="標楷體" w:hint="eastAsia"/>
          <w:szCs w:val="32"/>
        </w:rPr>
        <w:t>立方公尺</w:t>
      </w:r>
      <w:r w:rsidRPr="00715E34">
        <w:rPr>
          <w:rFonts w:hAnsi="標楷體" w:hint="eastAsia"/>
          <w:szCs w:val="32"/>
        </w:rPr>
        <w:t>（含天然河川、水庫及地下水源等），</w:t>
      </w:r>
      <w:r w:rsidRPr="00715E34">
        <w:rPr>
          <w:rFonts w:hAnsi="標楷體"/>
          <w:szCs w:val="32"/>
        </w:rPr>
        <w:t>1年損失約50億</w:t>
      </w:r>
      <w:r w:rsidR="00E13AC3" w:rsidRPr="00715E34">
        <w:rPr>
          <w:rFonts w:hAnsi="標楷體" w:hint="eastAsia"/>
          <w:szCs w:val="32"/>
        </w:rPr>
        <w:t>立方公尺</w:t>
      </w:r>
      <w:r w:rsidRPr="00715E34">
        <w:rPr>
          <w:rFonts w:hAnsi="標楷體"/>
          <w:szCs w:val="32"/>
        </w:rPr>
        <w:t>，農委會每年編列預算維修300公里圳道，但灌溉圳道長約7萬公里，約需240年才能汰換1次，農業用水輸送過程漏失之嚴重可見一斑。</w:t>
      </w:r>
    </w:p>
    <w:p w:rsidR="00442935" w:rsidRPr="00715E34" w:rsidRDefault="00493F8C" w:rsidP="00232C83">
      <w:pPr>
        <w:pStyle w:val="3"/>
        <w:widowControl/>
        <w:suppressAutoHyphens/>
        <w:topLinePunct/>
        <w:autoSpaceDE/>
        <w:autoSpaceDN/>
        <w:textAlignment w:val="center"/>
        <w:rPr>
          <w:rFonts w:hAnsi="標楷體"/>
        </w:rPr>
      </w:pPr>
      <w:r w:rsidRPr="00715E34">
        <w:rPr>
          <w:rFonts w:hAnsi="標楷體"/>
        </w:rPr>
        <w:t>盱衡全球氣候變遷，水資源短缺已是今後必須面對之課題，自應正視並妥為因應。然觀諸國內自來水管線老舊且汰換緩慢，漏水率偏高，每年漏失自來水量高達10億</w:t>
      </w:r>
      <w:r w:rsidR="00E13AC3" w:rsidRPr="00715E34">
        <w:rPr>
          <w:rFonts w:hAnsi="標楷體"/>
        </w:rPr>
        <w:t>立方公尺</w:t>
      </w:r>
      <w:r w:rsidRPr="00715E34">
        <w:rPr>
          <w:rFonts w:hAnsi="標楷體"/>
        </w:rPr>
        <w:t>，等同2.5</w:t>
      </w:r>
      <w:r w:rsidR="00C82696" w:rsidRPr="00715E34">
        <w:rPr>
          <w:rFonts w:hAnsi="標楷體" w:hint="eastAsia"/>
        </w:rPr>
        <w:t>座</w:t>
      </w:r>
      <w:r w:rsidRPr="00715E34">
        <w:rPr>
          <w:rFonts w:hAnsi="標楷體"/>
        </w:rPr>
        <w:t>石門水庫蓄水量，而農業用水於輸送過程中漏失約50億</w:t>
      </w:r>
      <w:r w:rsidR="00E13AC3" w:rsidRPr="00715E34">
        <w:rPr>
          <w:rFonts w:hAnsi="標楷體"/>
        </w:rPr>
        <w:t>立方公尺</w:t>
      </w:r>
      <w:r w:rsidRPr="00715E34">
        <w:rPr>
          <w:rFonts w:hAnsi="標楷體"/>
        </w:rPr>
        <w:t>，共計60億</w:t>
      </w:r>
      <w:r w:rsidR="00E13AC3" w:rsidRPr="00715E34">
        <w:rPr>
          <w:rFonts w:hAnsi="標楷體"/>
        </w:rPr>
        <w:t>立方公尺</w:t>
      </w:r>
      <w:r w:rsidRPr="00715E34">
        <w:rPr>
          <w:rFonts w:hAnsi="標楷體"/>
        </w:rPr>
        <w:t>珍貴水資源徒然流失浪費，值此國內缺水情勢亦日趨嚴峻之際，</w:t>
      </w:r>
      <w:r w:rsidRPr="00715E34">
        <w:rPr>
          <w:rFonts w:hAnsi="標楷體"/>
          <w:szCs w:val="32"/>
        </w:rPr>
        <w:t>相關權責機關責無旁貸</w:t>
      </w:r>
      <w:r w:rsidRPr="00715E34">
        <w:rPr>
          <w:rFonts w:hAnsi="標楷體"/>
        </w:rPr>
        <w:t>，亟應妥謀善策，加速設施汰換。</w:t>
      </w:r>
    </w:p>
    <w:p w:rsidR="00A731DE" w:rsidRPr="00715E34" w:rsidRDefault="00C82696" w:rsidP="00232C83">
      <w:pPr>
        <w:pStyle w:val="2"/>
        <w:topLinePunct/>
        <w:spacing w:beforeLines="25" w:before="114"/>
        <w:ind w:left="1020" w:hanging="680"/>
        <w:rPr>
          <w:rFonts w:hAnsi="標楷體"/>
          <w:b/>
        </w:rPr>
      </w:pPr>
      <w:bookmarkStart w:id="97" w:name="_Toc458000636"/>
      <w:r w:rsidRPr="00715E34">
        <w:rPr>
          <w:rFonts w:hAnsi="標楷體" w:hint="eastAsia"/>
          <w:b/>
        </w:rPr>
        <w:t>經濟部</w:t>
      </w:r>
      <w:r w:rsidRPr="00715E34">
        <w:rPr>
          <w:rFonts w:hAnsi="標楷體"/>
          <w:b/>
        </w:rPr>
        <w:t>及台水公司基於低廉水價政策考量，長期未依自來水法合理反映成本，已嚴重影響台水公司之供水效率及永續經營，顯有違失</w:t>
      </w:r>
      <w:bookmarkEnd w:id="97"/>
    </w:p>
    <w:p w:rsidR="00A731DE" w:rsidRPr="00715E34" w:rsidRDefault="00A731DE" w:rsidP="00232C83">
      <w:pPr>
        <w:pStyle w:val="3"/>
        <w:widowControl/>
        <w:suppressAutoHyphens/>
        <w:topLinePunct/>
        <w:autoSpaceDE/>
        <w:autoSpaceDN/>
        <w:textAlignment w:val="center"/>
        <w:rPr>
          <w:rFonts w:hAnsi="標楷體"/>
        </w:rPr>
      </w:pPr>
      <w:r w:rsidRPr="00715E34">
        <w:rPr>
          <w:rFonts w:hAnsi="標楷體"/>
        </w:rPr>
        <w:t>按</w:t>
      </w:r>
      <w:r w:rsidR="001111C2">
        <w:rPr>
          <w:rFonts w:hAnsi="標楷體" w:hint="eastAsia"/>
        </w:rPr>
        <w:t>自來水法</w:t>
      </w:r>
      <w:r w:rsidRPr="00715E34">
        <w:rPr>
          <w:rFonts w:hAnsi="標楷體"/>
        </w:rPr>
        <w:t>第59條規定，自來水價之訂定，應考量自來水供應品質，以水費收入抵償其所需成本，並獲得合理之利潤；其計算公式及詳細項目，由主管機關訂定；自來水事業依前項規定擬定水價詳細項目或調整水費，應申請主管核定之。另自來水法第8條及國營事業管理法第4條亦揭櫫「以企業方式</w:t>
      </w:r>
      <w:r w:rsidRPr="00715E34">
        <w:rPr>
          <w:rFonts w:hAnsi="標楷體"/>
        </w:rPr>
        <w:lastRenderedPageBreak/>
        <w:t>經營，以事業發展事業」，明確指出自來水事業之經營模式。</w:t>
      </w:r>
    </w:p>
    <w:p w:rsidR="00A731DE" w:rsidRPr="00715E34" w:rsidRDefault="00A731DE" w:rsidP="00C30C6A">
      <w:pPr>
        <w:pStyle w:val="3"/>
        <w:widowControl/>
        <w:suppressAutoHyphens/>
        <w:topLinePunct/>
        <w:autoSpaceDE/>
        <w:autoSpaceDN/>
        <w:ind w:left="1360" w:hanging="680"/>
        <w:textAlignment w:val="center"/>
        <w:rPr>
          <w:rFonts w:hAnsi="標楷體"/>
          <w:sz w:val="30"/>
          <w:szCs w:val="30"/>
        </w:rPr>
      </w:pPr>
      <w:r w:rsidRPr="00715E34">
        <w:rPr>
          <w:rFonts w:hAnsi="標楷體"/>
        </w:rPr>
        <w:t>經查，台水公司</w:t>
      </w:r>
      <w:r w:rsidRPr="00715E34">
        <w:rPr>
          <w:rFonts w:hAnsi="標楷體" w:hint="eastAsia"/>
        </w:rPr>
        <w:t>103年水價10.96元/度，惟水價自</w:t>
      </w:r>
      <w:r w:rsidRPr="00715E34">
        <w:rPr>
          <w:rFonts w:hAnsi="標楷體"/>
        </w:rPr>
        <w:t>83年7月實施迄今未再合理反映調整，此期間</w:t>
      </w:r>
      <w:r w:rsidRPr="00715E34">
        <w:rPr>
          <w:rFonts w:hAnsi="標楷體"/>
          <w:lang w:eastAsia="zh-HK"/>
        </w:rPr>
        <w:t>各項營運成本逐年提高，</w:t>
      </w:r>
      <w:r w:rsidRPr="00715E34">
        <w:rPr>
          <w:rFonts w:hAnsi="標楷體"/>
        </w:rPr>
        <w:t>以致給水收入已不敷成本，95年迄104年總銷售盈虧-65億5,363萬</w:t>
      </w:r>
      <w:r w:rsidRPr="00715E34">
        <w:rPr>
          <w:rFonts w:hAnsi="標楷體" w:hint="eastAsia"/>
        </w:rPr>
        <w:t>元</w:t>
      </w:r>
      <w:r w:rsidRPr="00715E34">
        <w:rPr>
          <w:rFonts w:hAnsi="標楷體"/>
        </w:rPr>
        <w:t>，給水投資報酬率94</w:t>
      </w:r>
      <w:r w:rsidR="00697834" w:rsidRPr="00715E34">
        <w:rPr>
          <w:rFonts w:hAnsi="標楷體" w:hint="eastAsia"/>
        </w:rPr>
        <w:t>年</w:t>
      </w:r>
      <w:r w:rsidRPr="00715E34">
        <w:rPr>
          <w:rFonts w:hAnsi="標楷體"/>
        </w:rPr>
        <w:t>至103年平均-0.24%。又自來水之1度即1,000公升，可分裝</w:t>
      </w:r>
      <w:r w:rsidRPr="00715E34">
        <w:rPr>
          <w:rFonts w:hAnsi="標楷體" w:hint="eastAsia"/>
          <w:lang w:eastAsia="zh-HK"/>
        </w:rPr>
        <w:t>成</w:t>
      </w:r>
      <w:r w:rsidRPr="00715E34">
        <w:rPr>
          <w:rFonts w:hAnsi="標楷體"/>
        </w:rPr>
        <w:t>容量</w:t>
      </w:r>
      <w:r w:rsidRPr="00715E34">
        <w:rPr>
          <w:rFonts w:hAnsi="標楷體" w:hint="eastAsia"/>
        </w:rPr>
        <w:t>1</w:t>
      </w:r>
      <w:r w:rsidRPr="00715E34">
        <w:rPr>
          <w:rFonts w:hAnsi="標楷體" w:hint="eastAsia"/>
          <w:lang w:eastAsia="zh-HK"/>
        </w:rPr>
        <w:t>.5公升</w:t>
      </w:r>
      <w:r w:rsidRPr="00715E34">
        <w:rPr>
          <w:rFonts w:hAnsi="標楷體" w:hint="eastAsia"/>
        </w:rPr>
        <w:t>1</w:t>
      </w:r>
      <w:r w:rsidRPr="00715E34">
        <w:rPr>
          <w:rFonts w:hAnsi="標楷體" w:hint="eastAsia"/>
          <w:lang w:eastAsia="zh-HK"/>
        </w:rPr>
        <w:t>瓶</w:t>
      </w:r>
      <w:r w:rsidRPr="00715E34">
        <w:rPr>
          <w:rFonts w:hAnsi="標楷體" w:hint="eastAsia"/>
        </w:rPr>
        <w:t>、</w:t>
      </w:r>
      <w:r w:rsidRPr="00715E34">
        <w:rPr>
          <w:rFonts w:hAnsi="標楷體"/>
        </w:rPr>
        <w:t>12瓶1</w:t>
      </w:r>
      <w:r w:rsidRPr="00715E34">
        <w:rPr>
          <w:rFonts w:hAnsi="標楷體" w:hint="eastAsia"/>
          <w:lang w:eastAsia="zh-HK"/>
        </w:rPr>
        <w:t>箱裝</w:t>
      </w:r>
      <w:r w:rsidRPr="00715E34">
        <w:rPr>
          <w:rFonts w:hAnsi="標楷體" w:hint="eastAsia"/>
        </w:rPr>
        <w:t>、逾</w:t>
      </w:r>
      <w:r w:rsidRPr="00715E34">
        <w:rPr>
          <w:rFonts w:hAnsi="標楷體"/>
        </w:rPr>
        <w:t>55箱</w:t>
      </w:r>
      <w:r w:rsidR="007054CD" w:rsidRPr="00715E34">
        <w:rPr>
          <w:rFonts w:hAnsi="標楷體" w:hint="eastAsia"/>
        </w:rPr>
        <w:t>（660瓶）</w:t>
      </w:r>
      <w:r w:rsidRPr="00715E34">
        <w:rPr>
          <w:rFonts w:hAnsi="標楷體" w:hint="eastAsia"/>
          <w:lang w:eastAsia="zh-HK"/>
        </w:rPr>
        <w:t>之礦泉水</w:t>
      </w:r>
      <w:r w:rsidRPr="00715E34">
        <w:rPr>
          <w:rFonts w:hAnsi="標楷體"/>
        </w:rPr>
        <w:t>，每箱礦泉水市售單價</w:t>
      </w:r>
      <w:r w:rsidRPr="00715E34">
        <w:rPr>
          <w:rFonts w:hAnsi="標楷體" w:hint="eastAsia"/>
          <w:lang w:eastAsia="zh-HK"/>
        </w:rPr>
        <w:t>如</w:t>
      </w:r>
      <w:r w:rsidRPr="00715E34">
        <w:rPr>
          <w:rFonts w:hAnsi="標楷體"/>
        </w:rPr>
        <w:t>以180元換算，</w:t>
      </w:r>
      <w:r w:rsidRPr="00715E34">
        <w:rPr>
          <w:rFonts w:hAnsi="標楷體" w:hint="eastAsia"/>
          <w:lang w:eastAsia="zh-HK"/>
        </w:rPr>
        <w:t>則</w:t>
      </w:r>
      <w:r w:rsidRPr="00715E34">
        <w:rPr>
          <w:rFonts w:hAnsi="標楷體"/>
        </w:rPr>
        <w:t>1度</w:t>
      </w:r>
      <w:r w:rsidRPr="00715E34">
        <w:rPr>
          <w:rFonts w:hAnsi="標楷體" w:hint="eastAsia"/>
          <w:lang w:eastAsia="zh-HK"/>
        </w:rPr>
        <w:t>礦泉</w:t>
      </w:r>
      <w:r w:rsidRPr="00715E34">
        <w:rPr>
          <w:rFonts w:hAnsi="標楷體"/>
        </w:rPr>
        <w:t>水售價</w:t>
      </w:r>
      <w:r w:rsidRPr="00715E34">
        <w:rPr>
          <w:rFonts w:hAnsi="標楷體" w:hint="eastAsia"/>
          <w:lang w:eastAsia="zh-HK"/>
        </w:rPr>
        <w:t>為</w:t>
      </w:r>
      <w:r w:rsidRPr="00715E34">
        <w:rPr>
          <w:rFonts w:hAnsi="標楷體"/>
        </w:rPr>
        <w:t>1萬元，然103年台水公司1度</w:t>
      </w:r>
      <w:r w:rsidRPr="00715E34">
        <w:rPr>
          <w:rFonts w:hAnsi="標楷體" w:hint="eastAsia"/>
          <w:lang w:eastAsia="zh-HK"/>
        </w:rPr>
        <w:t>自來</w:t>
      </w:r>
      <w:r w:rsidRPr="00715E34">
        <w:rPr>
          <w:rFonts w:hAnsi="標楷體"/>
        </w:rPr>
        <w:t>水價卻僅10.96元，與礦泉水售價相差頗鉅。</w:t>
      </w:r>
    </w:p>
    <w:p w:rsidR="00A731DE" w:rsidRPr="00715E34" w:rsidRDefault="00A731DE" w:rsidP="00C30C6A">
      <w:pPr>
        <w:pStyle w:val="3"/>
        <w:widowControl/>
        <w:suppressAutoHyphens/>
        <w:topLinePunct/>
        <w:autoSpaceDE/>
        <w:autoSpaceDN/>
        <w:ind w:left="1360" w:hanging="680"/>
        <w:textAlignment w:val="center"/>
        <w:rPr>
          <w:rFonts w:hAnsi="標楷體"/>
        </w:rPr>
      </w:pPr>
      <w:r w:rsidRPr="00715E34">
        <w:rPr>
          <w:rFonts w:hAnsi="標楷體"/>
        </w:rPr>
        <w:t>國</w:t>
      </w:r>
      <w:r w:rsidR="009D04B9">
        <w:rPr>
          <w:rFonts w:hAnsi="標楷體" w:hint="eastAsia"/>
        </w:rPr>
        <w:t>內</w:t>
      </w:r>
      <w:r w:rsidRPr="00715E34">
        <w:rPr>
          <w:rFonts w:hAnsi="標楷體"/>
        </w:rPr>
        <w:t>水價</w:t>
      </w:r>
      <w:r w:rsidRPr="00715E34">
        <w:rPr>
          <w:rFonts w:hAnsi="標楷體"/>
          <w:szCs w:val="32"/>
        </w:rPr>
        <w:t>長期偏低</w:t>
      </w:r>
      <w:r w:rsidRPr="00715E34">
        <w:rPr>
          <w:rFonts w:hAnsi="標楷體"/>
        </w:rPr>
        <w:t>，已背離國際之趨勢</w:t>
      </w:r>
      <w:r w:rsidRPr="00715E34">
        <w:rPr>
          <w:rFonts w:hAnsi="標楷體" w:hint="eastAsia"/>
        </w:rPr>
        <w:t>。</w:t>
      </w:r>
      <w:r w:rsidRPr="00715E34">
        <w:rPr>
          <w:rFonts w:hAnsi="標楷體"/>
        </w:rPr>
        <w:t>依照世界衛生組織（WHO）認定，合理自</w:t>
      </w:r>
      <w:r w:rsidRPr="00715E34">
        <w:rPr>
          <w:rFonts w:hAnsi="標楷體"/>
          <w:bCs w:val="0"/>
        </w:rPr>
        <w:t>來水負擔標準占消費支出2%至4%，相形之下，103年國人水</w:t>
      </w:r>
      <w:r w:rsidRPr="00715E34">
        <w:rPr>
          <w:rFonts w:hAnsi="標楷體"/>
        </w:rPr>
        <w:t>費支出占總消費支出</w:t>
      </w:r>
      <w:r w:rsidRPr="00715E34">
        <w:rPr>
          <w:rFonts w:hAnsi="標楷體"/>
          <w:lang w:eastAsia="zh-HK"/>
        </w:rPr>
        <w:t>僅</w:t>
      </w:r>
      <w:r w:rsidRPr="00715E34">
        <w:rPr>
          <w:rFonts w:hAnsi="標楷體"/>
        </w:rPr>
        <w:t>0.43%</w:t>
      </w:r>
      <w:r w:rsidRPr="00715E34">
        <w:rPr>
          <w:rStyle w:val="aff2"/>
          <w:rFonts w:hAnsi="標楷體"/>
        </w:rPr>
        <w:footnoteReference w:id="29"/>
      </w:r>
      <w:r w:rsidRPr="00715E34">
        <w:rPr>
          <w:rFonts w:hAnsi="標楷體"/>
        </w:rPr>
        <w:t>。</w:t>
      </w:r>
      <w:r w:rsidRPr="00715E34">
        <w:rPr>
          <w:rFonts w:hAnsi="標楷體"/>
          <w:lang w:eastAsia="zh-HK"/>
        </w:rPr>
        <w:t>另根據</w:t>
      </w:r>
      <w:r w:rsidRPr="00715E34">
        <w:rPr>
          <w:rFonts w:hAnsi="標楷體"/>
        </w:rPr>
        <w:t>國際水協會（IWA，2014）</w:t>
      </w:r>
      <w:r w:rsidRPr="00715E34">
        <w:rPr>
          <w:rStyle w:val="aff2"/>
          <w:rFonts w:hAnsi="標楷體"/>
        </w:rPr>
        <w:footnoteReference w:id="30"/>
      </w:r>
      <w:r w:rsidRPr="00715E34">
        <w:rPr>
          <w:rFonts w:hAnsi="標楷體"/>
        </w:rPr>
        <w:t>及「2014國際水價現況解析」（</w:t>
      </w:r>
      <w:r w:rsidRPr="00715E34">
        <w:rPr>
          <w:rFonts w:hAnsi="標楷體"/>
          <w:kern w:val="0"/>
        </w:rPr>
        <w:t>周國鼎，民104</w:t>
      </w:r>
      <w:r w:rsidRPr="00715E34">
        <w:rPr>
          <w:rStyle w:val="aff2"/>
          <w:rFonts w:hAnsi="標楷體"/>
          <w:kern w:val="0"/>
        </w:rPr>
        <w:footnoteReference w:id="31"/>
      </w:r>
      <w:r w:rsidRPr="00715E34">
        <w:rPr>
          <w:rFonts w:hAnsi="標楷體"/>
        </w:rPr>
        <w:t>）報告指出，</w:t>
      </w:r>
      <w:r w:rsidRPr="00715E34">
        <w:rPr>
          <w:rFonts w:hAnsi="標楷體"/>
          <w:bCs w:val="0"/>
        </w:rPr>
        <w:t>在158個國際城市中，高雄市的「水費負擔率」</w:t>
      </w:r>
      <w:r w:rsidRPr="00715E34">
        <w:rPr>
          <w:rStyle w:val="aff2"/>
          <w:rFonts w:hAnsi="標楷體"/>
          <w:bCs w:val="0"/>
        </w:rPr>
        <w:footnoteReference w:id="32"/>
      </w:r>
      <w:r w:rsidRPr="00715E34">
        <w:rPr>
          <w:rFonts w:hAnsi="標楷體"/>
          <w:bCs w:val="0"/>
        </w:rPr>
        <w:t>0.17%，</w:t>
      </w:r>
      <w:r w:rsidRPr="00715E34">
        <w:rPr>
          <w:rFonts w:hAnsi="標楷體"/>
        </w:rPr>
        <w:t>名列</w:t>
      </w:r>
      <w:r w:rsidRPr="00715E34">
        <w:rPr>
          <w:rFonts w:hAnsi="標楷體"/>
          <w:bCs w:val="0"/>
        </w:rPr>
        <w:t>第</w:t>
      </w:r>
      <w:r w:rsidRPr="00715E34">
        <w:rPr>
          <w:rFonts w:hAnsi="標楷體"/>
        </w:rPr>
        <w:t>154</w:t>
      </w:r>
      <w:r w:rsidRPr="00715E34">
        <w:rPr>
          <w:rFonts w:hAnsi="標楷體"/>
          <w:bCs w:val="0"/>
        </w:rPr>
        <w:t>名</w:t>
      </w:r>
      <w:r w:rsidRPr="00715E34">
        <w:rPr>
          <w:rFonts w:hAnsi="標楷體"/>
        </w:rPr>
        <w:t>（水價8.64元/度），臺北市0.15%（排名第156名、水價9.83元/度），落後第110名的美國紐約0.77%（水價60.77元/度）、第117名的日本東京0.66%（水價36.26元/度）及第145名的南韓首爾0.32%（水價15.96元/度）</w:t>
      </w:r>
      <w:r w:rsidRPr="00715E34">
        <w:rPr>
          <w:rFonts w:hAnsi="標楷體"/>
          <w:kern w:val="0"/>
          <w:sz w:val="28"/>
          <w:szCs w:val="28"/>
        </w:rPr>
        <w:t>，</w:t>
      </w:r>
      <w:r w:rsidRPr="00715E34">
        <w:rPr>
          <w:rFonts w:hAnsi="標楷體"/>
        </w:rPr>
        <w:t>足徵國人用水負擔</w:t>
      </w:r>
      <w:r w:rsidRPr="00715E34">
        <w:rPr>
          <w:rFonts w:hAnsi="標楷體"/>
          <w:lang w:eastAsia="zh-HK"/>
        </w:rPr>
        <w:t>確實偏低</w:t>
      </w:r>
      <w:r w:rsidRPr="00715E34">
        <w:rPr>
          <w:rFonts w:hAnsi="標楷體"/>
        </w:rPr>
        <w:t>；再者，「水費負</w:t>
      </w:r>
      <w:r w:rsidRPr="00715E34">
        <w:rPr>
          <w:rFonts w:hAnsi="標楷體"/>
        </w:rPr>
        <w:lastRenderedPageBreak/>
        <w:t>擔率」愈低之城市，「人均用水量」愈高，101年國際各城市人均用水量</w:t>
      </w:r>
      <w:r w:rsidRPr="00715E34">
        <w:rPr>
          <w:rFonts w:hAnsi="標楷體"/>
          <w:bCs w:val="0"/>
        </w:rPr>
        <w:t>168公升，高雄市則</w:t>
      </w:r>
      <w:smartTag w:uri="urn:schemas-microsoft-com:office:smarttags" w:element="chmetcnv">
        <w:smartTagPr>
          <w:attr w:name="UnitName" w:val="公升"/>
          <w:attr w:name="SourceValue" w:val="266"/>
          <w:attr w:name="HasSpace" w:val="False"/>
          <w:attr w:name="Negative" w:val="False"/>
          <w:attr w:name="NumberType" w:val="1"/>
          <w:attr w:name="TCSC" w:val="0"/>
        </w:smartTagPr>
        <w:r w:rsidRPr="00715E34">
          <w:rPr>
            <w:rFonts w:hAnsi="標楷體"/>
            <w:bCs w:val="0"/>
          </w:rPr>
          <w:t>266公升</w:t>
        </w:r>
      </w:smartTag>
      <w:r w:rsidRPr="00715E34">
        <w:rPr>
          <w:rFonts w:hAnsi="標楷體"/>
          <w:bCs w:val="0"/>
        </w:rPr>
        <w:t>，位居158個城市中第18名</w:t>
      </w:r>
      <w:r w:rsidRPr="00715E34">
        <w:rPr>
          <w:rFonts w:hAnsi="標楷體"/>
        </w:rPr>
        <w:t>（臺北市人均用水量340公升，排名第8名）</w:t>
      </w:r>
      <w:r w:rsidRPr="00715E34">
        <w:rPr>
          <w:rFonts w:hAnsi="標楷體"/>
          <w:bCs w:val="0"/>
        </w:rPr>
        <w:t>。復按水利署統計，103年人均生活用水量274公升/日，</w:t>
      </w:r>
      <w:r w:rsidRPr="00715E34">
        <w:rPr>
          <w:rFonts w:hAnsi="標楷體"/>
        </w:rPr>
        <w:t>與102年</w:t>
      </w:r>
      <w:r w:rsidRPr="00715E34">
        <w:rPr>
          <w:rFonts w:hAnsi="標楷體"/>
          <w:bCs w:val="0"/>
        </w:rPr>
        <w:t>271公升/日</w:t>
      </w:r>
      <w:r w:rsidRPr="00715E34">
        <w:rPr>
          <w:rFonts w:hAnsi="標楷體"/>
        </w:rPr>
        <w:t>相較，</w:t>
      </w:r>
      <w:r w:rsidRPr="00715E34">
        <w:rPr>
          <w:rFonts w:hAnsi="標楷體"/>
          <w:bCs w:val="0"/>
        </w:rPr>
        <w:t>不降反升，且無法達成行政院88年2月11日會議通過「全國國土及水資源會議」中所定人均生活用水量減至250公升/日之節約用水目標，顯示過低水價造成國人用水效率欠佳。</w:t>
      </w:r>
    </w:p>
    <w:p w:rsidR="00A731DE" w:rsidRPr="00715E34" w:rsidRDefault="00A731DE" w:rsidP="00232C83">
      <w:pPr>
        <w:pStyle w:val="3"/>
        <w:widowControl/>
        <w:suppressAutoHyphens/>
        <w:topLinePunct/>
        <w:autoSpaceDE/>
        <w:autoSpaceDN/>
        <w:textAlignment w:val="center"/>
        <w:rPr>
          <w:rFonts w:hAnsi="標楷體"/>
        </w:rPr>
      </w:pPr>
      <w:r w:rsidRPr="00715E34">
        <w:rPr>
          <w:rFonts w:hAnsi="標楷體"/>
        </w:rPr>
        <w:t>台水公司自來水價長期低廉，主因摘整如下：</w:t>
      </w:r>
    </w:p>
    <w:p w:rsidR="00A731DE" w:rsidRPr="00715E34" w:rsidRDefault="00A731DE" w:rsidP="00232C83">
      <w:pPr>
        <w:pStyle w:val="4"/>
        <w:topLinePunct/>
        <w:rPr>
          <w:rFonts w:hAnsi="標楷體"/>
        </w:rPr>
      </w:pPr>
      <w:r w:rsidRPr="00715E34">
        <w:rPr>
          <w:rFonts w:hAnsi="標楷體"/>
        </w:rPr>
        <w:t>政策時機因素：據</w:t>
      </w:r>
      <w:r w:rsidRPr="00715E34">
        <w:rPr>
          <w:rFonts w:hAnsi="標楷體"/>
          <w:lang w:eastAsia="zh-HK"/>
        </w:rPr>
        <w:t>經濟部查復，</w:t>
      </w:r>
      <w:r w:rsidRPr="00715E34">
        <w:rPr>
          <w:rFonts w:hAnsi="標楷體"/>
        </w:rPr>
        <w:t>水價調整向來備受民眾、民意機關及媒體高度關注，為避免引發社會反彈及對於經濟景氣造成過大衝擊，經濟部雖有調整構想，但經審慎評估與社會氛圍，鑑於民意及社會輿論未形成共識，政府政策決定水價暫不調整。</w:t>
      </w:r>
      <w:r w:rsidRPr="00715E34">
        <w:rPr>
          <w:rFonts w:hAnsi="標楷體"/>
          <w:lang w:eastAsia="zh-HK"/>
        </w:rPr>
        <w:t>有關</w:t>
      </w:r>
      <w:r w:rsidRPr="00715E34">
        <w:rPr>
          <w:rFonts w:hAnsi="標楷體"/>
        </w:rPr>
        <w:t>水價受政府政策因素未合理調整</w:t>
      </w:r>
      <w:r w:rsidRPr="00715E34">
        <w:rPr>
          <w:rFonts w:hAnsi="標楷體"/>
          <w:lang w:eastAsia="zh-HK"/>
        </w:rPr>
        <w:t>所造成之</w:t>
      </w:r>
      <w:r w:rsidRPr="00715E34">
        <w:rPr>
          <w:rFonts w:hAnsi="標楷體"/>
        </w:rPr>
        <w:t>衝擊，以105年為例，依照台水公司105年度院核預算政策因素影響金額</w:t>
      </w:r>
      <w:r w:rsidRPr="00715E34">
        <w:rPr>
          <w:rStyle w:val="aff2"/>
          <w:rFonts w:hAnsi="標楷體"/>
        </w:rPr>
        <w:footnoteReference w:id="33"/>
      </w:r>
      <w:r w:rsidRPr="00715E34">
        <w:rPr>
          <w:rFonts w:hAnsi="標楷體"/>
        </w:rPr>
        <w:t>所示，對盈餘之影響數高達16億9,449萬元。</w:t>
      </w:r>
    </w:p>
    <w:p w:rsidR="00A731DE" w:rsidRPr="00715E34" w:rsidRDefault="00A731DE" w:rsidP="00232C83">
      <w:pPr>
        <w:pStyle w:val="4"/>
        <w:topLinePunct/>
        <w:rPr>
          <w:rFonts w:hAnsi="標楷體"/>
        </w:rPr>
      </w:pPr>
      <w:r w:rsidRPr="00715E34">
        <w:rPr>
          <w:rFonts w:hAnsi="標楷體"/>
        </w:rPr>
        <w:t>水價長期未能反映合理成本</w:t>
      </w:r>
    </w:p>
    <w:p w:rsidR="00A731DE" w:rsidRPr="00715E34" w:rsidRDefault="00A731DE" w:rsidP="00232C83">
      <w:pPr>
        <w:pStyle w:val="5"/>
        <w:topLinePunct/>
        <w:rPr>
          <w:rFonts w:hAnsi="標楷體"/>
        </w:rPr>
      </w:pPr>
      <w:r w:rsidRPr="00715E34">
        <w:rPr>
          <w:rFonts w:hAnsi="標楷體"/>
          <w:bCs w:val="0"/>
        </w:rPr>
        <w:t>據台水公司查復，水價長期偏低</w:t>
      </w:r>
      <w:r w:rsidR="00104A85" w:rsidRPr="00715E34">
        <w:rPr>
          <w:rFonts w:hAnsi="標楷體"/>
          <w:bCs w:val="0"/>
        </w:rPr>
        <w:t>造成實際發生但未計入售水成本，或導致經費匱乏而未支出部分，包括</w:t>
      </w:r>
    </w:p>
    <w:p w:rsidR="00A731DE" w:rsidRPr="00715E34" w:rsidRDefault="00A731DE" w:rsidP="00232C83">
      <w:pPr>
        <w:pStyle w:val="6"/>
        <w:topLinePunct/>
        <w:rPr>
          <w:rFonts w:hAnsi="標楷體"/>
        </w:rPr>
      </w:pPr>
      <w:r w:rsidRPr="00715E34">
        <w:rPr>
          <w:rFonts w:hAnsi="標楷體"/>
        </w:rPr>
        <w:t>原清水採購：購水契約載有「隨水價調幅打8折調整單價」，經多次協調業修正為「俟水價調整後再行研議」，以近3年（101年至103</w:t>
      </w:r>
      <w:r w:rsidRPr="00715E34">
        <w:rPr>
          <w:rFonts w:hAnsi="標楷體"/>
        </w:rPr>
        <w:lastRenderedPageBreak/>
        <w:t>年）原料平均支出30.54億元估算，倘「隨水價調幅打8折調整單價」每年將增加支出約7.33億元</w:t>
      </w:r>
      <w:r w:rsidRPr="00715E34">
        <w:rPr>
          <w:rStyle w:val="aff2"/>
          <w:rFonts w:hAnsi="標楷體"/>
        </w:rPr>
        <w:footnoteReference w:id="34"/>
      </w:r>
      <w:r w:rsidRPr="00715E34">
        <w:rPr>
          <w:rFonts w:hAnsi="標楷體"/>
        </w:rPr>
        <w:t>。</w:t>
      </w:r>
    </w:p>
    <w:p w:rsidR="00A731DE" w:rsidRPr="00715E34" w:rsidRDefault="00A731DE" w:rsidP="00232C83">
      <w:pPr>
        <w:pStyle w:val="6"/>
        <w:topLinePunct/>
        <w:rPr>
          <w:rFonts w:hAnsi="標楷體"/>
          <w:bCs/>
        </w:rPr>
      </w:pPr>
      <w:r w:rsidRPr="00715E34">
        <w:rPr>
          <w:rFonts w:hAnsi="標楷體"/>
          <w:bCs/>
          <w:kern w:val="0"/>
          <w:szCs w:val="48"/>
          <w:lang w:val="x-none" w:eastAsia="x-none"/>
        </w:rPr>
        <w:t>水庫營運及維護修繕</w:t>
      </w:r>
      <w:r w:rsidRPr="00715E34">
        <w:rPr>
          <w:rFonts w:hAnsi="標楷體"/>
          <w:bCs/>
          <w:kern w:val="0"/>
          <w:szCs w:val="48"/>
          <w:lang w:val="x-none"/>
        </w:rPr>
        <w:t>：</w:t>
      </w:r>
      <w:r w:rsidRPr="00715E34">
        <w:rPr>
          <w:rFonts w:hAnsi="標楷體"/>
          <w:bCs/>
          <w:kern w:val="0"/>
          <w:szCs w:val="48"/>
          <w:lang w:val="x-none" w:eastAsia="x-none"/>
        </w:rPr>
        <w:t>103年度需2.82億元</w:t>
      </w:r>
      <w:r w:rsidRPr="00715E34">
        <w:rPr>
          <w:rStyle w:val="aff2"/>
          <w:rFonts w:hAnsi="標楷體"/>
          <w:bCs/>
          <w:kern w:val="0"/>
          <w:szCs w:val="48"/>
          <w:lang w:val="x-none" w:eastAsia="x-none"/>
        </w:rPr>
        <w:footnoteReference w:id="35"/>
      </w:r>
      <w:r w:rsidRPr="00715E34">
        <w:rPr>
          <w:rFonts w:hAnsi="標楷體"/>
        </w:rPr>
        <w:t>，惟核定預算執行決算數僅1.15億元，每年仍需補足編列1.67億元，俾據以加強落實辦理水庫攔河堰大壩、溢洪道、取出水工、水工機械、導水路等主體、附屬設備維護修繕工作，及加強辦理水庫集水區水土保持、水源涵養等治理工程及水庫清淤等工作，以確保水庫水源供水</w:t>
      </w:r>
      <w:r w:rsidRPr="00715E34">
        <w:rPr>
          <w:rFonts w:hAnsi="標楷體"/>
          <w:kern w:val="0"/>
          <w:szCs w:val="48"/>
          <w:lang w:val="x-none"/>
        </w:rPr>
        <w:t>。</w:t>
      </w:r>
    </w:p>
    <w:p w:rsidR="00A731DE" w:rsidRPr="00715E34" w:rsidRDefault="00A731DE" w:rsidP="00232C83">
      <w:pPr>
        <w:pStyle w:val="6"/>
        <w:topLinePunct/>
        <w:rPr>
          <w:rFonts w:hAnsi="標楷體"/>
          <w:bCs/>
        </w:rPr>
      </w:pPr>
      <w:r w:rsidRPr="00715E34">
        <w:rPr>
          <w:rFonts w:hAnsi="標楷體"/>
          <w:szCs w:val="32"/>
        </w:rPr>
        <w:t>供水品質：環保法規提高飲用水水源水質標準，而提升水質所需之設備及處理費用（如</w:t>
      </w:r>
      <w:r w:rsidR="003B21F1">
        <w:rPr>
          <w:rFonts w:hAnsi="標楷體"/>
        </w:rPr>
        <w:t>提升</w:t>
      </w:r>
      <w:r w:rsidRPr="00715E34">
        <w:rPr>
          <w:rFonts w:hAnsi="標楷體"/>
        </w:rPr>
        <w:t>淨水廠處理設備等</w:t>
      </w:r>
      <w:r w:rsidRPr="00715E34">
        <w:rPr>
          <w:rFonts w:hAnsi="標楷體"/>
          <w:szCs w:val="32"/>
        </w:rPr>
        <w:t>）相當昂貴，台水公司無力負擔此龐大經費，影響用水安全。</w:t>
      </w:r>
    </w:p>
    <w:p w:rsidR="00A731DE" w:rsidRPr="00715E34" w:rsidRDefault="00A731DE" w:rsidP="00232C83">
      <w:pPr>
        <w:pStyle w:val="6"/>
        <w:topLinePunct/>
        <w:rPr>
          <w:rFonts w:hAnsi="標楷體"/>
        </w:rPr>
      </w:pPr>
      <w:r w:rsidRPr="00715E34">
        <w:rPr>
          <w:rFonts w:hAnsi="標楷體"/>
        </w:rPr>
        <w:t>管線維護：103年底約有1,300億元之管線設備資產，其中管線修復費決算數僅10.8億元，占管線設備資產價值之0.83%。台水公司因水價長期未獲合理調整，在營運管理上，必須撙節相關營運成本，以致長期未能足額編列適宜之管線維護經費。倘每年至少能編列占管線設備資產價值約1.5%之管線維護經費（約19.5億元），亦即每年需增編約8.7億元之預算。</w:t>
      </w:r>
    </w:p>
    <w:p w:rsidR="00A731DE" w:rsidRPr="00715E34" w:rsidRDefault="00A731DE" w:rsidP="00232C83">
      <w:pPr>
        <w:pStyle w:val="6"/>
        <w:topLinePunct/>
        <w:rPr>
          <w:rFonts w:hAnsi="標楷體"/>
        </w:rPr>
      </w:pPr>
      <w:r w:rsidRPr="00715E34">
        <w:rPr>
          <w:rFonts w:hAnsi="標楷體"/>
        </w:rPr>
        <w:t>營運發展：台水公司為提高供水普及率，每</w:t>
      </w:r>
      <w:r w:rsidRPr="00715E34">
        <w:rPr>
          <w:rFonts w:hAnsi="標楷體"/>
        </w:rPr>
        <w:lastRenderedPageBreak/>
        <w:t>年均需投入鉅額資金辦理自來水新（擴）建及各項改善工程，</w:t>
      </w:r>
      <w:r w:rsidRPr="00715E34">
        <w:rPr>
          <w:rFonts w:hAnsi="標楷體"/>
          <w:lang w:eastAsia="zh-HK"/>
        </w:rPr>
        <w:t>造成</w:t>
      </w:r>
      <w:r w:rsidRPr="00715E34">
        <w:rPr>
          <w:rFonts w:hAnsi="標楷體"/>
        </w:rPr>
        <w:t>財務日漸窘困，截至103年底借款餘額已高達560.76億元。</w:t>
      </w:r>
      <w:r w:rsidRPr="00715E34">
        <w:rPr>
          <w:rFonts w:hAnsi="標楷體"/>
          <w:szCs w:val="32"/>
        </w:rPr>
        <w:t>水價</w:t>
      </w:r>
      <w:r w:rsidRPr="00715E34">
        <w:rPr>
          <w:rFonts w:hAnsi="標楷體"/>
          <w:szCs w:val="32"/>
          <w:lang w:eastAsia="zh-HK"/>
        </w:rPr>
        <w:t>如</w:t>
      </w:r>
      <w:r w:rsidRPr="00715E34">
        <w:rPr>
          <w:rFonts w:hAnsi="標楷體"/>
        </w:rPr>
        <w:t>未再合理反映調整</w:t>
      </w:r>
      <w:r w:rsidRPr="00715E34">
        <w:rPr>
          <w:rFonts w:hAnsi="標楷體"/>
          <w:szCs w:val="32"/>
        </w:rPr>
        <w:t>，該公司預計110年需舉借新債達1,528.99億元，利息費用支出</w:t>
      </w:r>
      <w:r w:rsidRPr="00715E34">
        <w:rPr>
          <w:rFonts w:hAnsi="標楷體"/>
          <w:szCs w:val="32"/>
          <w:lang w:eastAsia="zh-HK"/>
        </w:rPr>
        <w:t>隨之</w:t>
      </w:r>
      <w:r w:rsidRPr="00715E34">
        <w:rPr>
          <w:rFonts w:hAnsi="標楷體"/>
          <w:szCs w:val="32"/>
        </w:rPr>
        <w:t>增加，純益率由105年-2.74%遞減至110年-7.18%，財務結構</w:t>
      </w:r>
      <w:r w:rsidRPr="00715E34">
        <w:rPr>
          <w:rFonts w:hAnsi="標楷體"/>
          <w:szCs w:val="32"/>
          <w:lang w:eastAsia="zh-HK"/>
        </w:rPr>
        <w:t>益形惡化</w:t>
      </w:r>
      <w:r w:rsidRPr="00715E34">
        <w:rPr>
          <w:rFonts w:hAnsi="標楷體"/>
          <w:szCs w:val="32"/>
        </w:rPr>
        <w:t>，實不利公司正常營運。</w:t>
      </w:r>
    </w:p>
    <w:p w:rsidR="00A731DE" w:rsidRPr="00715E34" w:rsidRDefault="00A731DE" w:rsidP="00232C83">
      <w:pPr>
        <w:pStyle w:val="6"/>
        <w:topLinePunct/>
        <w:rPr>
          <w:rFonts w:hAnsi="標楷體"/>
        </w:rPr>
      </w:pPr>
      <w:r w:rsidRPr="00715E34">
        <w:rPr>
          <w:rFonts w:hAnsi="標楷體" w:hint="eastAsia"/>
          <w:szCs w:val="32"/>
        </w:rPr>
        <w:t>物價水準：由於物價上漲將影響上游原物料之供應價格，亦增加營運成本與資產購置的不確定性。依行政院主計處統計，</w:t>
      </w:r>
      <w:r w:rsidRPr="00715E34">
        <w:rPr>
          <w:rFonts w:hAnsi="標楷體"/>
          <w:szCs w:val="32"/>
        </w:rPr>
        <w:t>94</w:t>
      </w:r>
      <w:r w:rsidRPr="00715E34">
        <w:rPr>
          <w:rFonts w:hAnsi="標楷體" w:hint="eastAsia"/>
          <w:szCs w:val="32"/>
        </w:rPr>
        <w:t>年以來營造工程物價指數</w:t>
      </w:r>
      <w:r w:rsidRPr="00715E34">
        <w:rPr>
          <w:rStyle w:val="aff2"/>
          <w:rFonts w:hAnsi="標楷體"/>
          <w:szCs w:val="32"/>
        </w:rPr>
        <w:footnoteReference w:id="36"/>
      </w:r>
      <w:r w:rsidRPr="00715E34">
        <w:rPr>
          <w:rFonts w:hAnsi="標楷體" w:hint="eastAsia"/>
          <w:szCs w:val="32"/>
        </w:rPr>
        <w:t>呈遞增趨勢，截至104年</w:t>
      </w:r>
      <w:r w:rsidRPr="00715E34">
        <w:rPr>
          <w:rFonts w:hAnsi="標楷體"/>
          <w:szCs w:val="32"/>
        </w:rPr>
        <w:t>上揚幅度達</w:t>
      </w:r>
      <w:r w:rsidRPr="00715E34">
        <w:rPr>
          <w:rFonts w:hAnsi="標楷體" w:hint="eastAsia"/>
          <w:szCs w:val="32"/>
        </w:rPr>
        <w:t>28.77</w:t>
      </w:r>
      <w:r w:rsidRPr="00715E34">
        <w:rPr>
          <w:rFonts w:hAnsi="標楷體"/>
          <w:szCs w:val="32"/>
        </w:rPr>
        <w:t>%</w:t>
      </w:r>
      <w:r w:rsidRPr="00715E34">
        <w:rPr>
          <w:rFonts w:hAnsi="標楷體" w:hint="eastAsia"/>
          <w:szCs w:val="32"/>
        </w:rPr>
        <w:t>，材料類指數亦由</w:t>
      </w:r>
      <w:r w:rsidRPr="00715E34">
        <w:rPr>
          <w:rFonts w:hAnsi="標楷體"/>
          <w:szCs w:val="32"/>
        </w:rPr>
        <w:t>94</w:t>
      </w:r>
      <w:r w:rsidRPr="00715E34">
        <w:rPr>
          <w:rFonts w:hAnsi="標楷體" w:hint="eastAsia"/>
          <w:szCs w:val="32"/>
        </w:rPr>
        <w:t>年</w:t>
      </w:r>
      <w:r w:rsidRPr="00715E34">
        <w:rPr>
          <w:rFonts w:hAnsi="標楷體"/>
          <w:szCs w:val="32"/>
        </w:rPr>
        <w:t>71.69</w:t>
      </w:r>
      <w:r w:rsidRPr="00715E34">
        <w:rPr>
          <w:rFonts w:hAnsi="標楷體" w:hint="eastAsia"/>
          <w:szCs w:val="32"/>
        </w:rPr>
        <w:t>增長至</w:t>
      </w:r>
      <w:r w:rsidRPr="00715E34">
        <w:rPr>
          <w:rFonts w:hAnsi="標楷體"/>
          <w:szCs w:val="32"/>
        </w:rPr>
        <w:t>103</w:t>
      </w:r>
      <w:r w:rsidRPr="00715E34">
        <w:rPr>
          <w:rFonts w:hAnsi="標楷體" w:hint="eastAsia"/>
          <w:szCs w:val="32"/>
        </w:rPr>
        <w:t>年96.29。</w:t>
      </w:r>
    </w:p>
    <w:p w:rsidR="00A731DE" w:rsidRPr="00715E34" w:rsidRDefault="00A731DE" w:rsidP="00232C83">
      <w:pPr>
        <w:pStyle w:val="5"/>
        <w:topLinePunct/>
        <w:rPr>
          <w:rFonts w:hAnsi="標楷體"/>
        </w:rPr>
      </w:pPr>
      <w:r w:rsidRPr="00715E34">
        <w:rPr>
          <w:rFonts w:hAnsi="標楷體"/>
        </w:rPr>
        <w:t>經濟部已於104年10月14日修正「水價計算公式及詳細項目」規定，將由政府負擔之水源保育成本、因應</w:t>
      </w:r>
      <w:r w:rsidRPr="00715E34">
        <w:rPr>
          <w:rFonts w:hAnsi="標楷體" w:hint="eastAsia"/>
          <w:szCs w:val="24"/>
        </w:rPr>
        <w:t>氣候變遷造成</w:t>
      </w:r>
      <w:r w:rsidRPr="00715E34">
        <w:rPr>
          <w:rFonts w:hAnsi="標楷體" w:hint="eastAsia"/>
        </w:rPr>
        <w:t>乾旱停灌補償</w:t>
      </w:r>
      <w:r w:rsidRPr="00715E34">
        <w:rPr>
          <w:rFonts w:hAnsi="標楷體"/>
        </w:rPr>
        <w:t>及推動節約用水所需費用、</w:t>
      </w:r>
      <w:r w:rsidR="003B21F1">
        <w:rPr>
          <w:rFonts w:hAnsi="標楷體"/>
        </w:rPr>
        <w:t>提升</w:t>
      </w:r>
      <w:r w:rsidRPr="00715E34">
        <w:rPr>
          <w:rFonts w:hAnsi="標楷體"/>
        </w:rPr>
        <w:t>供水品質</w:t>
      </w:r>
      <w:r w:rsidRPr="00715E34">
        <w:rPr>
          <w:rFonts w:hAnsi="標楷體" w:hint="eastAsia"/>
        </w:rPr>
        <w:t>之設備更新改善等</w:t>
      </w:r>
      <w:r w:rsidRPr="00715E34">
        <w:rPr>
          <w:rFonts w:hAnsi="標楷體"/>
        </w:rPr>
        <w:t>未來</w:t>
      </w:r>
      <w:r w:rsidRPr="00715E34">
        <w:rPr>
          <w:rFonts w:hAnsi="標楷體" w:hint="eastAsia"/>
        </w:rPr>
        <w:t>營運計畫</w:t>
      </w:r>
      <w:r w:rsidRPr="00715E34">
        <w:rPr>
          <w:rFonts w:hAnsi="標楷體"/>
        </w:rPr>
        <w:t>支出</w:t>
      </w:r>
      <w:r w:rsidRPr="00715E34">
        <w:rPr>
          <w:rFonts w:hAnsi="標楷體" w:hint="eastAsia"/>
        </w:rPr>
        <w:t>（如漏水率改善計畫）</w:t>
      </w:r>
      <w:r w:rsidRPr="00715E34">
        <w:rPr>
          <w:rFonts w:hAnsi="標楷體"/>
        </w:rPr>
        <w:t>，均</w:t>
      </w:r>
      <w:r w:rsidRPr="00715E34">
        <w:rPr>
          <w:rFonts w:hAnsi="標楷體" w:hint="eastAsia"/>
        </w:rPr>
        <w:t>納</w:t>
      </w:r>
      <w:r w:rsidRPr="00715E34">
        <w:rPr>
          <w:rFonts w:hAnsi="標楷體"/>
        </w:rPr>
        <w:t>入水價</w:t>
      </w:r>
      <w:r w:rsidRPr="00715E34">
        <w:rPr>
          <w:rFonts w:hAnsi="標楷體" w:hint="eastAsia"/>
        </w:rPr>
        <w:t>公式計算</w:t>
      </w:r>
      <w:r w:rsidRPr="00715E34">
        <w:rPr>
          <w:rFonts w:hAnsi="標楷體"/>
        </w:rPr>
        <w:t>。</w:t>
      </w:r>
      <w:r w:rsidRPr="00715E34">
        <w:rPr>
          <w:rFonts w:hAnsi="標楷體" w:hint="eastAsia"/>
        </w:rPr>
        <w:t>惟台水公司103年水價10.96元/度，售水成本11.14元/度，係</w:t>
      </w:r>
      <w:r w:rsidRPr="00715E34">
        <w:rPr>
          <w:rFonts w:hAnsi="標楷體"/>
        </w:rPr>
        <w:t>按經濟部95年7月10日核定</w:t>
      </w:r>
      <w:r w:rsidRPr="00715E34">
        <w:rPr>
          <w:rFonts w:hAnsi="標楷體" w:hint="eastAsia"/>
        </w:rPr>
        <w:t>之版本</w:t>
      </w:r>
      <w:r w:rsidRPr="00715E34">
        <w:rPr>
          <w:rFonts w:hAnsi="標楷體"/>
        </w:rPr>
        <w:t>推算</w:t>
      </w:r>
      <w:r w:rsidRPr="00715E34">
        <w:rPr>
          <w:rFonts w:hAnsi="標楷體" w:hint="eastAsia"/>
        </w:rPr>
        <w:t>，尚未反映前開水源保育、因應災害準備及未來營運發展等因素。</w:t>
      </w:r>
    </w:p>
    <w:p w:rsidR="00A731DE" w:rsidRPr="00715E34" w:rsidRDefault="00A731DE" w:rsidP="00232C83">
      <w:pPr>
        <w:pStyle w:val="3"/>
        <w:topLinePunct/>
        <w:rPr>
          <w:rFonts w:hAnsi="標楷體"/>
        </w:rPr>
      </w:pPr>
      <w:r w:rsidRPr="00715E34">
        <w:rPr>
          <w:rFonts w:hAnsi="標楷體"/>
          <w:szCs w:val="32"/>
        </w:rPr>
        <w:t>長期以來，台水公司受到低水價政策之影響，水價迄今已逾21年未再合理調整，期間水價除未適足反映原清水採購、水庫</w:t>
      </w:r>
      <w:r w:rsidRPr="00715E34">
        <w:rPr>
          <w:rFonts w:hAnsi="標楷體"/>
        </w:rPr>
        <w:t>運轉、水源生態環境等相關成本，又因氣候異常、物價波動、水源開發困難、水</w:t>
      </w:r>
      <w:r w:rsidRPr="00715E34">
        <w:rPr>
          <w:rFonts w:hAnsi="標楷體"/>
        </w:rPr>
        <w:lastRenderedPageBreak/>
        <w:t>質標準提升等經營環境變遷，給水成本逐年攀高，該公司已處</w:t>
      </w:r>
      <w:r w:rsidRPr="00715E34">
        <w:rPr>
          <w:rFonts w:hAnsi="標楷體" w:hint="eastAsia"/>
        </w:rPr>
        <w:t>於營運虧損狀態，造成經費不足，</w:t>
      </w:r>
      <w:r w:rsidRPr="00715E34">
        <w:rPr>
          <w:rFonts w:hAnsi="標楷體"/>
        </w:rPr>
        <w:t>設備汰換率</w:t>
      </w:r>
      <w:r w:rsidRPr="00715E34">
        <w:rPr>
          <w:rFonts w:hAnsi="標楷體" w:hint="eastAsia"/>
        </w:rPr>
        <w:t>過</w:t>
      </w:r>
      <w:r w:rsidRPr="00715E34">
        <w:rPr>
          <w:rFonts w:hAnsi="標楷體"/>
        </w:rPr>
        <w:t>低</w:t>
      </w:r>
      <w:r w:rsidRPr="00715E34">
        <w:rPr>
          <w:rFonts w:hAnsi="標楷體" w:hint="eastAsia"/>
        </w:rPr>
        <w:t>；</w:t>
      </w:r>
      <w:r w:rsidRPr="00715E34">
        <w:rPr>
          <w:rFonts w:hAnsi="標楷體"/>
        </w:rPr>
        <w:t>9</w:t>
      </w:r>
      <w:r w:rsidRPr="00715E34">
        <w:rPr>
          <w:rFonts w:hAnsi="標楷體" w:hint="eastAsia"/>
        </w:rPr>
        <w:t>9年至</w:t>
      </w:r>
      <w:r w:rsidRPr="00715E34">
        <w:rPr>
          <w:rFonts w:hAnsi="標楷體"/>
        </w:rPr>
        <w:t>10</w:t>
      </w:r>
      <w:r w:rsidRPr="00715E34">
        <w:rPr>
          <w:rFonts w:hAnsi="標楷體" w:hint="eastAsia"/>
        </w:rPr>
        <w:t>3年</w:t>
      </w:r>
      <w:r w:rsidRPr="00715E34">
        <w:rPr>
          <w:rFonts w:hAnsi="標楷體"/>
        </w:rPr>
        <w:t>之年平均管線汰換率僅1.</w:t>
      </w:r>
      <w:r w:rsidRPr="00715E34">
        <w:rPr>
          <w:rFonts w:hAnsi="標楷體" w:hint="eastAsia"/>
        </w:rPr>
        <w:t>27</w:t>
      </w:r>
      <w:r w:rsidRPr="00715E34">
        <w:rPr>
          <w:rFonts w:hAnsi="標楷體"/>
        </w:rPr>
        <w:t>%</w:t>
      </w:r>
      <w:r w:rsidRPr="00715E34">
        <w:rPr>
          <w:rFonts w:hAnsi="標楷體" w:hint="eastAsia"/>
        </w:rPr>
        <w:t>，漏水率截至104年底高達16.63%，依照</w:t>
      </w:r>
      <w:r w:rsidR="00C82696" w:rsidRPr="00715E34">
        <w:rPr>
          <w:rFonts w:hAnsi="標楷體" w:hint="eastAsia"/>
        </w:rPr>
        <w:t>當</w:t>
      </w:r>
      <w:r w:rsidRPr="00715E34">
        <w:rPr>
          <w:rFonts w:hAnsi="標楷體" w:hint="eastAsia"/>
        </w:rPr>
        <w:t>年度</w:t>
      </w:r>
      <w:r w:rsidRPr="00715E34">
        <w:rPr>
          <w:rFonts w:hAnsi="標楷體"/>
        </w:rPr>
        <w:t>供水量31.19億立方公尺</w:t>
      </w:r>
      <w:r w:rsidRPr="00715E34">
        <w:rPr>
          <w:rFonts w:hAnsi="標楷體" w:hint="eastAsia"/>
        </w:rPr>
        <w:t>推</w:t>
      </w:r>
      <w:r w:rsidR="00120573" w:rsidRPr="00715E34">
        <w:rPr>
          <w:rFonts w:hAnsi="標楷體" w:hint="eastAsia"/>
        </w:rPr>
        <w:t>估</w:t>
      </w:r>
      <w:r w:rsidRPr="00715E34">
        <w:rPr>
          <w:rFonts w:hAnsi="標楷體"/>
        </w:rPr>
        <w:t>，</w:t>
      </w:r>
      <w:r w:rsidR="00C82696" w:rsidRPr="00715E34">
        <w:rPr>
          <w:rFonts w:hAnsi="標楷體"/>
        </w:rPr>
        <w:t>漏水量</w:t>
      </w:r>
      <w:r w:rsidR="00E13AC3" w:rsidRPr="00715E34">
        <w:rPr>
          <w:rFonts w:hAnsi="標楷體" w:hint="eastAsia"/>
        </w:rPr>
        <w:t>高</w:t>
      </w:r>
      <w:r w:rsidR="0084541D" w:rsidRPr="00715E34">
        <w:rPr>
          <w:rFonts w:hAnsi="標楷體" w:hint="eastAsia"/>
        </w:rPr>
        <w:t>達</w:t>
      </w:r>
      <w:r w:rsidRPr="00715E34">
        <w:rPr>
          <w:rFonts w:hAnsi="標楷體"/>
        </w:rPr>
        <w:t>5.19億立方公尺</w:t>
      </w:r>
      <w:r w:rsidR="007054CD" w:rsidRPr="00715E34">
        <w:rPr>
          <w:rFonts w:hAnsi="標楷體" w:hint="eastAsia"/>
        </w:rPr>
        <w:t>，</w:t>
      </w:r>
      <w:r w:rsidR="002D1CB3">
        <w:rPr>
          <w:rFonts w:hAnsi="標楷體" w:hint="eastAsia"/>
        </w:rPr>
        <w:t>足以提供</w:t>
      </w:r>
      <w:r w:rsidR="00D3391D">
        <w:rPr>
          <w:rFonts w:hAnsi="標楷體" w:hint="eastAsia"/>
        </w:rPr>
        <w:t>中</w:t>
      </w:r>
      <w:r w:rsidR="004D279D" w:rsidRPr="00715E34">
        <w:rPr>
          <w:rFonts w:hAnsi="標楷體" w:hint="eastAsia"/>
        </w:rPr>
        <w:t>部</w:t>
      </w:r>
      <w:r w:rsidR="00D3391D">
        <w:rPr>
          <w:rFonts w:hAnsi="標楷體" w:hint="eastAsia"/>
        </w:rPr>
        <w:t>及離島</w:t>
      </w:r>
      <w:r w:rsidR="004D279D" w:rsidRPr="00715E34">
        <w:rPr>
          <w:rFonts w:hAnsi="標楷體" w:hint="eastAsia"/>
        </w:rPr>
        <w:t>地區</w:t>
      </w:r>
      <w:r w:rsidR="006E7BA2" w:rsidRPr="00715E34">
        <w:rPr>
          <w:rFonts w:hAnsi="標楷體" w:hint="eastAsia"/>
        </w:rPr>
        <w:t>民眾</w:t>
      </w:r>
      <w:r w:rsidR="00E128DE" w:rsidRPr="00715E34">
        <w:rPr>
          <w:rFonts w:hAnsi="標楷體" w:hint="eastAsia"/>
        </w:rPr>
        <w:t>全年</w:t>
      </w:r>
      <w:r w:rsidR="006C6BDE" w:rsidRPr="00715E34">
        <w:rPr>
          <w:rFonts w:hAnsi="標楷體" w:hint="eastAsia"/>
        </w:rPr>
        <w:t>的</w:t>
      </w:r>
      <w:r w:rsidR="006E7BA2" w:rsidRPr="00715E34">
        <w:rPr>
          <w:rFonts w:hAnsi="標楷體" w:hint="eastAsia"/>
        </w:rPr>
        <w:t>生活用</w:t>
      </w:r>
      <w:r w:rsidR="005170FC" w:rsidRPr="00715E34">
        <w:rPr>
          <w:rFonts w:hAnsi="標楷體" w:hint="eastAsia"/>
        </w:rPr>
        <w:t>水</w:t>
      </w:r>
      <w:r w:rsidR="00E128DE" w:rsidRPr="00715E34">
        <w:rPr>
          <w:rStyle w:val="aff2"/>
          <w:rFonts w:hAnsi="標楷體"/>
        </w:rPr>
        <w:footnoteReference w:id="37"/>
      </w:r>
      <w:r w:rsidR="00E256B8" w:rsidRPr="00715E34">
        <w:rPr>
          <w:rFonts w:hAnsi="標楷體" w:hint="eastAsia"/>
        </w:rPr>
        <w:t>，</w:t>
      </w:r>
      <w:r w:rsidR="008A4862" w:rsidRPr="00715E34">
        <w:rPr>
          <w:rFonts w:hAnsi="標楷體" w:hint="eastAsia"/>
        </w:rPr>
        <w:t>倘</w:t>
      </w:r>
      <w:r w:rsidRPr="00715E34">
        <w:rPr>
          <w:rFonts w:hAnsi="標楷體" w:hint="eastAsia"/>
        </w:rPr>
        <w:t>以</w:t>
      </w:r>
      <w:r w:rsidR="00C82696" w:rsidRPr="00715E34">
        <w:rPr>
          <w:rFonts w:hAnsi="標楷體" w:hint="eastAsia"/>
        </w:rPr>
        <w:t>104</w:t>
      </w:r>
      <w:r w:rsidRPr="00715E34">
        <w:rPr>
          <w:rFonts w:hAnsi="標楷體" w:hint="eastAsia"/>
        </w:rPr>
        <w:t>年度平均水價11元/度換算，每年因</w:t>
      </w:r>
      <w:r w:rsidR="00C82696" w:rsidRPr="00715E34">
        <w:rPr>
          <w:rFonts w:hAnsi="標楷體" w:hint="eastAsia"/>
        </w:rPr>
        <w:t>自來水管</w:t>
      </w:r>
      <w:r w:rsidR="00C82696" w:rsidRPr="00715E34">
        <w:rPr>
          <w:rFonts w:hAnsi="標楷體"/>
        </w:rPr>
        <w:t>滲漏</w:t>
      </w:r>
      <w:r w:rsidRPr="00715E34">
        <w:rPr>
          <w:rFonts w:hAnsi="標楷體" w:hint="eastAsia"/>
        </w:rPr>
        <w:t>造成</w:t>
      </w:r>
      <w:r w:rsidR="00E13AC3" w:rsidRPr="00715E34">
        <w:rPr>
          <w:rFonts w:hAnsi="標楷體" w:hint="eastAsia"/>
        </w:rPr>
        <w:t>珍貴</w:t>
      </w:r>
      <w:r w:rsidR="00C82696" w:rsidRPr="00715E34">
        <w:rPr>
          <w:rFonts w:hAnsi="標楷體" w:hint="eastAsia"/>
        </w:rPr>
        <w:t>水資源流失</w:t>
      </w:r>
      <w:r w:rsidR="00A536DF" w:rsidRPr="00715E34">
        <w:rPr>
          <w:rFonts w:hAnsi="標楷體" w:hint="eastAsia"/>
        </w:rPr>
        <w:t>浪費</w:t>
      </w:r>
      <w:r w:rsidR="00C82696" w:rsidRPr="00715E34">
        <w:rPr>
          <w:rFonts w:hAnsi="標楷體" w:hint="eastAsia"/>
        </w:rPr>
        <w:t>之</w:t>
      </w:r>
      <w:r w:rsidR="00E17AF8" w:rsidRPr="00715E34">
        <w:rPr>
          <w:rFonts w:hAnsi="標楷體"/>
        </w:rPr>
        <w:t>總價值</w:t>
      </w:r>
      <w:r w:rsidR="008B584E" w:rsidRPr="00715E34">
        <w:rPr>
          <w:rFonts w:hAnsi="標楷體" w:hint="eastAsia"/>
        </w:rPr>
        <w:t>逾</w:t>
      </w:r>
      <w:r w:rsidRPr="00715E34">
        <w:rPr>
          <w:rFonts w:hAnsi="標楷體" w:hint="eastAsia"/>
        </w:rPr>
        <w:t>57億元</w:t>
      </w:r>
      <w:r w:rsidR="0084541D" w:rsidRPr="00715E34">
        <w:rPr>
          <w:rFonts w:hAnsi="標楷體" w:hint="eastAsia"/>
        </w:rPr>
        <w:t>，</w:t>
      </w:r>
      <w:r w:rsidR="00E13AC3" w:rsidRPr="00715E34">
        <w:rPr>
          <w:rFonts w:hAnsi="標楷體" w:hint="eastAsia"/>
        </w:rPr>
        <w:t>又</w:t>
      </w:r>
      <w:r w:rsidR="008A4862" w:rsidRPr="00715E34">
        <w:rPr>
          <w:rFonts w:hAnsi="標楷體"/>
        </w:rPr>
        <w:t>如調查意見</w:t>
      </w:r>
      <w:r w:rsidR="008A4862" w:rsidRPr="00715E34">
        <w:rPr>
          <w:rFonts w:hAnsi="標楷體" w:hint="eastAsia"/>
        </w:rPr>
        <w:t>十五</w:t>
      </w:r>
      <w:r w:rsidR="008A4862" w:rsidRPr="00715E34">
        <w:rPr>
          <w:rFonts w:hAnsi="標楷體"/>
        </w:rPr>
        <w:t>之</w:t>
      </w:r>
      <w:r w:rsidR="00E13AC3" w:rsidRPr="00715E34">
        <w:rPr>
          <w:rFonts w:hAnsi="標楷體" w:hint="eastAsia"/>
        </w:rPr>
        <w:t>（</w:t>
      </w:r>
      <w:r w:rsidR="008A4862" w:rsidRPr="00715E34">
        <w:rPr>
          <w:rFonts w:hAnsi="標楷體"/>
        </w:rPr>
        <w:t>二</w:t>
      </w:r>
      <w:r w:rsidR="00E13AC3" w:rsidRPr="00715E34">
        <w:rPr>
          <w:rFonts w:hAnsi="標楷體" w:hint="eastAsia"/>
        </w:rPr>
        <w:t>）</w:t>
      </w:r>
      <w:r w:rsidR="008A4862" w:rsidRPr="00715E34">
        <w:rPr>
          <w:rFonts w:hAnsi="標楷體"/>
        </w:rPr>
        <w:t>所述</w:t>
      </w:r>
      <w:r w:rsidR="008A4862" w:rsidRPr="00715E34">
        <w:rPr>
          <w:rFonts w:hAnsi="標楷體" w:hint="eastAsia"/>
        </w:rPr>
        <w:t>，</w:t>
      </w:r>
      <w:r w:rsidR="007523CC" w:rsidRPr="00715E34">
        <w:rPr>
          <w:rFonts w:hAnsi="標楷體"/>
        </w:rPr>
        <w:t>本院諮詢</w:t>
      </w:r>
      <w:r w:rsidR="008A4862" w:rsidRPr="00715E34">
        <w:rPr>
          <w:rFonts w:hAnsi="標楷體"/>
        </w:rPr>
        <w:t>梁董事長</w:t>
      </w:r>
      <w:r w:rsidR="00A47126">
        <w:rPr>
          <w:rFonts w:hAnsi="標楷體"/>
        </w:rPr>
        <w:t>○○</w:t>
      </w:r>
      <w:r w:rsidR="00DC3831" w:rsidRPr="00715E34">
        <w:rPr>
          <w:rFonts w:hAnsi="標楷體" w:hint="eastAsia"/>
        </w:rPr>
        <w:t>亦</w:t>
      </w:r>
      <w:r w:rsidR="00BE58C0" w:rsidRPr="00715E34">
        <w:rPr>
          <w:rFonts w:hAnsi="標楷體" w:hint="eastAsia"/>
        </w:rPr>
        <w:t>指出</w:t>
      </w:r>
      <w:r w:rsidR="007523CC" w:rsidRPr="00715E34">
        <w:rPr>
          <w:rFonts w:hAnsi="標楷體" w:hint="eastAsia"/>
        </w:rPr>
        <w:t>，</w:t>
      </w:r>
      <w:r w:rsidR="007523CC" w:rsidRPr="00715E34">
        <w:rPr>
          <w:rFonts w:hAnsi="標楷體"/>
        </w:rPr>
        <w:t>每年漏失自來水量達10</w:t>
      </w:r>
      <w:r w:rsidR="00E13AC3" w:rsidRPr="00715E34">
        <w:rPr>
          <w:rFonts w:hAnsi="標楷體"/>
        </w:rPr>
        <w:t>億</w:t>
      </w:r>
      <w:r w:rsidR="00E13AC3" w:rsidRPr="00715E34">
        <w:rPr>
          <w:rFonts w:hAnsi="標楷體" w:hint="eastAsia"/>
        </w:rPr>
        <w:t>立方公尺，</w:t>
      </w:r>
      <w:r w:rsidR="00DC3831" w:rsidRPr="00715E34">
        <w:rPr>
          <w:rFonts w:hAnsi="標楷體" w:hint="eastAsia"/>
        </w:rPr>
        <w:t>相當於</w:t>
      </w:r>
      <w:r w:rsidR="00BE58C0" w:rsidRPr="00715E34">
        <w:rPr>
          <w:rFonts w:hAnsi="標楷體"/>
        </w:rPr>
        <w:t>2.5</w:t>
      </w:r>
      <w:r w:rsidR="00BE58C0" w:rsidRPr="00715E34">
        <w:rPr>
          <w:rFonts w:hAnsi="標楷體" w:hint="eastAsia"/>
        </w:rPr>
        <w:t>座</w:t>
      </w:r>
      <w:r w:rsidR="00BE58C0" w:rsidRPr="00715E34">
        <w:rPr>
          <w:rFonts w:hAnsi="標楷體"/>
        </w:rPr>
        <w:t>石門水庫</w:t>
      </w:r>
      <w:r w:rsidR="00BE58C0" w:rsidRPr="00715E34">
        <w:rPr>
          <w:rFonts w:hAnsi="標楷體" w:hint="eastAsia"/>
        </w:rPr>
        <w:t>蓄水量</w:t>
      </w:r>
      <w:r w:rsidR="007523CC" w:rsidRPr="00715E34">
        <w:rPr>
          <w:rFonts w:hAnsi="標楷體" w:hint="eastAsia"/>
        </w:rPr>
        <w:t>。</w:t>
      </w:r>
      <w:r w:rsidR="00DC3831" w:rsidRPr="00715E34">
        <w:rPr>
          <w:rFonts w:hAnsi="標楷體" w:hint="eastAsia"/>
        </w:rPr>
        <w:t>詢據</w:t>
      </w:r>
      <w:r w:rsidRPr="00715E34">
        <w:rPr>
          <w:rFonts w:hAnsi="標楷體" w:hint="eastAsia"/>
        </w:rPr>
        <w:t>台水公司</w:t>
      </w:r>
      <w:r w:rsidR="00DC3831" w:rsidRPr="00715E34">
        <w:rPr>
          <w:rFonts w:hAnsi="標楷體" w:hint="eastAsia"/>
        </w:rPr>
        <w:t>表示</w:t>
      </w:r>
      <w:r w:rsidRPr="00715E34">
        <w:rPr>
          <w:rFonts w:hAnsi="標楷體" w:hint="eastAsia"/>
        </w:rPr>
        <w:t>，水價若無法合理調整，未來仍無足夠資金加強辦理管線汰換工作，勢必使</w:t>
      </w:r>
      <w:r w:rsidR="007523CC" w:rsidRPr="00715E34">
        <w:rPr>
          <w:rFonts w:hAnsi="標楷體" w:hint="eastAsia"/>
        </w:rPr>
        <w:t>漏水率遞增，且供水系統之備援、備載能量亦無法提升，缺水風險提高；</w:t>
      </w:r>
      <w:r w:rsidRPr="00715E34">
        <w:rPr>
          <w:rFonts w:hAnsi="標楷體" w:hint="eastAsia"/>
        </w:rPr>
        <w:t>又台水公司囿於</w:t>
      </w:r>
      <w:r w:rsidRPr="00715E34">
        <w:rPr>
          <w:rFonts w:hAnsi="標楷體" w:hint="eastAsia"/>
          <w:szCs w:val="32"/>
        </w:rPr>
        <w:t>無法累積自有資金</w:t>
      </w:r>
      <w:r w:rsidRPr="00715E34">
        <w:rPr>
          <w:rFonts w:hAnsi="標楷體" w:hint="eastAsia"/>
        </w:rPr>
        <w:t>，相關新、擴建工程（如配合水利署水源開發計畫，辦理相關下游供水工程）經費須以借款支應，還本付息之沈疴重擔，致使財務結構惡化，從而影響事業之永續經營。</w:t>
      </w:r>
    </w:p>
    <w:p w:rsidR="00A731DE" w:rsidRPr="00715E34" w:rsidRDefault="00A731DE" w:rsidP="00232C83">
      <w:pPr>
        <w:pStyle w:val="3"/>
        <w:topLinePunct/>
        <w:rPr>
          <w:rFonts w:hAnsi="標楷體"/>
        </w:rPr>
      </w:pPr>
      <w:r w:rsidRPr="00715E34">
        <w:rPr>
          <w:rFonts w:hAnsi="標楷體" w:hint="eastAsia"/>
        </w:rPr>
        <w:t>自來水為</w:t>
      </w:r>
      <w:r w:rsidRPr="00715E34">
        <w:rPr>
          <w:rFonts w:hAnsi="標楷體"/>
        </w:rPr>
        <w:t>民生基本物</w:t>
      </w:r>
      <w:r w:rsidRPr="00715E34">
        <w:rPr>
          <w:rFonts w:hAnsi="標楷體" w:hint="eastAsia"/>
        </w:rPr>
        <w:t>資</w:t>
      </w:r>
      <w:r w:rsidRPr="00715E34">
        <w:rPr>
          <w:rFonts w:hAnsi="標楷體"/>
        </w:rPr>
        <w:t>，水價調整可能使</w:t>
      </w:r>
      <w:r w:rsidRPr="00715E34">
        <w:rPr>
          <w:rFonts w:hAnsi="標楷體"/>
          <w:szCs w:val="32"/>
        </w:rPr>
        <w:t>民眾生活負擔及工商產業發展</w:t>
      </w:r>
      <w:r w:rsidRPr="00715E34">
        <w:rPr>
          <w:rFonts w:hAnsi="標楷體"/>
        </w:rPr>
        <w:t>均受影響，</w:t>
      </w:r>
      <w:r w:rsidRPr="00715E34">
        <w:rPr>
          <w:rFonts w:hAnsi="標楷體"/>
          <w:lang w:eastAsia="zh-HK"/>
        </w:rPr>
        <w:t>惟影響程度</w:t>
      </w:r>
      <w:r w:rsidRPr="00715E34">
        <w:rPr>
          <w:rFonts w:hAnsi="標楷體"/>
        </w:rPr>
        <w:t>據台水公司查復指出，依96年至100年家庭消費支出統計顯示，水費（0.37%）與電費（1.40%）、其他通訊費（3.22%）及交通費（1.26%）比較，水費負擔最少，因此，水價增加之家庭負擔極為有限，加上基</w:t>
      </w:r>
      <w:r w:rsidRPr="00715E34">
        <w:rPr>
          <w:rFonts w:hAnsi="標楷體"/>
        </w:rPr>
        <w:lastRenderedPageBreak/>
        <w:t>本民生用水量（1度至10度）之水價不調漲，故其影響將更為輕微</w:t>
      </w:r>
      <w:r w:rsidRPr="00715E34">
        <w:rPr>
          <w:rStyle w:val="aff2"/>
          <w:rFonts w:hAnsi="標楷體"/>
        </w:rPr>
        <w:footnoteReference w:id="38"/>
      </w:r>
      <w:r w:rsidRPr="00715E34">
        <w:rPr>
          <w:rFonts w:hAnsi="標楷體"/>
        </w:rPr>
        <w:t>。又工業局「工業用水效率提升輔導與推廣計畫」曾於92年</w:t>
      </w:r>
      <w:r w:rsidR="00372B0A" w:rsidRPr="00715E34">
        <w:rPr>
          <w:rFonts w:hAnsi="標楷體" w:hint="eastAsia"/>
        </w:rPr>
        <w:t>間</w:t>
      </w:r>
      <w:r w:rsidRPr="00715E34">
        <w:rPr>
          <w:rFonts w:hAnsi="標楷體"/>
        </w:rPr>
        <w:t>針對參與輔導之190家廠商進行問卷調查，調查結果約有99%工廠之用水支出占生產成本比</w:t>
      </w:r>
      <w:r w:rsidRPr="00715E34">
        <w:rPr>
          <w:rFonts w:hAnsi="標楷體" w:hint="eastAsia"/>
        </w:rPr>
        <w:t>率</w:t>
      </w:r>
      <w:r w:rsidRPr="00715E34">
        <w:rPr>
          <w:rFonts w:hAnsi="標楷體"/>
        </w:rPr>
        <w:t>低於1</w:t>
      </w:r>
      <w:r w:rsidRPr="00715E34">
        <w:rPr>
          <w:rFonts w:hAnsi="標楷體" w:hint="eastAsia"/>
        </w:rPr>
        <w:t>%</w:t>
      </w:r>
      <w:r w:rsidRPr="00715E34">
        <w:rPr>
          <w:rFonts w:hAnsi="標楷體"/>
        </w:rPr>
        <w:t>，顯見水價調整影響應屬輕微</w:t>
      </w:r>
      <w:r w:rsidRPr="00715E34">
        <w:rPr>
          <w:rStyle w:val="aff2"/>
          <w:rFonts w:hAnsi="標楷體"/>
        </w:rPr>
        <w:footnoteReference w:id="39"/>
      </w:r>
      <w:r w:rsidRPr="00715E34">
        <w:rPr>
          <w:rFonts w:hAnsi="標楷體"/>
        </w:rPr>
        <w:t>；另調查亦發現，廠商對於缺水之忍受度較低，故極為重視供水之穩定度。</w:t>
      </w:r>
      <w:r w:rsidRPr="00715E34">
        <w:rPr>
          <w:rFonts w:hAnsi="標楷體" w:hint="eastAsia"/>
        </w:rPr>
        <w:t>此外，</w:t>
      </w:r>
      <w:r w:rsidRPr="00715E34">
        <w:rPr>
          <w:rFonts w:hAnsi="標楷體"/>
        </w:rPr>
        <w:t>本院諮詢黃前政務顧問</w:t>
      </w:r>
      <w:r w:rsidR="00A47126">
        <w:rPr>
          <w:rFonts w:hAnsi="標楷體"/>
        </w:rPr>
        <w:t>○○</w:t>
      </w:r>
      <w:r w:rsidRPr="00715E34">
        <w:rPr>
          <w:rFonts w:hAnsi="標楷體"/>
        </w:rPr>
        <w:t>指出：「建議儘快依成本訂定合理的水價，自然能解決台水公司虧損問題」、「台水公司汰換管線一直都不敷成本，負債超過600億元，台水公司103年平均單位成本11.14元/度，尚未合理反映這類成本，合理化水價應該要合理反映汰換管線成本」、「水價真正的總成本不只30元/度」；梁董事長</w:t>
      </w:r>
      <w:r w:rsidR="00A47126">
        <w:rPr>
          <w:rFonts w:hAnsi="標楷體"/>
        </w:rPr>
        <w:t>○○</w:t>
      </w:r>
      <w:r w:rsidRPr="00715E34">
        <w:rPr>
          <w:rFonts w:hAnsi="標楷體"/>
          <w:lang w:eastAsia="zh-HK"/>
        </w:rPr>
        <w:t>亦提及</w:t>
      </w:r>
      <w:r w:rsidRPr="00715E34">
        <w:rPr>
          <w:rFonts w:hAnsi="標楷體"/>
        </w:rPr>
        <w:t>：「水價合理化尚待落實：1、缺少節水誘因，</w:t>
      </w:r>
      <w:r w:rsidRPr="00715E34">
        <w:rPr>
          <w:rFonts w:hAnsi="標楷體" w:hint="eastAsia"/>
        </w:rPr>
        <w:t>臺北市340</w:t>
      </w:r>
      <w:r w:rsidRPr="00715E34">
        <w:rPr>
          <w:rFonts w:hAnsi="標楷體"/>
        </w:rPr>
        <w:t>公升/日</w:t>
      </w:r>
      <w:r w:rsidRPr="00715E34">
        <w:rPr>
          <w:rFonts w:hAnsi="標楷體" w:hint="eastAsia"/>
        </w:rPr>
        <w:t>，高雄</w:t>
      </w:r>
      <w:r w:rsidRPr="00715E34">
        <w:rPr>
          <w:rFonts w:hAnsi="標楷體"/>
        </w:rPr>
        <w:t>市</w:t>
      </w:r>
      <w:r w:rsidRPr="00715E34">
        <w:rPr>
          <w:rFonts w:hAnsi="標楷體" w:hint="eastAsia"/>
        </w:rPr>
        <w:t>則266</w:t>
      </w:r>
      <w:r w:rsidRPr="00715E34">
        <w:rPr>
          <w:rFonts w:hAnsi="標楷體"/>
        </w:rPr>
        <w:t>公升/日，遠高於東京225公升/日，新加坡152公升/日，歐洲的170公升/日。</w:t>
      </w:r>
      <w:r w:rsidRPr="00715E34">
        <w:rPr>
          <w:rFonts w:hAnsi="標楷體" w:hint="eastAsia"/>
        </w:rPr>
        <w:t>2</w:t>
      </w:r>
      <w:r w:rsidRPr="00715E34">
        <w:rPr>
          <w:rFonts w:hAnsi="標楷體"/>
        </w:rPr>
        <w:t>、因無法反映成本造成台水公司虧損，99至103年台水公司幾乎年年虧損（最高達-0.28元/度）。</w:t>
      </w:r>
      <w:r w:rsidRPr="00715E34">
        <w:rPr>
          <w:rFonts w:hAnsi="標楷體" w:hint="eastAsia"/>
        </w:rPr>
        <w:t>3</w:t>
      </w:r>
      <w:r w:rsidR="004C0212" w:rsidRPr="00715E34">
        <w:rPr>
          <w:rFonts w:hAnsi="標楷體"/>
        </w:rPr>
        <w:t>、因水公司無力進行管線維修，漏水率偏高，</w:t>
      </w:r>
      <w:r w:rsidRPr="00715E34">
        <w:rPr>
          <w:rFonts w:hAnsi="標楷體"/>
        </w:rPr>
        <w:t>國</w:t>
      </w:r>
      <w:r w:rsidR="004C0212" w:rsidRPr="00715E34">
        <w:rPr>
          <w:rFonts w:hAnsi="標楷體" w:hint="eastAsia"/>
        </w:rPr>
        <w:t>內</w:t>
      </w:r>
      <w:r w:rsidRPr="00715E34">
        <w:rPr>
          <w:rFonts w:hAnsi="標楷體"/>
        </w:rPr>
        <w:t>漏水率達18%，遠高於日本（東京）的3%」</w:t>
      </w:r>
      <w:r w:rsidRPr="00715E34">
        <w:rPr>
          <w:rFonts w:hAnsi="標楷體" w:hint="eastAsia"/>
        </w:rPr>
        <w:t>、</w:t>
      </w:r>
      <w:r w:rsidRPr="00715E34">
        <w:rPr>
          <w:rFonts w:hAnsi="標楷體"/>
        </w:rPr>
        <w:t>「就北水處的調整方案而言，提高平均水價因占消費者物價指數</w:t>
      </w:r>
      <w:r w:rsidRPr="00715E34">
        <w:rPr>
          <w:rFonts w:hAnsi="標楷體" w:hint="eastAsia"/>
        </w:rPr>
        <w:t>（</w:t>
      </w:r>
      <w:r w:rsidRPr="00715E34">
        <w:rPr>
          <w:rFonts w:hAnsi="標楷體"/>
        </w:rPr>
        <w:t>CPI</w:t>
      </w:r>
      <w:r w:rsidRPr="00715E34">
        <w:rPr>
          <w:rFonts w:hAnsi="標楷體" w:hint="eastAsia"/>
        </w:rPr>
        <w:t>）</w:t>
      </w:r>
      <w:r w:rsidRPr="00715E34">
        <w:rPr>
          <w:rFonts w:hAnsi="標楷體"/>
        </w:rPr>
        <w:t>的比重僅0.3%，遠低於電的2.2%，油的3.5%</w:t>
      </w:r>
      <w:r w:rsidRPr="00715E34">
        <w:rPr>
          <w:rFonts w:hAnsi="標楷體" w:hint="eastAsia"/>
        </w:rPr>
        <w:t>，</w:t>
      </w:r>
      <w:r w:rsidRPr="00715E34">
        <w:rPr>
          <w:rFonts w:hAnsi="標楷體"/>
        </w:rPr>
        <w:t>調</w:t>
      </w:r>
      <w:r w:rsidRPr="00715E34">
        <w:rPr>
          <w:rFonts w:hAnsi="標楷體" w:hint="eastAsia"/>
        </w:rPr>
        <w:t>高水</w:t>
      </w:r>
      <w:r w:rsidRPr="00715E34">
        <w:rPr>
          <w:rFonts w:hAnsi="標楷體"/>
        </w:rPr>
        <w:t>價對CPI的影響不大</w:t>
      </w:r>
      <w:r w:rsidRPr="00715E34">
        <w:rPr>
          <w:rFonts w:hAnsi="標楷體" w:hint="eastAsia"/>
        </w:rPr>
        <w:t>，</w:t>
      </w:r>
      <w:r w:rsidRPr="00715E34">
        <w:rPr>
          <w:rFonts w:hAnsi="標楷體"/>
        </w:rPr>
        <w:t>台水公司也應提出對應的方案」；洪前院長</w:t>
      </w:r>
      <w:r w:rsidR="00A47126">
        <w:rPr>
          <w:rFonts w:hAnsi="標楷體"/>
        </w:rPr>
        <w:t>○○</w:t>
      </w:r>
      <w:r w:rsidRPr="00715E34">
        <w:rPr>
          <w:rFonts w:hAnsi="標楷體"/>
        </w:rPr>
        <w:t>亦</w:t>
      </w:r>
      <w:r w:rsidRPr="00715E34">
        <w:rPr>
          <w:rFonts w:hAnsi="標楷體"/>
          <w:lang w:eastAsia="zh-HK"/>
        </w:rPr>
        <w:t>表示</w:t>
      </w:r>
      <w:r w:rsidRPr="00715E34">
        <w:rPr>
          <w:rFonts w:hAnsi="標楷體"/>
        </w:rPr>
        <w:t>：「就民生用水而言，臺北市每戶每年水費支出占全年總消費支出的比率約為0.5%，</w:t>
      </w:r>
      <w:r w:rsidR="002415F6" w:rsidRPr="00715E34">
        <w:rPr>
          <w:rFonts w:hAnsi="標楷體" w:hint="eastAsia"/>
        </w:rPr>
        <w:t>臺灣</w:t>
      </w:r>
      <w:r w:rsidRPr="00715E34">
        <w:rPr>
          <w:rFonts w:hAnsi="標楷體"/>
        </w:rPr>
        <w:t>其他地區的情形也與臺北市差不了多少。如果民生用水水價調高</w:t>
      </w:r>
      <w:r w:rsidRPr="00715E34">
        <w:rPr>
          <w:rFonts w:hAnsi="標楷體" w:hint="eastAsia"/>
        </w:rPr>
        <w:t>1</w:t>
      </w:r>
      <w:r w:rsidRPr="00715E34">
        <w:rPr>
          <w:rFonts w:hAnsi="標楷體"/>
        </w:rPr>
        <w:t>倍，其水費支出</w:t>
      </w:r>
      <w:r w:rsidRPr="00715E34">
        <w:rPr>
          <w:rFonts w:hAnsi="標楷體"/>
        </w:rPr>
        <w:lastRenderedPageBreak/>
        <w:t>占總支出的比率亦不過1%，這與電費、電話費及車資的占比而言也是便宜甚多。況且，目前所倡議的民生用水水價調整，只建議就超過基本用水量的部分加以調漲，且用量越大價格應該越高，以達到節約用水的目的」、「就產業界而言，水價調高會增加它的生產成本，這項問題可以從水費支出對產業生產的重要性來觀察。根據台</w:t>
      </w:r>
      <w:r w:rsidRPr="00715E34">
        <w:rPr>
          <w:rFonts w:hAnsi="標楷體" w:hint="eastAsia"/>
        </w:rPr>
        <w:t>灣</w:t>
      </w:r>
      <w:r w:rsidRPr="00715E34">
        <w:rPr>
          <w:rFonts w:hAnsi="標楷體"/>
        </w:rPr>
        <w:t>經</w:t>
      </w:r>
      <w:r w:rsidRPr="00715E34">
        <w:rPr>
          <w:rFonts w:hAnsi="標楷體" w:hint="eastAsia"/>
        </w:rPr>
        <w:t>濟研究</w:t>
      </w:r>
      <w:r w:rsidRPr="00715E34">
        <w:rPr>
          <w:rFonts w:hAnsi="標楷體"/>
        </w:rPr>
        <w:t>院</w:t>
      </w:r>
      <w:r w:rsidRPr="00715E34">
        <w:rPr>
          <w:rFonts w:hAnsi="標楷體" w:hint="eastAsia"/>
        </w:rPr>
        <w:t>的</w:t>
      </w:r>
      <w:r w:rsidRPr="00715E34">
        <w:rPr>
          <w:rFonts w:hAnsi="標楷體"/>
        </w:rPr>
        <w:t>一項研究</w:t>
      </w:r>
      <w:r w:rsidRPr="00715E34">
        <w:rPr>
          <w:rFonts w:hAnsi="標楷體" w:hint="eastAsia"/>
        </w:rPr>
        <w:t>結果</w:t>
      </w:r>
      <w:r w:rsidRPr="00715E34">
        <w:rPr>
          <w:rFonts w:hAnsi="標楷體"/>
        </w:rPr>
        <w:t>得知，水費支出占各產業的生產比重大多不到0.1%。由此可知，縱使水價調漲</w:t>
      </w:r>
      <w:r w:rsidRPr="00715E34">
        <w:rPr>
          <w:rFonts w:hAnsi="標楷體" w:hint="eastAsia"/>
        </w:rPr>
        <w:t>1</w:t>
      </w:r>
      <w:r w:rsidRPr="00715E34">
        <w:rPr>
          <w:rFonts w:hAnsi="標楷體"/>
        </w:rPr>
        <w:t>倍，其生產成本也不過增加0.1%至0.2%而已，成本變動相當微小</w:t>
      </w:r>
      <w:r w:rsidR="00991457" w:rsidRPr="00715E34">
        <w:rPr>
          <w:rFonts w:hAnsi="標楷體"/>
        </w:rPr>
        <w:t>。</w:t>
      </w:r>
      <w:r w:rsidRPr="00715E34">
        <w:rPr>
          <w:rFonts w:hAnsi="標楷體"/>
        </w:rPr>
        <w:t>」</w:t>
      </w:r>
      <w:r w:rsidRPr="00715E34">
        <w:rPr>
          <w:rStyle w:val="aff2"/>
          <w:rFonts w:hAnsi="標楷體"/>
        </w:rPr>
        <w:footnoteReference w:id="40"/>
      </w:r>
    </w:p>
    <w:p w:rsidR="00A731DE" w:rsidRPr="00715E34" w:rsidRDefault="00A731DE" w:rsidP="00232C83">
      <w:pPr>
        <w:pStyle w:val="3"/>
        <w:topLinePunct/>
        <w:rPr>
          <w:rFonts w:hAnsi="標楷體"/>
          <w:kern w:val="0"/>
          <w:sz w:val="24"/>
          <w:szCs w:val="24"/>
        </w:rPr>
      </w:pPr>
      <w:r w:rsidRPr="00715E34">
        <w:rPr>
          <w:rFonts w:hAnsi="標楷體" w:hint="eastAsia"/>
        </w:rPr>
        <w:t>另外，台水公司統計，商業及工業用水戶每月用水量高於100度者約占70%及96%左右，倘水價</w:t>
      </w:r>
      <w:r w:rsidRPr="00715E34">
        <w:rPr>
          <w:rFonts w:hAnsi="標楷體"/>
        </w:rPr>
        <w:t>提高後將增加其支出</w:t>
      </w:r>
      <w:r w:rsidRPr="00715E34">
        <w:rPr>
          <w:rFonts w:hAnsi="標楷體" w:hint="eastAsia"/>
        </w:rPr>
        <w:t>，</w:t>
      </w:r>
      <w:r w:rsidRPr="00715E34">
        <w:rPr>
          <w:rFonts w:hAnsi="標楷體"/>
        </w:rPr>
        <w:t>故尚需進一步審慎評估水價調整對於</w:t>
      </w:r>
      <w:r w:rsidRPr="00715E34">
        <w:rPr>
          <w:rFonts w:hAnsi="標楷體" w:hint="eastAsia"/>
        </w:rPr>
        <w:t>高用水戶</w:t>
      </w:r>
      <w:r w:rsidRPr="00715E34">
        <w:rPr>
          <w:rFonts w:hAnsi="標楷體"/>
        </w:rPr>
        <w:t>之衝擊</w:t>
      </w:r>
      <w:r w:rsidRPr="00715E34">
        <w:rPr>
          <w:rFonts w:hAnsi="標楷體" w:hint="eastAsia"/>
        </w:rPr>
        <w:t>；針對</w:t>
      </w:r>
      <w:r w:rsidRPr="00715E34">
        <w:rPr>
          <w:rFonts w:hAnsi="標楷體"/>
        </w:rPr>
        <w:t>水價調整衝擊較大之工商業用戶，台水公司預估除少數以水為主要原料之傳統產業因產業特性不易調整，大部分工廠可提高回收利用率，以減輕成本壓力。本院諮詢洪前院長</w:t>
      </w:r>
      <w:r w:rsidR="00A47126">
        <w:rPr>
          <w:rFonts w:hAnsi="標楷體"/>
        </w:rPr>
        <w:t>○○</w:t>
      </w:r>
      <w:r w:rsidRPr="00715E34">
        <w:rPr>
          <w:rFonts w:hAnsi="標楷體" w:hint="eastAsia"/>
          <w:lang w:eastAsia="zh-HK"/>
        </w:rPr>
        <w:t>亦認為：</w:t>
      </w:r>
      <w:r w:rsidRPr="00715E34">
        <w:rPr>
          <w:rFonts w:hAnsi="標楷體"/>
        </w:rPr>
        <w:t>「許多產業所重視的是供水的穩定性、可靠性。如果水價稍作合理的調漲，讓水公司的財務改善，進而有能力汰舊換新輸水管線，用水戶有更大誘因從事節水、省水的投資，這將使得水的供應更充裕，供水更穩定，更可靠</w:t>
      </w:r>
      <w:r w:rsidR="00DC3831" w:rsidRPr="00715E34">
        <w:rPr>
          <w:rFonts w:hAnsi="標楷體"/>
        </w:rPr>
        <w:t>。</w:t>
      </w:r>
      <w:r w:rsidRPr="00715E34">
        <w:rPr>
          <w:rFonts w:hAnsi="標楷體"/>
        </w:rPr>
        <w:t>」</w:t>
      </w:r>
    </w:p>
    <w:p w:rsidR="00A731DE" w:rsidRPr="00715E34" w:rsidRDefault="00A731DE" w:rsidP="00232C83">
      <w:pPr>
        <w:pStyle w:val="3"/>
        <w:topLinePunct/>
        <w:rPr>
          <w:rFonts w:hAnsi="標楷體"/>
          <w:kern w:val="0"/>
          <w:sz w:val="24"/>
          <w:szCs w:val="24"/>
        </w:rPr>
      </w:pPr>
      <w:r w:rsidRPr="00715E34">
        <w:rPr>
          <w:rFonts w:hAnsi="標楷體" w:hint="eastAsia"/>
          <w:szCs w:val="20"/>
        </w:rPr>
        <w:t>台水公司</w:t>
      </w:r>
      <w:r w:rsidRPr="00715E34">
        <w:rPr>
          <w:rFonts w:hAnsi="標楷體"/>
          <w:szCs w:val="20"/>
        </w:rPr>
        <w:t>長達21年間</w:t>
      </w:r>
      <w:r w:rsidRPr="00715E34">
        <w:rPr>
          <w:rFonts w:hAnsi="標楷體" w:hint="eastAsia"/>
          <w:szCs w:val="20"/>
        </w:rPr>
        <w:t>未獲合理調整水價，已如前述</w:t>
      </w:r>
      <w:r w:rsidRPr="00715E34">
        <w:rPr>
          <w:rFonts w:hAnsi="標楷體"/>
          <w:szCs w:val="20"/>
        </w:rPr>
        <w:t>，</w:t>
      </w:r>
      <w:r w:rsidRPr="00715E34">
        <w:rPr>
          <w:rFonts w:hAnsi="標楷體" w:hint="eastAsia"/>
          <w:szCs w:val="20"/>
        </w:rPr>
        <w:t>又配合政府執行自來水普及率政策</w:t>
      </w:r>
      <w:r w:rsidRPr="00715E34">
        <w:rPr>
          <w:rFonts w:hAnsi="標楷體"/>
          <w:szCs w:val="20"/>
        </w:rPr>
        <w:t>，</w:t>
      </w:r>
      <w:r w:rsidRPr="00715E34">
        <w:rPr>
          <w:rFonts w:hAnsi="標楷體" w:hint="eastAsia"/>
          <w:szCs w:val="20"/>
        </w:rPr>
        <w:t>台水公司供水管線愈延伸至偏遠地區，相關成本勢必大幅增加，以致於該公司售水量愈高，給水之</w:t>
      </w:r>
      <w:r w:rsidRPr="00715E34">
        <w:rPr>
          <w:rFonts w:hAnsi="標楷體"/>
          <w:bCs w:val="0"/>
        </w:rPr>
        <w:t>平均成本與邊際成本</w:t>
      </w:r>
      <w:r w:rsidRPr="00715E34">
        <w:rPr>
          <w:rFonts w:hAnsi="標楷體" w:hint="eastAsia"/>
          <w:bCs w:val="0"/>
        </w:rPr>
        <w:t>愈</w:t>
      </w:r>
      <w:r w:rsidRPr="00715E34">
        <w:rPr>
          <w:rFonts w:hAnsi="標楷體"/>
          <w:bCs w:val="0"/>
        </w:rPr>
        <w:t>增加，</w:t>
      </w:r>
      <w:r w:rsidRPr="00715E34">
        <w:rPr>
          <w:rFonts w:hAnsi="標楷體" w:hint="eastAsia"/>
          <w:bCs w:val="0"/>
        </w:rPr>
        <w:t>造成</w:t>
      </w:r>
      <w:r w:rsidRPr="00715E34">
        <w:rPr>
          <w:rFonts w:hAnsi="標楷體"/>
          <w:bCs w:val="0"/>
        </w:rPr>
        <w:t>自來水</w:t>
      </w:r>
      <w:r w:rsidRPr="00715E34">
        <w:rPr>
          <w:rFonts w:hAnsi="標楷體" w:hint="eastAsia"/>
          <w:bCs w:val="0"/>
        </w:rPr>
        <w:t>之</w:t>
      </w:r>
      <w:r w:rsidRPr="00715E34">
        <w:rPr>
          <w:rFonts w:hAnsi="標楷體"/>
          <w:bCs w:val="0"/>
        </w:rPr>
        <w:t>規模不經濟</w:t>
      </w:r>
      <w:r w:rsidRPr="00715E34">
        <w:rPr>
          <w:rFonts w:hAnsi="標楷體" w:hint="eastAsia"/>
          <w:bCs w:val="0"/>
        </w:rPr>
        <w:t>。</w:t>
      </w:r>
      <w:r w:rsidRPr="00715E34">
        <w:rPr>
          <w:rFonts w:hAnsi="標楷體"/>
          <w:lang w:eastAsia="zh-HK"/>
        </w:rPr>
        <w:t>職此</w:t>
      </w:r>
      <w:r w:rsidRPr="00715E34">
        <w:rPr>
          <w:rFonts w:hAnsi="標楷體"/>
          <w:lang w:eastAsia="zh-HK"/>
        </w:rPr>
        <w:lastRenderedPageBreak/>
        <w:t>之故，</w:t>
      </w:r>
      <w:r w:rsidRPr="00715E34">
        <w:rPr>
          <w:rFonts w:hAnsi="標楷體"/>
          <w:bCs w:val="0"/>
        </w:rPr>
        <w:t>長久以來，</w:t>
      </w:r>
      <w:r w:rsidRPr="00715E34">
        <w:rPr>
          <w:rFonts w:hAnsi="標楷體"/>
        </w:rPr>
        <w:t>低廉</w:t>
      </w:r>
      <w:r w:rsidRPr="00715E34">
        <w:rPr>
          <w:rFonts w:hAnsi="標楷體"/>
          <w:bCs w:val="0"/>
        </w:rPr>
        <w:t>之水價政策，</w:t>
      </w:r>
      <w:r w:rsidRPr="00715E34">
        <w:rPr>
          <w:rFonts w:hAnsi="標楷體"/>
          <w:bCs w:val="0"/>
          <w:lang w:eastAsia="zh-HK"/>
        </w:rPr>
        <w:t>導致水價未能按自來</w:t>
      </w:r>
      <w:r w:rsidRPr="00715E34">
        <w:rPr>
          <w:rFonts w:hAnsi="標楷體"/>
          <w:bCs w:val="0"/>
        </w:rPr>
        <w:t>水法第59條規定合理反映成本</w:t>
      </w:r>
      <w:r w:rsidRPr="00715E34">
        <w:rPr>
          <w:rFonts w:hAnsi="標楷體" w:hint="eastAsia"/>
          <w:bCs w:val="0"/>
        </w:rPr>
        <w:t>，</w:t>
      </w:r>
      <w:r w:rsidRPr="00715E34">
        <w:rPr>
          <w:rFonts w:hAnsi="標楷體"/>
          <w:bCs w:val="0"/>
        </w:rPr>
        <w:t>各年間新增投資均超過折舊</w:t>
      </w:r>
      <w:r w:rsidRPr="00715E34">
        <w:rPr>
          <w:rFonts w:hAnsi="標楷體"/>
          <w:bCs w:val="0"/>
          <w:kern w:val="0"/>
        </w:rPr>
        <w:t>費及</w:t>
      </w:r>
      <w:r w:rsidRPr="00715E34">
        <w:rPr>
          <w:rFonts w:hAnsi="標楷體"/>
          <w:bCs w:val="0"/>
        </w:rPr>
        <w:t>盈餘合計數，不足之</w:t>
      </w:r>
      <w:r w:rsidRPr="00715E34">
        <w:rPr>
          <w:rFonts w:hAnsi="標楷體"/>
          <w:lang w:eastAsia="zh-HK"/>
        </w:rPr>
        <w:t>資金需求</w:t>
      </w:r>
      <w:r w:rsidRPr="00715E34">
        <w:rPr>
          <w:rFonts w:hAnsi="標楷體"/>
          <w:bCs w:val="0"/>
        </w:rPr>
        <w:t>係以舉借新債方式償付</w:t>
      </w:r>
      <w:r w:rsidRPr="00715E34">
        <w:rPr>
          <w:rFonts w:hAnsi="標楷體" w:hint="eastAsia"/>
          <w:bCs w:val="0"/>
        </w:rPr>
        <w:t>，已</w:t>
      </w:r>
      <w:r w:rsidRPr="00715E34">
        <w:rPr>
          <w:rFonts w:hAnsi="標楷體" w:hint="eastAsia"/>
          <w:bCs w:val="0"/>
          <w:kern w:val="0"/>
          <w:szCs w:val="32"/>
        </w:rPr>
        <w:t>面臨營運風險加鉅、財務結構逐漸惡化等困境</w:t>
      </w:r>
      <w:r w:rsidRPr="00715E34">
        <w:rPr>
          <w:rFonts w:hAnsi="標楷體"/>
          <w:bCs w:val="0"/>
        </w:rPr>
        <w:t>。爰水價長期與成本漸行偏離，已造成台水公司無法達成自來水法第8條所揭以事業發展事業，影響永續經營目標。</w:t>
      </w:r>
    </w:p>
    <w:p w:rsidR="00A731DE" w:rsidRPr="00715E34" w:rsidRDefault="00A731DE" w:rsidP="00232C83">
      <w:pPr>
        <w:pStyle w:val="3"/>
        <w:topLinePunct/>
        <w:rPr>
          <w:rFonts w:hAnsi="標楷體"/>
        </w:rPr>
      </w:pPr>
      <w:r w:rsidRPr="00715E34">
        <w:rPr>
          <w:rFonts w:hAnsi="標楷體"/>
        </w:rPr>
        <w:t>綜上，</w:t>
      </w:r>
      <w:r w:rsidRPr="00715E34">
        <w:rPr>
          <w:rFonts w:hAnsi="標楷體"/>
          <w:lang w:eastAsia="zh-HK"/>
        </w:rPr>
        <w:t>經濟部</w:t>
      </w:r>
      <w:r w:rsidRPr="00715E34">
        <w:rPr>
          <w:rFonts w:hAnsi="標楷體"/>
        </w:rPr>
        <w:t>及台水公司</w:t>
      </w:r>
      <w:r w:rsidRPr="00715E34">
        <w:rPr>
          <w:rFonts w:hAnsi="標楷體"/>
          <w:lang w:eastAsia="zh-HK"/>
        </w:rPr>
        <w:t>基於</w:t>
      </w:r>
      <w:r w:rsidRPr="00715E34">
        <w:rPr>
          <w:rFonts w:hAnsi="標楷體"/>
        </w:rPr>
        <w:t>低廉水價政策</w:t>
      </w:r>
      <w:r w:rsidRPr="00715E34">
        <w:rPr>
          <w:rFonts w:hAnsi="標楷體"/>
          <w:lang w:eastAsia="zh-HK"/>
        </w:rPr>
        <w:t>考量</w:t>
      </w:r>
      <w:r w:rsidRPr="00715E34">
        <w:rPr>
          <w:rFonts w:hAnsi="標楷體"/>
        </w:rPr>
        <w:t>，長</w:t>
      </w:r>
      <w:r w:rsidRPr="00715E34">
        <w:rPr>
          <w:rFonts w:hAnsi="標楷體"/>
          <w:lang w:eastAsia="zh-HK"/>
        </w:rPr>
        <w:t>期未</w:t>
      </w:r>
      <w:r w:rsidRPr="00715E34">
        <w:rPr>
          <w:rFonts w:hAnsi="標楷體"/>
        </w:rPr>
        <w:t>依</w:t>
      </w:r>
      <w:r w:rsidRPr="00715E34">
        <w:rPr>
          <w:rFonts w:hAnsi="標楷體"/>
          <w:lang w:eastAsia="zh-HK"/>
        </w:rPr>
        <w:t>自來水</w:t>
      </w:r>
      <w:r w:rsidRPr="00715E34">
        <w:rPr>
          <w:rFonts w:hAnsi="標楷體"/>
        </w:rPr>
        <w:t>法</w:t>
      </w:r>
      <w:r w:rsidRPr="00715E34">
        <w:rPr>
          <w:rFonts w:hAnsi="標楷體"/>
          <w:lang w:eastAsia="zh-HK"/>
        </w:rPr>
        <w:t>合理反映成本，已</w:t>
      </w:r>
      <w:r w:rsidRPr="00715E34">
        <w:rPr>
          <w:rFonts w:hAnsi="標楷體"/>
        </w:rPr>
        <w:t>嚴重影響台水公司</w:t>
      </w:r>
      <w:r w:rsidRPr="00715E34">
        <w:rPr>
          <w:rFonts w:hAnsi="標楷體"/>
          <w:lang w:eastAsia="zh-HK"/>
        </w:rPr>
        <w:t>之供水效率</w:t>
      </w:r>
      <w:r w:rsidRPr="00715E34">
        <w:rPr>
          <w:rFonts w:hAnsi="標楷體"/>
        </w:rPr>
        <w:t>及永續經營，顯有違失，有關機關應迅予檢討改進。</w:t>
      </w:r>
    </w:p>
    <w:p w:rsidR="004A2528" w:rsidRPr="00715E34" w:rsidRDefault="004A2528" w:rsidP="00232C83">
      <w:pPr>
        <w:pStyle w:val="2"/>
        <w:topLinePunct/>
        <w:spacing w:beforeLines="25" w:before="114"/>
        <w:ind w:left="1020" w:hanging="680"/>
        <w:rPr>
          <w:rFonts w:hAnsi="標楷體"/>
          <w:b/>
          <w:szCs w:val="32"/>
        </w:rPr>
      </w:pPr>
      <w:bookmarkStart w:id="98" w:name="_Toc458000637"/>
      <w:r w:rsidRPr="00715E34">
        <w:rPr>
          <w:rFonts w:hAnsi="標楷體"/>
          <w:b/>
        </w:rPr>
        <w:t>據</w:t>
      </w:r>
      <w:r w:rsidRPr="00715E34">
        <w:rPr>
          <w:rFonts w:hAnsi="標楷體"/>
          <w:b/>
          <w:lang w:eastAsia="zh-HK"/>
        </w:rPr>
        <w:t>北水處</w:t>
      </w:r>
      <w:r w:rsidRPr="00715E34">
        <w:rPr>
          <w:rFonts w:hAnsi="標楷體"/>
          <w:b/>
        </w:rPr>
        <w:t>1</w:t>
      </w:r>
      <w:r w:rsidRPr="00715E34">
        <w:rPr>
          <w:rFonts w:hAnsi="標楷體"/>
          <w:b/>
          <w:lang w:eastAsia="zh-HK"/>
        </w:rPr>
        <w:t>04年</w:t>
      </w:r>
      <w:r w:rsidRPr="00715E34">
        <w:rPr>
          <w:rFonts w:hAnsi="標楷體"/>
          <w:b/>
        </w:rPr>
        <w:t>估算</w:t>
      </w:r>
      <w:r w:rsidRPr="00715E34">
        <w:rPr>
          <w:rFonts w:hAnsi="標楷體"/>
          <w:b/>
          <w:lang w:eastAsia="zh-HK"/>
        </w:rPr>
        <w:t>，平均水</w:t>
      </w:r>
      <w:r w:rsidRPr="00715E34">
        <w:rPr>
          <w:rFonts w:hAnsi="標楷體"/>
          <w:b/>
          <w:szCs w:val="36"/>
          <w:lang w:eastAsia="zh-HK"/>
        </w:rPr>
        <w:t>價</w:t>
      </w:r>
      <w:r w:rsidRPr="00715E34">
        <w:rPr>
          <w:rFonts w:hAnsi="標楷體"/>
          <w:b/>
          <w:szCs w:val="36"/>
        </w:rPr>
        <w:t>每度</w:t>
      </w:r>
      <w:r w:rsidRPr="00715E34">
        <w:rPr>
          <w:rFonts w:hAnsi="標楷體"/>
          <w:b/>
          <w:szCs w:val="36"/>
          <w:lang w:eastAsia="zh-HK"/>
        </w:rPr>
        <w:t>應</w:t>
      </w:r>
      <w:r w:rsidRPr="00715E34">
        <w:rPr>
          <w:rFonts w:hAnsi="標楷體"/>
          <w:b/>
          <w:szCs w:val="36"/>
        </w:rPr>
        <w:t>為</w:t>
      </w:r>
      <w:r w:rsidRPr="00715E34">
        <w:rPr>
          <w:rFonts w:hAnsi="標楷體"/>
          <w:b/>
          <w:szCs w:val="36"/>
          <w:lang w:eastAsia="zh-HK"/>
        </w:rPr>
        <w:t>14.3元</w:t>
      </w:r>
      <w:r w:rsidRPr="00715E34">
        <w:rPr>
          <w:rFonts w:hAnsi="標楷體"/>
          <w:b/>
          <w:lang w:eastAsia="zh-HK"/>
        </w:rPr>
        <w:t>，始能</w:t>
      </w:r>
      <w:r w:rsidRPr="00715E34">
        <w:rPr>
          <w:rFonts w:hAnsi="標楷體"/>
          <w:b/>
          <w:szCs w:val="36"/>
          <w:lang w:eastAsia="zh-HK"/>
        </w:rPr>
        <w:t>完全反映原水成本及回收投資經費</w:t>
      </w:r>
      <w:r w:rsidRPr="00715E34">
        <w:rPr>
          <w:rFonts w:hAnsi="標楷體"/>
          <w:b/>
          <w:szCs w:val="36"/>
        </w:rPr>
        <w:t>等</w:t>
      </w:r>
      <w:r w:rsidRPr="00715E34">
        <w:rPr>
          <w:rFonts w:hAnsi="標楷體"/>
          <w:b/>
          <w:szCs w:val="36"/>
          <w:lang w:eastAsia="zh-HK"/>
        </w:rPr>
        <w:t>；</w:t>
      </w:r>
      <w:r w:rsidRPr="00715E34">
        <w:rPr>
          <w:rFonts w:hAnsi="標楷體"/>
          <w:b/>
          <w:szCs w:val="36"/>
        </w:rPr>
        <w:t>雖</w:t>
      </w:r>
      <w:r w:rsidRPr="00715E34">
        <w:rPr>
          <w:rFonts w:hAnsi="標楷體"/>
          <w:b/>
        </w:rPr>
        <w:t>該處採取分次調整策略，於105年3月已先調漲</w:t>
      </w:r>
      <w:r w:rsidRPr="00715E34">
        <w:rPr>
          <w:rFonts w:hAnsi="標楷體" w:hint="eastAsia"/>
          <w:b/>
        </w:rPr>
        <w:t>平均</w:t>
      </w:r>
      <w:r w:rsidRPr="00715E34">
        <w:rPr>
          <w:rFonts w:hAnsi="標楷體"/>
          <w:b/>
        </w:rPr>
        <w:t>水價至每度11.56元，惟猶與自來水法第59條意旨有悖，允宜務實檢討就未充分反映供水成本所生之影響妥為評估因應</w:t>
      </w:r>
      <w:r w:rsidRPr="00715E34">
        <w:rPr>
          <w:rFonts w:hAnsi="標楷體" w:hint="eastAsia"/>
          <w:b/>
        </w:rPr>
        <w:t>，並兼顧照顧經濟弱勢民眾</w:t>
      </w:r>
      <w:bookmarkEnd w:id="98"/>
    </w:p>
    <w:p w:rsidR="004A2528" w:rsidRPr="00715E34" w:rsidRDefault="004A2528" w:rsidP="00232C83">
      <w:pPr>
        <w:pStyle w:val="3"/>
        <w:widowControl/>
        <w:suppressAutoHyphens/>
        <w:topLinePunct/>
        <w:autoSpaceDE/>
        <w:autoSpaceDN/>
        <w:textAlignment w:val="center"/>
        <w:rPr>
          <w:rFonts w:hAnsi="標楷體"/>
          <w:szCs w:val="32"/>
        </w:rPr>
      </w:pPr>
      <w:r w:rsidRPr="00715E34">
        <w:rPr>
          <w:rFonts w:hAnsi="標楷體" w:hint="eastAsia"/>
          <w:szCs w:val="32"/>
        </w:rPr>
        <w:t>查自來水法第59</w:t>
      </w:r>
      <w:r w:rsidRPr="00715E34">
        <w:rPr>
          <w:rFonts w:hAnsi="標楷體" w:hint="eastAsia"/>
          <w:szCs w:val="32"/>
          <w:lang w:eastAsia="zh-HK"/>
        </w:rPr>
        <w:t>條規定</w:t>
      </w:r>
      <w:r w:rsidRPr="00715E34">
        <w:rPr>
          <w:rFonts w:hAnsi="標楷體" w:hint="eastAsia"/>
          <w:szCs w:val="32"/>
        </w:rPr>
        <w:t>，自來水價之訂定應考量自來水供應品質，以水費收入抵償其所需成本，其計算公式及詳細項目，由直轄市或縣（市）主管機關訂定者，應報請中央主管機關核定之；自來水事業擬定水價詳細項目或調整水費，由直轄市或縣（市）主管機關核定者，應報中央主管機關備查。</w:t>
      </w:r>
      <w:r w:rsidRPr="00715E34">
        <w:rPr>
          <w:rFonts w:hAnsi="標楷體"/>
          <w:szCs w:val="32"/>
          <w:lang w:eastAsia="zh-HK"/>
        </w:rPr>
        <w:t>按</w:t>
      </w:r>
      <w:r w:rsidRPr="00715E34">
        <w:rPr>
          <w:rFonts w:hAnsi="標楷體"/>
        </w:rPr>
        <w:t>經濟部104年10月14日修正</w:t>
      </w:r>
      <w:r w:rsidRPr="00715E34">
        <w:rPr>
          <w:rFonts w:hAnsi="標楷體"/>
          <w:lang w:eastAsia="zh-HK"/>
        </w:rPr>
        <w:t>之</w:t>
      </w:r>
      <w:r w:rsidRPr="00715E34">
        <w:rPr>
          <w:rFonts w:hAnsi="標楷體"/>
        </w:rPr>
        <w:t>「水價計算公式及詳細項目」</w:t>
      </w:r>
      <w:r w:rsidRPr="00715E34">
        <w:rPr>
          <w:rFonts w:hAnsi="標楷體"/>
          <w:szCs w:val="32"/>
        </w:rPr>
        <w:t>：</w:t>
      </w:r>
    </w:p>
    <w:p w:rsidR="004A2528" w:rsidRPr="00715E34" w:rsidRDefault="004A2528" w:rsidP="00232C83">
      <w:pPr>
        <w:pStyle w:val="4"/>
        <w:topLinePunct/>
        <w:rPr>
          <w:rFonts w:hAnsi="標楷體"/>
          <w:bCs/>
          <w:szCs w:val="32"/>
        </w:rPr>
      </w:pPr>
      <w:r w:rsidRPr="00715E34">
        <w:rPr>
          <w:rFonts w:hAnsi="標楷體"/>
          <w:bCs/>
          <w:szCs w:val="32"/>
        </w:rPr>
        <w:t>平均單位水價＝（成本＋合理利潤＋各項稅賦）</w:t>
      </w:r>
      <w:r w:rsidRPr="00715E34">
        <w:rPr>
          <w:rFonts w:hAnsi="標楷體"/>
        </w:rPr>
        <w:t>÷</w:t>
      </w:r>
      <w:r w:rsidRPr="00715E34">
        <w:rPr>
          <w:rFonts w:hAnsi="標楷體"/>
          <w:bCs/>
          <w:szCs w:val="32"/>
        </w:rPr>
        <w:t>售水度數</w:t>
      </w:r>
    </w:p>
    <w:p w:rsidR="004A2528" w:rsidRPr="00715E34" w:rsidRDefault="004A2528" w:rsidP="00232C83">
      <w:pPr>
        <w:pStyle w:val="4"/>
        <w:topLinePunct/>
        <w:rPr>
          <w:rFonts w:hAnsi="標楷體"/>
          <w:bCs/>
          <w:szCs w:val="32"/>
        </w:rPr>
      </w:pPr>
      <w:r w:rsidRPr="00715E34">
        <w:rPr>
          <w:rFonts w:hAnsi="標楷體"/>
          <w:bCs/>
          <w:szCs w:val="32"/>
        </w:rPr>
        <w:t>成本部分仍維持原水費用、淨水費用、供水費用、業務費用、管理費用、財務費用、其他營業</w:t>
      </w:r>
      <w:r w:rsidRPr="00715E34">
        <w:rPr>
          <w:rFonts w:hAnsi="標楷體"/>
          <w:bCs/>
          <w:szCs w:val="32"/>
        </w:rPr>
        <w:lastRenderedPageBreak/>
        <w:t>費用等7項。但其中「原水費用」部分定義修正為「自水源取得原水輸送至淨水場進水口及保護水源所發生之各項費用」，以反映水源保育費用。</w:t>
      </w:r>
    </w:p>
    <w:p w:rsidR="004A2528" w:rsidRPr="00715E34" w:rsidRDefault="004A2528" w:rsidP="00232C83">
      <w:pPr>
        <w:pStyle w:val="4"/>
        <w:topLinePunct/>
        <w:rPr>
          <w:rFonts w:hAnsi="標楷體"/>
          <w:bCs/>
          <w:szCs w:val="32"/>
        </w:rPr>
      </w:pPr>
      <w:r w:rsidRPr="00715E34">
        <w:rPr>
          <w:rFonts w:hAnsi="標楷體"/>
          <w:bCs/>
          <w:szCs w:val="32"/>
        </w:rPr>
        <w:t>計算各項因子應以擬定水價時最近3年度之決算平均數，加未來營運發展、因應災害準備（含推動節約用水措施）及物價變動因素推算之。</w:t>
      </w:r>
    </w:p>
    <w:p w:rsidR="004A2528" w:rsidRPr="00715E34" w:rsidRDefault="004A2528" w:rsidP="00232C83">
      <w:pPr>
        <w:pStyle w:val="3"/>
        <w:widowControl/>
        <w:suppressAutoHyphens/>
        <w:topLinePunct/>
        <w:autoSpaceDE/>
        <w:autoSpaceDN/>
        <w:textAlignment w:val="center"/>
        <w:rPr>
          <w:rFonts w:hAnsi="標楷體"/>
        </w:rPr>
      </w:pPr>
      <w:r w:rsidRPr="00715E34">
        <w:rPr>
          <w:rFonts w:hAnsi="標楷體"/>
          <w:lang w:eastAsia="zh-HK"/>
        </w:rPr>
        <w:t>據北水處查復，</w:t>
      </w:r>
      <w:r w:rsidRPr="00715E34">
        <w:rPr>
          <w:rFonts w:hAnsi="標楷體"/>
          <w:szCs w:val="32"/>
        </w:rPr>
        <w:t>該處103年平均</w:t>
      </w:r>
      <w:r w:rsidRPr="00715E34">
        <w:rPr>
          <w:rFonts w:hAnsi="標楷體"/>
          <w:szCs w:val="32"/>
          <w:lang w:eastAsia="zh-HK"/>
        </w:rPr>
        <w:t>水</w:t>
      </w:r>
      <w:r w:rsidRPr="00715E34">
        <w:rPr>
          <w:rFonts w:hAnsi="標楷體"/>
          <w:szCs w:val="32"/>
        </w:rPr>
        <w:t>價（含行政支援台水</w:t>
      </w:r>
      <w:r w:rsidRPr="00715E34">
        <w:rPr>
          <w:rFonts w:hAnsi="標楷體" w:hint="eastAsia"/>
          <w:szCs w:val="32"/>
        </w:rPr>
        <w:t>公司</w:t>
      </w:r>
      <w:r w:rsidRPr="00715E34">
        <w:rPr>
          <w:rFonts w:hAnsi="標楷體"/>
          <w:szCs w:val="32"/>
        </w:rPr>
        <w:t>收入）8.33元/度，尚未</w:t>
      </w:r>
      <w:r w:rsidRPr="00715E34">
        <w:rPr>
          <w:rFonts w:hAnsi="標楷體" w:hint="eastAsia"/>
          <w:szCs w:val="32"/>
        </w:rPr>
        <w:t>足額</w:t>
      </w:r>
      <w:r w:rsidRPr="00715E34">
        <w:rPr>
          <w:rFonts w:hAnsi="標楷體"/>
          <w:szCs w:val="32"/>
          <w:lang w:eastAsia="zh-HK"/>
        </w:rPr>
        <w:t>反映之費用</w:t>
      </w:r>
      <w:r w:rsidRPr="00715E34">
        <w:rPr>
          <w:rFonts w:hAnsi="標楷體"/>
          <w:szCs w:val="32"/>
        </w:rPr>
        <w:t>項目如下：</w:t>
      </w:r>
    </w:p>
    <w:p w:rsidR="004A2528" w:rsidRPr="00715E34" w:rsidRDefault="004A2528" w:rsidP="00232C83">
      <w:pPr>
        <w:pStyle w:val="4"/>
        <w:topLinePunct/>
        <w:rPr>
          <w:rFonts w:hAnsi="標楷體"/>
        </w:rPr>
      </w:pPr>
      <w:r w:rsidRPr="00715E34">
        <w:rPr>
          <w:rFonts w:hAnsi="標楷體"/>
        </w:rPr>
        <w:t>保護水源所</w:t>
      </w:r>
      <w:r w:rsidRPr="00715E34">
        <w:rPr>
          <w:rFonts w:hAnsi="標楷體"/>
          <w:lang w:eastAsia="zh-HK"/>
        </w:rPr>
        <w:t>發生</w:t>
      </w:r>
      <w:r w:rsidRPr="00715E34">
        <w:rPr>
          <w:rFonts w:hAnsi="標楷體"/>
        </w:rPr>
        <w:t>之費用，</w:t>
      </w:r>
      <w:r w:rsidR="00104A85" w:rsidRPr="00715E34">
        <w:rPr>
          <w:rFonts w:hAnsi="標楷體"/>
          <w:lang w:eastAsia="zh-HK"/>
        </w:rPr>
        <w:t>包括</w:t>
      </w:r>
    </w:p>
    <w:p w:rsidR="004A2528" w:rsidRPr="00715E34" w:rsidRDefault="004A2528" w:rsidP="00232C83">
      <w:pPr>
        <w:pStyle w:val="5"/>
        <w:topLinePunct/>
        <w:rPr>
          <w:rFonts w:hAnsi="標楷體"/>
        </w:rPr>
      </w:pPr>
      <w:r w:rsidRPr="00715E34">
        <w:rPr>
          <w:rFonts w:hAnsi="標楷體"/>
        </w:rPr>
        <w:t>翡翠</w:t>
      </w:r>
      <w:r w:rsidRPr="00715E34">
        <w:rPr>
          <w:rFonts w:hAnsi="標楷體"/>
          <w:lang w:eastAsia="zh-HK"/>
        </w:rPr>
        <w:t>水庫</w:t>
      </w:r>
      <w:r w:rsidRPr="00715E34">
        <w:rPr>
          <w:rFonts w:hAnsi="標楷體"/>
        </w:rPr>
        <w:t>原水費：水庫水源開發費用係編列於翡翠水庫之單位預算中，依臺北翡翠水庫管理局設算，每年水庫運轉維護、重置及水土保持經費約8億571萬元（不含中央出資補助及原水收入興建翡翠水庫款項），倘以歷年平均購水量3億348萬</w:t>
      </w:r>
      <w:r w:rsidR="003B0352" w:rsidRPr="00715E34">
        <w:rPr>
          <w:rFonts w:hAnsi="標楷體"/>
        </w:rPr>
        <w:t>立方公尺</w:t>
      </w:r>
      <w:r w:rsidRPr="00715E34">
        <w:rPr>
          <w:rFonts w:hAnsi="標楷體"/>
        </w:rPr>
        <w:t>換算，購買原水合理價格為2.655元/度，而北水處平均原水費僅支付0.52元/度</w:t>
      </w:r>
      <w:r w:rsidRPr="00715E34">
        <w:rPr>
          <w:rStyle w:val="aff2"/>
          <w:rFonts w:hAnsi="標楷體"/>
        </w:rPr>
        <w:footnoteReference w:id="41"/>
      </w:r>
      <w:r w:rsidRPr="00715E34">
        <w:rPr>
          <w:rFonts w:hAnsi="標楷體"/>
        </w:rPr>
        <w:t>，</w:t>
      </w:r>
      <w:r w:rsidRPr="00715E34">
        <w:rPr>
          <w:rFonts w:hAnsi="標楷體"/>
          <w:szCs w:val="32"/>
        </w:rPr>
        <w:t>不到整體水源保育建設所需經費之20%</w:t>
      </w:r>
      <w:r w:rsidRPr="00715E34">
        <w:rPr>
          <w:rFonts w:hAnsi="標楷體"/>
        </w:rPr>
        <w:t>，未反映金額6億4,793萬元</w:t>
      </w:r>
      <w:r w:rsidRPr="00715E34">
        <w:rPr>
          <w:rStyle w:val="aff2"/>
          <w:rFonts w:hAnsi="標楷體"/>
        </w:rPr>
        <w:footnoteReference w:id="42"/>
      </w:r>
      <w:r w:rsidRPr="00715E34">
        <w:rPr>
          <w:rFonts w:hAnsi="標楷體"/>
        </w:rPr>
        <w:t>，均由政府編列預算補貼。</w:t>
      </w:r>
    </w:p>
    <w:p w:rsidR="004A2528" w:rsidRPr="00715E34" w:rsidRDefault="004A2528" w:rsidP="00232C83">
      <w:pPr>
        <w:pStyle w:val="5"/>
        <w:topLinePunct/>
        <w:rPr>
          <w:rFonts w:hAnsi="標楷體"/>
        </w:rPr>
      </w:pPr>
      <w:r w:rsidRPr="00715E34">
        <w:rPr>
          <w:rFonts w:hAnsi="標楷體"/>
        </w:rPr>
        <w:t>南勢溪保護水源費：臺北水</w:t>
      </w:r>
      <w:r w:rsidR="00F25080" w:rsidRPr="00715E34">
        <w:rPr>
          <w:rFonts w:hAnsi="標楷體" w:hint="eastAsia"/>
        </w:rPr>
        <w:t>源</w:t>
      </w:r>
      <w:r w:rsidRPr="00715E34">
        <w:rPr>
          <w:rFonts w:hAnsi="標楷體"/>
        </w:rPr>
        <w:t>局經常性年度保護水源費約2.3億元，近年均由該局編列預算全額負擔，北水處並未支應，亦未反映於水</w:t>
      </w:r>
      <w:r w:rsidRPr="00715E34">
        <w:rPr>
          <w:rFonts w:hAnsi="標楷體" w:hint="eastAsia"/>
        </w:rPr>
        <w:t>價</w:t>
      </w:r>
      <w:r w:rsidRPr="00715E34">
        <w:rPr>
          <w:rFonts w:hAnsi="標楷體"/>
        </w:rPr>
        <w:t>當中。</w:t>
      </w:r>
    </w:p>
    <w:p w:rsidR="004A2528" w:rsidRPr="00715E34" w:rsidRDefault="004A2528" w:rsidP="00232C83">
      <w:pPr>
        <w:pStyle w:val="5"/>
        <w:topLinePunct/>
        <w:rPr>
          <w:rFonts w:hAnsi="標楷體"/>
        </w:rPr>
      </w:pPr>
      <w:r w:rsidRPr="00715E34">
        <w:rPr>
          <w:rFonts w:hAnsi="標楷體"/>
        </w:rPr>
        <w:t>由上述可知，水庫原水費6億4,793萬元加計保護水源費約2.3億元，每年尚未反映之原水費用</w:t>
      </w:r>
      <w:r w:rsidRPr="00715E34">
        <w:rPr>
          <w:rFonts w:hAnsi="標楷體"/>
        </w:rPr>
        <w:lastRenderedPageBreak/>
        <w:t>為8億7,793萬元，又按北水處轄區售水應分攤比81.57%（另18.43%為行政支援台水公司分攤比）推算，尚約7億1,613萬元未計入水</w:t>
      </w:r>
      <w:r w:rsidRPr="00715E34">
        <w:rPr>
          <w:rFonts w:hAnsi="標楷體" w:hint="eastAsia"/>
        </w:rPr>
        <w:t>價</w:t>
      </w:r>
      <w:r w:rsidRPr="00715E34">
        <w:rPr>
          <w:rFonts w:hAnsi="標楷體"/>
        </w:rPr>
        <w:t>，倘以預估售水量4億8,189萬</w:t>
      </w:r>
      <w:r w:rsidR="003B0352" w:rsidRPr="00715E34">
        <w:rPr>
          <w:rFonts w:hAnsi="標楷體"/>
        </w:rPr>
        <w:t>立方公尺</w:t>
      </w:r>
      <w:r w:rsidRPr="00715E34">
        <w:rPr>
          <w:rFonts w:hAnsi="標楷體"/>
        </w:rPr>
        <w:t>計算，水價低估1.49元/度。</w:t>
      </w:r>
    </w:p>
    <w:p w:rsidR="004A2528" w:rsidRPr="00715E34" w:rsidRDefault="004A2528" w:rsidP="00232C83">
      <w:pPr>
        <w:pStyle w:val="4"/>
        <w:topLinePunct/>
        <w:rPr>
          <w:rFonts w:hAnsi="標楷體"/>
        </w:rPr>
      </w:pPr>
      <w:r w:rsidRPr="00715E34">
        <w:rPr>
          <w:rFonts w:hAnsi="標楷體"/>
        </w:rPr>
        <w:t>設施改善經費</w:t>
      </w:r>
    </w:p>
    <w:p w:rsidR="004A2528" w:rsidRPr="00715E34" w:rsidRDefault="004A2528" w:rsidP="00232C83">
      <w:pPr>
        <w:pStyle w:val="5"/>
        <w:topLinePunct/>
        <w:rPr>
          <w:rFonts w:hAnsi="標楷體"/>
        </w:rPr>
      </w:pPr>
      <w:r w:rsidRPr="00715E34">
        <w:rPr>
          <w:rFonts w:hAnsi="標楷體"/>
          <w:szCs w:val="32"/>
        </w:rPr>
        <w:t>99年至103年</w:t>
      </w:r>
      <w:r w:rsidRPr="00715E34">
        <w:rPr>
          <w:rFonts w:hAnsi="標楷體" w:hint="eastAsia"/>
          <w:szCs w:val="32"/>
        </w:rPr>
        <w:t>水價內含</w:t>
      </w:r>
      <w:r w:rsidRPr="00715E34">
        <w:rPr>
          <w:rFonts w:hAnsi="標楷體"/>
          <w:szCs w:val="32"/>
        </w:rPr>
        <w:t>用以改善設施更新及減漏之</w:t>
      </w:r>
      <w:r w:rsidRPr="00715E34">
        <w:rPr>
          <w:rFonts w:hAnsi="標楷體" w:hint="eastAsia"/>
          <w:szCs w:val="32"/>
        </w:rPr>
        <w:t>平均</w:t>
      </w:r>
      <w:r w:rsidRPr="00715E34">
        <w:rPr>
          <w:rFonts w:hAnsi="標楷體"/>
          <w:szCs w:val="32"/>
        </w:rPr>
        <w:t>費用</w:t>
      </w:r>
      <w:r w:rsidRPr="00715E34">
        <w:rPr>
          <w:rFonts w:hAnsi="標楷體" w:hint="eastAsia"/>
          <w:szCs w:val="32"/>
        </w:rPr>
        <w:t>為3.38</w:t>
      </w:r>
      <w:r w:rsidRPr="00715E34">
        <w:rPr>
          <w:rFonts w:hAnsi="標楷體"/>
          <w:szCs w:val="32"/>
        </w:rPr>
        <w:t>元/度</w:t>
      </w:r>
      <w:r w:rsidRPr="00715E34">
        <w:rPr>
          <w:rFonts w:hAnsi="標楷體" w:hint="eastAsia"/>
          <w:szCs w:val="32"/>
        </w:rPr>
        <w:t>。</w:t>
      </w:r>
      <w:r w:rsidRPr="00715E34">
        <w:rPr>
          <w:rFonts w:hAnsi="標楷體"/>
        </w:rPr>
        <w:t>依據日本之經驗，64年時日本平均水價68.8日元/度，約新臺幣19.7元/度，其中更新及維護費合計即占17.3%，約11.9日元/度，折合新臺幣3.4元/度，而隨著管線老化，計畫性更新及維護費持續提高，至100年水價平均176.78日元/度，相當新臺幣50.5元/度，其中更新及維護費比重亦增至32.7%，增為57.8日元/度，換算為新臺幣16.5元/度，增加超過4倍。日本</w:t>
      </w:r>
      <w:r w:rsidRPr="00715E34">
        <w:rPr>
          <w:rFonts w:hAnsi="標楷體" w:hint="eastAsia"/>
        </w:rPr>
        <w:t>水價</w:t>
      </w:r>
      <w:r w:rsidRPr="00715E34">
        <w:rPr>
          <w:rFonts w:hAnsi="標楷體"/>
        </w:rPr>
        <w:t>單是更新維護費（相當新臺幣16.5元/度）部分</w:t>
      </w:r>
      <w:r w:rsidRPr="00715E34">
        <w:rPr>
          <w:rFonts w:hAnsi="標楷體" w:hint="eastAsia"/>
        </w:rPr>
        <w:t>，</w:t>
      </w:r>
      <w:r w:rsidRPr="00715E34">
        <w:rPr>
          <w:rFonts w:hAnsi="標楷體"/>
        </w:rPr>
        <w:t>就</w:t>
      </w:r>
      <w:r w:rsidRPr="00715E34">
        <w:rPr>
          <w:rFonts w:hAnsi="標楷體" w:hint="eastAsia"/>
        </w:rPr>
        <w:t>已超出</w:t>
      </w:r>
      <w:r w:rsidRPr="00715E34">
        <w:rPr>
          <w:rFonts w:hAnsi="標楷體"/>
        </w:rPr>
        <w:t>北水處103年水價（8.33元/度）</w:t>
      </w:r>
      <w:r w:rsidRPr="00715E34">
        <w:rPr>
          <w:rFonts w:hAnsi="標楷體" w:hint="eastAsia"/>
        </w:rPr>
        <w:t>達</w:t>
      </w:r>
      <w:r w:rsidRPr="00715E34">
        <w:rPr>
          <w:rFonts w:hAnsi="標楷體"/>
        </w:rPr>
        <w:t>1倍。</w:t>
      </w:r>
    </w:p>
    <w:p w:rsidR="004A2528" w:rsidRPr="00715E34" w:rsidRDefault="004A2528" w:rsidP="00C30C6A">
      <w:pPr>
        <w:pStyle w:val="5"/>
        <w:topLinePunct/>
        <w:autoSpaceDE/>
        <w:autoSpaceDN/>
        <w:ind w:left="2042" w:hanging="851"/>
        <w:rPr>
          <w:rFonts w:hAnsi="標楷體"/>
        </w:rPr>
      </w:pPr>
      <w:r w:rsidRPr="00715E34">
        <w:rPr>
          <w:rFonts w:hAnsi="標楷體"/>
          <w:lang w:eastAsia="zh-HK"/>
        </w:rPr>
        <w:t>北水處</w:t>
      </w:r>
      <w:r w:rsidRPr="00715E34">
        <w:rPr>
          <w:rFonts w:hAnsi="標楷體"/>
        </w:rPr>
        <w:t>83年</w:t>
      </w:r>
      <w:r w:rsidRPr="00715E34">
        <w:rPr>
          <w:rFonts w:hAnsi="標楷體" w:hint="eastAsia"/>
        </w:rPr>
        <w:t>水價調整</w:t>
      </w:r>
      <w:r w:rsidRPr="00715E34">
        <w:rPr>
          <w:rFonts w:hAnsi="標楷體"/>
        </w:rPr>
        <w:t>所採計之成本</w:t>
      </w:r>
      <w:r w:rsidRPr="00715E34">
        <w:rPr>
          <w:rFonts w:hAnsi="標楷體" w:hint="eastAsia"/>
          <w:szCs w:val="32"/>
        </w:rPr>
        <w:t>係歷史成本，</w:t>
      </w:r>
      <w:r w:rsidRPr="00715E34">
        <w:rPr>
          <w:rFonts w:hAnsi="標楷體"/>
        </w:rPr>
        <w:t>21年來因油電及物價齊揚成本大幅增加，</w:t>
      </w:r>
      <w:r w:rsidRPr="00715E34">
        <w:rPr>
          <w:rFonts w:hAnsi="標楷體" w:hint="eastAsia"/>
        </w:rPr>
        <w:t>且</w:t>
      </w:r>
      <w:r w:rsidRPr="00715E34">
        <w:rPr>
          <w:rFonts w:hAnsi="標楷體" w:hint="eastAsia"/>
          <w:szCs w:val="32"/>
        </w:rPr>
        <w:t>未涵蓋未來營運發展需要之因素（如管網更新與供水設施改善所需經費），</w:t>
      </w:r>
      <w:r w:rsidRPr="00715E34">
        <w:rPr>
          <w:rFonts w:hAnsi="標楷體"/>
        </w:rPr>
        <w:t>95年為因應氣候變遷，</w:t>
      </w:r>
      <w:r w:rsidRPr="00715E34">
        <w:rPr>
          <w:rFonts w:hAnsi="標楷體"/>
          <w:szCs w:val="32"/>
        </w:rPr>
        <w:t>以降低缺水風險為考量，</w:t>
      </w:r>
      <w:r w:rsidRPr="00715E34">
        <w:rPr>
          <w:rFonts w:hAnsi="標楷體"/>
        </w:rPr>
        <w:t>提出「備援備載」及「供水管網改善」兩大長程計畫，資本支出逐年遞增，自來水設施折舊攤提與維護費用已由83年11.9億元增加至103年21.6億元，負債由83年44.4億元上升至103年120億元，投資報酬率已降至0.43%，遠低於</w:t>
      </w:r>
      <w:r w:rsidRPr="00715E34">
        <w:rPr>
          <w:rFonts w:hAnsi="標楷體" w:hint="eastAsia"/>
        </w:rPr>
        <w:t>中</w:t>
      </w:r>
      <w:r w:rsidRPr="00715E34">
        <w:rPr>
          <w:rFonts w:hAnsi="標楷體"/>
        </w:rPr>
        <w:t>央</w:t>
      </w:r>
      <w:r w:rsidRPr="00715E34">
        <w:rPr>
          <w:rFonts w:hAnsi="標楷體" w:hint="eastAsia"/>
        </w:rPr>
        <w:t>銀</w:t>
      </w:r>
      <w:r w:rsidRPr="00715E34">
        <w:rPr>
          <w:rFonts w:hAnsi="標楷體"/>
        </w:rPr>
        <w:t>行近10年平均放款利率2.68%，亦低於北水處近10年平均貸款利率1.16%，未來10年尚</w:t>
      </w:r>
      <w:r w:rsidRPr="00715E34">
        <w:rPr>
          <w:rFonts w:hAnsi="標楷體"/>
        </w:rPr>
        <w:lastRenderedPageBreak/>
        <w:t>需投資超過300億元經費，資金不足需借貸，報酬率又低於貸款利率，長期下來，財務負擔加重，必將影響未來改善計畫之投資規模及營運發展，此項成本均未反映在水價內。</w:t>
      </w:r>
    </w:p>
    <w:p w:rsidR="004A2528" w:rsidRPr="00715E34" w:rsidRDefault="004A2528" w:rsidP="00232C83">
      <w:pPr>
        <w:pStyle w:val="3"/>
        <w:widowControl/>
        <w:suppressAutoHyphens/>
        <w:topLinePunct/>
        <w:autoSpaceDE/>
        <w:autoSpaceDN/>
        <w:textAlignment w:val="center"/>
        <w:rPr>
          <w:rFonts w:hAnsi="標楷體"/>
          <w:bCs w:val="0"/>
        </w:rPr>
      </w:pPr>
      <w:r w:rsidRPr="00715E34">
        <w:rPr>
          <w:rFonts w:hAnsi="標楷體"/>
          <w:lang w:eastAsia="zh-HK"/>
        </w:rPr>
        <w:t>另北水處表示，101年度至103年度平均水價9.02元/度，如完全反映原水成本及回收投資經費，平均水價應調整至14.3元/度，調幅近60%，</w:t>
      </w:r>
      <w:r w:rsidRPr="00715E34">
        <w:rPr>
          <w:rFonts w:hAnsi="標楷體"/>
        </w:rPr>
        <w:t>為讓民眾有更換</w:t>
      </w:r>
      <w:r w:rsidRPr="00715E34">
        <w:rPr>
          <w:rFonts w:hAnsi="標楷體"/>
          <w:lang w:eastAsia="zh-HK"/>
        </w:rPr>
        <w:t>設備調整因應之時間</w:t>
      </w:r>
      <w:r w:rsidRPr="00715E34">
        <w:rPr>
          <w:rFonts w:hAnsi="標楷體"/>
        </w:rPr>
        <w:t>，</w:t>
      </w:r>
      <w:r w:rsidRPr="00715E34">
        <w:rPr>
          <w:rFonts w:hAnsi="標楷體"/>
          <w:lang w:eastAsia="zh-HK"/>
        </w:rPr>
        <w:t>參考學者專家建議，</w:t>
      </w:r>
      <w:r w:rsidRPr="00715E34">
        <w:rPr>
          <w:rFonts w:hAnsi="標楷體"/>
        </w:rPr>
        <w:t>價格調整將分次進行，逐步反映原水成本及回收投資經費</w:t>
      </w:r>
      <w:r w:rsidRPr="00715E34">
        <w:rPr>
          <w:rFonts w:hAnsi="標楷體"/>
          <w:lang w:eastAsia="zh-HK"/>
        </w:rPr>
        <w:t>。嗣</w:t>
      </w:r>
      <w:r w:rsidRPr="00715E34">
        <w:rPr>
          <w:rFonts w:hAnsi="標楷體" w:hint="eastAsia"/>
          <w:bCs w:val="0"/>
          <w:lang w:eastAsia="zh-HK"/>
        </w:rPr>
        <w:t>據</w:t>
      </w:r>
      <w:r w:rsidRPr="00715E34">
        <w:rPr>
          <w:rFonts w:hAnsi="標楷體"/>
          <w:bCs w:val="0"/>
        </w:rPr>
        <w:t>北水處105年2月16日官網指出，105年3月起水價平均增收2.54元/度，調漲後平均</w:t>
      </w:r>
      <w:r w:rsidRPr="00715E34">
        <w:rPr>
          <w:rFonts w:hAnsi="標楷體"/>
          <w:bCs w:val="0"/>
          <w:lang w:eastAsia="zh-HK"/>
        </w:rPr>
        <w:t>水</w:t>
      </w:r>
      <w:r w:rsidRPr="00715E34">
        <w:rPr>
          <w:rFonts w:hAnsi="標楷體"/>
          <w:bCs w:val="0"/>
        </w:rPr>
        <w:t>價11.56元</w:t>
      </w:r>
      <w:r w:rsidRPr="00715E34">
        <w:rPr>
          <w:rFonts w:hAnsi="標楷體" w:hint="eastAsia"/>
          <w:bCs w:val="0"/>
        </w:rPr>
        <w:t>/度</w:t>
      </w:r>
      <w:r w:rsidRPr="00715E34">
        <w:rPr>
          <w:rFonts w:hAnsi="標楷體"/>
          <w:bCs w:val="0"/>
        </w:rPr>
        <w:t>，調幅28.16%；</w:t>
      </w:r>
      <w:r w:rsidRPr="00715E34">
        <w:rPr>
          <w:rFonts w:hAnsi="標楷體"/>
          <w:bCs w:val="0"/>
          <w:lang w:eastAsia="zh-HK"/>
        </w:rPr>
        <w:t>其中，</w:t>
      </w:r>
      <w:r w:rsidRPr="00715E34">
        <w:rPr>
          <w:rFonts w:hAnsi="標楷體"/>
          <w:bCs w:val="0"/>
        </w:rPr>
        <w:t>增收之水費運用於供水防漏1.21元/度、保護水源0.61元/度、提升淨水0.3元/度、災害準備（如旱季節水優惠、災害與事故設施搶修及損失補償等）0.29元/度、用戶服務（如推動智慧水表、增加用戶水質資訊服務等）0.13元/度。</w:t>
      </w:r>
    </w:p>
    <w:p w:rsidR="004A2528" w:rsidRPr="00715E34" w:rsidRDefault="004A2528" w:rsidP="00C30C6A">
      <w:pPr>
        <w:pStyle w:val="3"/>
        <w:topLinePunct/>
        <w:autoSpaceDE/>
        <w:autoSpaceDN/>
        <w:ind w:left="1360" w:hanging="680"/>
        <w:rPr>
          <w:rFonts w:hAnsi="標楷體"/>
        </w:rPr>
      </w:pPr>
      <w:r w:rsidRPr="00715E34">
        <w:rPr>
          <w:rFonts w:hAnsi="標楷體"/>
          <w:lang w:eastAsia="zh-HK"/>
        </w:rPr>
        <w:t>綜上，</w:t>
      </w:r>
      <w:r w:rsidRPr="00715E34">
        <w:rPr>
          <w:rFonts w:hAnsi="標楷體"/>
        </w:rPr>
        <w:t>據北水處104年估算，平均水價每度應為14.3元，始能完全反映原水成本及回收投資經費等</w:t>
      </w:r>
      <w:r w:rsidRPr="00715E34">
        <w:rPr>
          <w:rFonts w:hAnsi="標楷體"/>
          <w:lang w:eastAsia="zh-HK"/>
        </w:rPr>
        <w:t>；</w:t>
      </w:r>
      <w:r w:rsidRPr="00715E34">
        <w:rPr>
          <w:rFonts w:hAnsi="標楷體"/>
        </w:rPr>
        <w:t>雖該處採取分次調整策略，於105年3月已先調漲</w:t>
      </w:r>
      <w:r w:rsidRPr="00715E34">
        <w:rPr>
          <w:rFonts w:hAnsi="標楷體" w:hint="eastAsia"/>
        </w:rPr>
        <w:t>平均</w:t>
      </w:r>
      <w:r w:rsidRPr="00715E34">
        <w:rPr>
          <w:rFonts w:hAnsi="標楷體"/>
        </w:rPr>
        <w:t>水價至每度11.56元，惟猶與自來水法第59條意旨有悖，允宜再務實檢討就未充分反映供水成本所生之影響妥為評估因應</w:t>
      </w:r>
      <w:r w:rsidRPr="00715E34">
        <w:rPr>
          <w:rFonts w:hAnsi="標楷體" w:hint="eastAsia"/>
        </w:rPr>
        <w:t>，並兼顧照顧經濟弱勢民眾</w:t>
      </w:r>
      <w:r w:rsidRPr="00715E34">
        <w:rPr>
          <w:rFonts w:hAnsi="標楷體"/>
        </w:rPr>
        <w:t>。</w:t>
      </w:r>
    </w:p>
    <w:p w:rsidR="004A2528" w:rsidRPr="00715E34" w:rsidRDefault="004A2528" w:rsidP="00232C83">
      <w:pPr>
        <w:pStyle w:val="2"/>
        <w:topLinePunct/>
        <w:spacing w:beforeLines="25" w:before="114"/>
        <w:ind w:left="1020" w:hanging="680"/>
        <w:rPr>
          <w:rFonts w:hAnsi="標楷體"/>
          <w:b/>
          <w:szCs w:val="32"/>
        </w:rPr>
      </w:pPr>
      <w:bookmarkStart w:id="99" w:name="_Toc458000638"/>
      <w:r w:rsidRPr="00715E34">
        <w:rPr>
          <w:rFonts w:hAnsi="標楷體"/>
          <w:b/>
          <w:szCs w:val="32"/>
        </w:rPr>
        <w:t>台水公司採取</w:t>
      </w:r>
      <w:r w:rsidRPr="00715E34">
        <w:rPr>
          <w:rFonts w:hAnsi="標楷體" w:hint="eastAsia"/>
          <w:b/>
          <w:szCs w:val="32"/>
        </w:rPr>
        <w:t>分段</w:t>
      </w:r>
      <w:r w:rsidRPr="00715E34">
        <w:rPr>
          <w:rFonts w:hAnsi="標楷體"/>
          <w:b/>
          <w:szCs w:val="32"/>
        </w:rPr>
        <w:t>差別</w:t>
      </w:r>
      <w:r w:rsidRPr="00715E34">
        <w:rPr>
          <w:rFonts w:hAnsi="標楷體"/>
          <w:b/>
          <w:szCs w:val="36"/>
        </w:rPr>
        <w:t>費率</w:t>
      </w:r>
      <w:r w:rsidRPr="00715E34">
        <w:rPr>
          <w:rFonts w:hAnsi="標楷體" w:hint="eastAsia"/>
          <w:b/>
          <w:szCs w:val="32"/>
        </w:rPr>
        <w:t>以價制量之</w:t>
      </w:r>
      <w:r w:rsidRPr="00715E34">
        <w:rPr>
          <w:rFonts w:hAnsi="標楷體"/>
          <w:b/>
          <w:szCs w:val="32"/>
        </w:rPr>
        <w:t>效果不明顯，</w:t>
      </w:r>
      <w:r w:rsidRPr="00715E34">
        <w:rPr>
          <w:rFonts w:hAnsi="標楷體"/>
          <w:b/>
          <w:szCs w:val="32"/>
          <w:lang w:eastAsia="zh-HK"/>
        </w:rPr>
        <w:t>北水處針對用水大戶採單一費率</w:t>
      </w:r>
      <w:r w:rsidRPr="00715E34">
        <w:rPr>
          <w:rFonts w:hAnsi="標楷體"/>
          <w:b/>
          <w:szCs w:val="32"/>
        </w:rPr>
        <w:t>，無法對高用水戶產生抑制效果，有失社會公平，均應積極檢討；水利署未來開徵耗水費，亦應落實使用者付費及公平性原則，俾期擴大節水成效</w:t>
      </w:r>
      <w:bookmarkEnd w:id="99"/>
    </w:p>
    <w:p w:rsidR="004A2528" w:rsidRPr="00715E34" w:rsidRDefault="004A2528" w:rsidP="00232C83">
      <w:pPr>
        <w:pStyle w:val="3"/>
        <w:widowControl/>
        <w:suppressAutoHyphens/>
        <w:topLinePunct/>
        <w:autoSpaceDE/>
        <w:autoSpaceDN/>
        <w:textAlignment w:val="center"/>
        <w:rPr>
          <w:rFonts w:hAnsi="標楷體"/>
        </w:rPr>
      </w:pPr>
      <w:r w:rsidRPr="00715E34">
        <w:rPr>
          <w:rFonts w:hAnsi="標楷體"/>
        </w:rPr>
        <w:lastRenderedPageBreak/>
        <w:t>水價依實際用水量分級（段）累進計費，旨在反映供水成本之隨量遞增，並符合鼓勵節約用水之精神。</w:t>
      </w:r>
      <w:r w:rsidRPr="00715E34">
        <w:rPr>
          <w:rFonts w:hAnsi="標楷體"/>
          <w:lang w:eastAsia="zh-HK"/>
        </w:rPr>
        <w:t>倘若累進費率</w:t>
      </w:r>
      <w:r w:rsidRPr="00715E34">
        <w:rPr>
          <w:rFonts w:hAnsi="標楷體"/>
        </w:rPr>
        <w:t>未能針對高用水量用戶徵收合理之用水成本，其用水浪費部分之供水成本，反由節約用水者予以補貼，不僅降低水資源之配置效率，亦有違水價之公平原則。本院諮詢黃前政務顧問</w:t>
      </w:r>
      <w:r w:rsidR="00A47126">
        <w:rPr>
          <w:rFonts w:hAnsi="標楷體"/>
        </w:rPr>
        <w:t>○○</w:t>
      </w:r>
      <w:r w:rsidRPr="00715E34">
        <w:rPr>
          <w:rFonts w:hAnsi="標楷體"/>
        </w:rPr>
        <w:t>即指出：合理化水價難得最近受到社會各界的支持，建議儘快依成本訂定合理的水價；水價不合理受益是大戶，用水量越多受益越大，小戶受益有限，造成社會不公平，應該藉著這次調漲水價的聲浪，將水價合理化；不同使用標的採用不同的差別水價是必須，尤其依「需要」及「享受」的多寡訂定水價才合理；政府機關與環團的共識是水價調整要照顧弱勢，比較賺錢的高用水行業，水費要比較貴，例如北京SPA</w:t>
      </w:r>
      <w:r w:rsidRPr="00715E34">
        <w:rPr>
          <w:rFonts w:hAnsi="標楷體" w:hint="eastAsia"/>
          <w:lang w:eastAsia="zh-HK"/>
        </w:rPr>
        <w:t>行業</w:t>
      </w:r>
      <w:r w:rsidRPr="00715E34">
        <w:rPr>
          <w:rFonts w:hAnsi="標楷體"/>
        </w:rPr>
        <w:t>的水價折合新臺幣即高達250元/度。</w:t>
      </w:r>
    </w:p>
    <w:p w:rsidR="004A2528" w:rsidRPr="00715E34" w:rsidRDefault="004A2528" w:rsidP="00C30C6A">
      <w:pPr>
        <w:pStyle w:val="3"/>
        <w:widowControl/>
        <w:suppressAutoHyphens/>
        <w:topLinePunct/>
        <w:autoSpaceDE/>
        <w:autoSpaceDN/>
        <w:spacing w:after="240"/>
        <w:ind w:left="1360" w:hanging="680"/>
        <w:textAlignment w:val="center"/>
        <w:rPr>
          <w:rFonts w:hAnsi="標楷體"/>
          <w:szCs w:val="32"/>
        </w:rPr>
      </w:pPr>
      <w:r w:rsidRPr="00715E34">
        <w:rPr>
          <w:rFonts w:hAnsi="標楷體"/>
          <w:szCs w:val="32"/>
          <w:lang w:eastAsia="zh-HK"/>
        </w:rPr>
        <w:t>經查，</w:t>
      </w:r>
      <w:r w:rsidRPr="00715E34">
        <w:rPr>
          <w:rFonts w:hAnsi="標楷體"/>
          <w:szCs w:val="32"/>
        </w:rPr>
        <w:t>台水公司之水價</w:t>
      </w:r>
      <w:r w:rsidRPr="00715E34">
        <w:rPr>
          <w:rFonts w:hAnsi="標楷體"/>
          <w:szCs w:val="32"/>
          <w:lang w:eastAsia="zh-HK"/>
        </w:rPr>
        <w:t>級距分</w:t>
      </w:r>
      <w:r w:rsidRPr="00715E34">
        <w:rPr>
          <w:rFonts w:hAnsi="標楷體"/>
          <w:szCs w:val="32"/>
        </w:rPr>
        <w:t>為4</w:t>
      </w:r>
      <w:r w:rsidRPr="00715E34">
        <w:rPr>
          <w:rFonts w:hAnsi="標楷體"/>
          <w:szCs w:val="32"/>
          <w:lang w:eastAsia="zh-HK"/>
        </w:rPr>
        <w:t>段</w:t>
      </w:r>
      <w:r w:rsidRPr="00715E34">
        <w:rPr>
          <w:rFonts w:hAnsi="標楷體"/>
          <w:szCs w:val="32"/>
        </w:rPr>
        <w:t>，最低</w:t>
      </w:r>
      <w:r w:rsidRPr="00715E34">
        <w:rPr>
          <w:rFonts w:hAnsi="標楷體"/>
          <w:szCs w:val="32"/>
          <w:lang w:eastAsia="zh-HK"/>
        </w:rPr>
        <w:t>級距</w:t>
      </w:r>
      <w:r w:rsidRPr="00715E34">
        <w:rPr>
          <w:rFonts w:hAnsi="標楷體"/>
          <w:szCs w:val="32"/>
        </w:rPr>
        <w:t>（10度以下）費率7元/</w:t>
      </w:r>
      <w:r w:rsidRPr="00715E34">
        <w:rPr>
          <w:rFonts w:hAnsi="標楷體"/>
          <w:szCs w:val="32"/>
          <w:lang w:eastAsia="zh-HK"/>
        </w:rPr>
        <w:t>度</w:t>
      </w:r>
      <w:r w:rsidRPr="00715E34">
        <w:rPr>
          <w:rFonts w:hAnsi="標楷體"/>
          <w:szCs w:val="32"/>
        </w:rPr>
        <w:t>，最高</w:t>
      </w:r>
      <w:r w:rsidRPr="00715E34">
        <w:rPr>
          <w:rFonts w:hAnsi="標楷體"/>
          <w:szCs w:val="32"/>
          <w:lang w:eastAsia="zh-HK"/>
        </w:rPr>
        <w:t>級距</w:t>
      </w:r>
      <w:r w:rsidRPr="00715E34">
        <w:rPr>
          <w:rFonts w:hAnsi="標楷體"/>
          <w:szCs w:val="32"/>
        </w:rPr>
        <w:t>（51度以上）費率11.5元/</w:t>
      </w:r>
      <w:r w:rsidRPr="00715E34">
        <w:rPr>
          <w:rFonts w:hAnsi="標楷體"/>
          <w:szCs w:val="32"/>
          <w:lang w:eastAsia="zh-HK"/>
        </w:rPr>
        <w:t>度</w:t>
      </w:r>
      <w:r w:rsidRPr="00715E34">
        <w:rPr>
          <w:rFonts w:hAnsi="標楷體"/>
          <w:szCs w:val="32"/>
        </w:rPr>
        <w:t>，兩者價差不到1倍</w:t>
      </w:r>
      <w:r w:rsidRPr="00715E34">
        <w:rPr>
          <w:rFonts w:hAnsi="標楷體" w:hint="eastAsia"/>
          <w:szCs w:val="32"/>
        </w:rPr>
        <w:t>，</w:t>
      </w:r>
      <w:r w:rsidRPr="00715E34">
        <w:rPr>
          <w:rFonts w:hAnsi="標楷體" w:hint="eastAsia"/>
          <w:szCs w:val="32"/>
          <w:lang w:eastAsia="zh-HK"/>
        </w:rPr>
        <w:t>即級距間費率差距不明顯</w:t>
      </w:r>
      <w:r w:rsidRPr="00715E34">
        <w:rPr>
          <w:rFonts w:hAnsi="標楷體"/>
          <w:szCs w:val="32"/>
        </w:rPr>
        <w:t>。然</w:t>
      </w:r>
      <w:r w:rsidRPr="00715E34">
        <w:rPr>
          <w:rFonts w:hAnsi="標楷體"/>
          <w:szCs w:val="32"/>
          <w:lang w:eastAsia="zh-HK"/>
        </w:rPr>
        <w:t>參考</w:t>
      </w:r>
      <w:r w:rsidRPr="00715E34">
        <w:rPr>
          <w:rFonts w:hAnsi="標楷體"/>
        </w:rPr>
        <w:t>鄰近國家</w:t>
      </w:r>
      <w:r w:rsidRPr="00715E34">
        <w:rPr>
          <w:rFonts w:hAnsi="標楷體" w:hint="eastAsia"/>
        </w:rPr>
        <w:t>各主要</w:t>
      </w:r>
      <w:r w:rsidRPr="00715E34">
        <w:rPr>
          <w:rFonts w:hAnsi="標楷體"/>
        </w:rPr>
        <w:t>城市</w:t>
      </w:r>
      <w:r w:rsidRPr="00715E34">
        <w:rPr>
          <w:rFonts w:hAnsi="標楷體"/>
          <w:szCs w:val="32"/>
        </w:rPr>
        <w:t>水價級距高低差比</w:t>
      </w:r>
      <w:r w:rsidRPr="00715E34">
        <w:rPr>
          <w:rFonts w:hAnsi="標楷體"/>
          <w:szCs w:val="32"/>
          <w:lang w:eastAsia="zh-HK"/>
        </w:rPr>
        <w:t>可知</w:t>
      </w:r>
      <w:r w:rsidRPr="00715E34">
        <w:rPr>
          <w:rFonts w:hAnsi="標楷體"/>
        </w:rPr>
        <w:t>（如下表所示）</w:t>
      </w:r>
      <w:r w:rsidRPr="00715E34">
        <w:rPr>
          <w:rFonts w:hAnsi="標楷體"/>
          <w:szCs w:val="32"/>
          <w:lang w:eastAsia="zh-HK"/>
        </w:rPr>
        <w:t>，日本東京</w:t>
      </w:r>
      <w:r w:rsidRPr="00715E34">
        <w:rPr>
          <w:rFonts w:hAnsi="標楷體"/>
          <w:szCs w:val="32"/>
        </w:rPr>
        <w:t>最高</w:t>
      </w:r>
      <w:r w:rsidRPr="00715E34">
        <w:rPr>
          <w:rFonts w:hAnsi="標楷體"/>
          <w:szCs w:val="32"/>
          <w:lang w:eastAsia="zh-HK"/>
        </w:rPr>
        <w:t>與最低級距費率相差18.36倍，中國上海相差8.59倍，</w:t>
      </w:r>
      <w:r w:rsidRPr="00715E34">
        <w:rPr>
          <w:rFonts w:hAnsi="標楷體"/>
          <w:szCs w:val="32"/>
        </w:rPr>
        <w:t>南</w:t>
      </w:r>
      <w:r w:rsidRPr="00715E34">
        <w:rPr>
          <w:rFonts w:hAnsi="標楷體"/>
          <w:szCs w:val="32"/>
          <w:lang w:eastAsia="zh-HK"/>
        </w:rPr>
        <w:t>韓首爾相差4.16倍</w:t>
      </w:r>
      <w:r w:rsidRPr="00715E34">
        <w:rPr>
          <w:rFonts w:hAnsi="標楷體"/>
          <w:szCs w:val="32"/>
        </w:rPr>
        <w:t>，</w:t>
      </w:r>
      <w:r w:rsidRPr="00715E34">
        <w:rPr>
          <w:rFonts w:hAnsi="標楷體"/>
          <w:szCs w:val="32"/>
          <w:lang w:eastAsia="zh-HK"/>
        </w:rPr>
        <w:t>凸顯台水公司之</w:t>
      </w:r>
      <w:r w:rsidRPr="00715E34">
        <w:rPr>
          <w:rFonts w:hAnsi="標楷體"/>
          <w:szCs w:val="32"/>
        </w:rPr>
        <w:t>分段費</w:t>
      </w:r>
      <w:r w:rsidRPr="00715E34">
        <w:rPr>
          <w:rFonts w:hAnsi="標楷體"/>
          <w:szCs w:val="32"/>
          <w:lang w:eastAsia="zh-HK"/>
        </w:rPr>
        <w:t>率價差不明顯，造成</w:t>
      </w:r>
      <w:r w:rsidRPr="00715E34">
        <w:rPr>
          <w:rFonts w:hAnsi="標楷體"/>
          <w:szCs w:val="32"/>
        </w:rPr>
        <w:t>民眾</w:t>
      </w:r>
      <w:r w:rsidRPr="00715E34">
        <w:rPr>
          <w:rFonts w:hAnsi="標楷體"/>
          <w:szCs w:val="32"/>
          <w:lang w:eastAsia="zh-HK"/>
        </w:rPr>
        <w:t>欠缺「累進」之</w:t>
      </w:r>
      <w:r w:rsidRPr="00715E34">
        <w:rPr>
          <w:rFonts w:hAnsi="標楷體"/>
          <w:szCs w:val="32"/>
        </w:rPr>
        <w:t>觀念</w:t>
      </w:r>
      <w:r w:rsidRPr="00715E34">
        <w:rPr>
          <w:rFonts w:hAnsi="標楷體"/>
          <w:szCs w:val="32"/>
          <w:lang w:eastAsia="zh-HK"/>
        </w:rPr>
        <w:t>，</w:t>
      </w:r>
      <w:r w:rsidRPr="00715E34">
        <w:rPr>
          <w:rFonts w:hAnsi="標楷體"/>
          <w:szCs w:val="32"/>
        </w:rPr>
        <w:t>礙</w:t>
      </w:r>
      <w:r w:rsidRPr="00715E34">
        <w:rPr>
          <w:rFonts w:hAnsi="標楷體"/>
          <w:szCs w:val="32"/>
          <w:lang w:eastAsia="zh-HK"/>
        </w:rPr>
        <w:t>難以價制量，並產生低用戶對高用戶交叉補貼之不公平現象，例如10</w:t>
      </w:r>
      <w:r w:rsidRPr="00715E34">
        <w:rPr>
          <w:rFonts w:hAnsi="標楷體"/>
          <w:szCs w:val="32"/>
        </w:rPr>
        <w:t>3</w:t>
      </w:r>
      <w:r w:rsidRPr="00715E34">
        <w:rPr>
          <w:rFonts w:hAnsi="標楷體"/>
          <w:szCs w:val="32"/>
          <w:lang w:eastAsia="zh-HK"/>
        </w:rPr>
        <w:t>年每月逾5,000度之用戶占總用戶之比</w:t>
      </w:r>
      <w:r w:rsidRPr="00715E34">
        <w:rPr>
          <w:rFonts w:hAnsi="標楷體"/>
          <w:szCs w:val="32"/>
        </w:rPr>
        <w:t>率</w:t>
      </w:r>
      <w:r w:rsidRPr="00715E34">
        <w:rPr>
          <w:rFonts w:hAnsi="標楷體"/>
          <w:szCs w:val="32"/>
          <w:lang w:eastAsia="zh-HK"/>
        </w:rPr>
        <w:t>低於0.01%，詎其用水量竟占</w:t>
      </w:r>
      <w:r w:rsidRPr="00715E34">
        <w:rPr>
          <w:rFonts w:hAnsi="標楷體"/>
          <w:szCs w:val="32"/>
        </w:rPr>
        <w:t>總</w:t>
      </w:r>
      <w:r w:rsidRPr="00715E34">
        <w:rPr>
          <w:rFonts w:hAnsi="標楷體"/>
          <w:szCs w:val="32"/>
          <w:lang w:eastAsia="zh-HK"/>
        </w:rPr>
        <w:t>用水量</w:t>
      </w:r>
      <w:r w:rsidRPr="00715E34">
        <w:rPr>
          <w:rFonts w:hAnsi="標楷體"/>
          <w:szCs w:val="32"/>
        </w:rPr>
        <w:t>之</w:t>
      </w:r>
      <w:r w:rsidRPr="00715E34">
        <w:rPr>
          <w:rFonts w:hAnsi="標楷體"/>
          <w:szCs w:val="32"/>
          <w:lang w:eastAsia="zh-HK"/>
        </w:rPr>
        <w:t>28.64%，</w:t>
      </w:r>
      <w:r w:rsidRPr="00715E34">
        <w:rPr>
          <w:rFonts w:hAnsi="標楷體"/>
          <w:szCs w:val="32"/>
        </w:rPr>
        <w:t>足徵</w:t>
      </w:r>
      <w:r w:rsidRPr="00715E34">
        <w:rPr>
          <w:rFonts w:hAnsi="標楷體"/>
          <w:szCs w:val="32"/>
          <w:lang w:eastAsia="zh-HK"/>
        </w:rPr>
        <w:t>高低費率不公問題甚為嚴重，台水公司應即正視檢討加大各分段累進價差，並增</w:t>
      </w:r>
      <w:r w:rsidRPr="00715E34">
        <w:rPr>
          <w:rFonts w:hAnsi="標楷體" w:hint="eastAsia"/>
          <w:szCs w:val="32"/>
          <w:lang w:eastAsia="zh-HK"/>
        </w:rPr>
        <w:t>定</w:t>
      </w:r>
      <w:r w:rsidRPr="00715E34">
        <w:rPr>
          <w:rFonts w:hAnsi="標楷體"/>
          <w:szCs w:val="32"/>
          <w:lang w:eastAsia="zh-HK"/>
        </w:rPr>
        <w:t>適當之費率級距，以擴大</w:t>
      </w:r>
      <w:r w:rsidRPr="00715E34">
        <w:rPr>
          <w:rFonts w:hAnsi="標楷體" w:hint="eastAsia"/>
          <w:szCs w:val="32"/>
          <w:lang w:eastAsia="zh-HK"/>
        </w:rPr>
        <w:t>以價制量之</w:t>
      </w:r>
      <w:r w:rsidRPr="00715E34">
        <w:rPr>
          <w:rFonts w:hAnsi="標楷體"/>
          <w:szCs w:val="32"/>
          <w:lang w:eastAsia="zh-HK"/>
        </w:rPr>
        <w:t>效果。</w:t>
      </w:r>
    </w:p>
    <w:tbl>
      <w:tblPr>
        <w:tblStyle w:val="afb"/>
        <w:tblW w:w="0" w:type="auto"/>
        <w:tblInd w:w="1418" w:type="dxa"/>
        <w:tblLayout w:type="fixed"/>
        <w:tblCellMar>
          <w:left w:w="28" w:type="dxa"/>
          <w:right w:w="28" w:type="dxa"/>
        </w:tblCellMar>
        <w:tblLook w:val="04A0" w:firstRow="1" w:lastRow="0" w:firstColumn="1" w:lastColumn="0" w:noHBand="0" w:noVBand="1"/>
      </w:tblPr>
      <w:tblGrid>
        <w:gridCol w:w="1162"/>
        <w:gridCol w:w="1162"/>
        <w:gridCol w:w="1163"/>
        <w:gridCol w:w="1162"/>
        <w:gridCol w:w="1162"/>
        <w:gridCol w:w="1163"/>
      </w:tblGrid>
      <w:tr w:rsidR="008904AD" w:rsidRPr="00715E34" w:rsidTr="008904AD">
        <w:trPr>
          <w:trHeight w:val="340"/>
        </w:trPr>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4AD" w:rsidRPr="00715E34" w:rsidRDefault="008904AD" w:rsidP="00232C83">
            <w:pPr>
              <w:pStyle w:val="121"/>
              <w:widowControl/>
              <w:suppressAutoHyphens/>
              <w:topLinePunct/>
              <w:autoSpaceDE/>
              <w:jc w:val="center"/>
              <w:textAlignment w:val="center"/>
              <w:rPr>
                <w:rFonts w:hAnsi="標楷體"/>
              </w:rPr>
            </w:pPr>
            <w:r w:rsidRPr="00715E34">
              <w:rPr>
                <w:rFonts w:hAnsi="標楷體"/>
              </w:rPr>
              <w:lastRenderedPageBreak/>
              <w:t>東京</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4AD" w:rsidRPr="00715E34" w:rsidRDefault="008904AD" w:rsidP="00232C83">
            <w:pPr>
              <w:pStyle w:val="121"/>
              <w:widowControl/>
              <w:suppressAutoHyphens/>
              <w:topLinePunct/>
              <w:autoSpaceDE/>
              <w:jc w:val="center"/>
              <w:textAlignment w:val="center"/>
              <w:rPr>
                <w:rFonts w:hAnsi="標楷體"/>
              </w:rPr>
            </w:pPr>
            <w:r w:rsidRPr="00715E34">
              <w:rPr>
                <w:rFonts w:hAnsi="標楷體"/>
              </w:rPr>
              <w:t>上海</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4AD" w:rsidRPr="00715E34" w:rsidRDefault="008904AD" w:rsidP="00232C83">
            <w:pPr>
              <w:pStyle w:val="121"/>
              <w:widowControl/>
              <w:suppressAutoHyphens/>
              <w:topLinePunct/>
              <w:autoSpaceDE/>
              <w:jc w:val="center"/>
              <w:textAlignment w:val="center"/>
              <w:rPr>
                <w:rFonts w:hAnsi="標楷體"/>
              </w:rPr>
            </w:pPr>
            <w:r w:rsidRPr="00715E34">
              <w:rPr>
                <w:rFonts w:hAnsi="標楷體"/>
              </w:rPr>
              <w:t>首爾</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4AD" w:rsidRPr="00715E34" w:rsidRDefault="008904AD" w:rsidP="00232C83">
            <w:pPr>
              <w:pStyle w:val="121"/>
              <w:widowControl/>
              <w:suppressAutoHyphens/>
              <w:topLinePunct/>
              <w:autoSpaceDE/>
              <w:jc w:val="center"/>
              <w:textAlignment w:val="center"/>
              <w:rPr>
                <w:rFonts w:hAnsi="標楷體"/>
              </w:rPr>
            </w:pPr>
            <w:r w:rsidRPr="00715E34">
              <w:rPr>
                <w:rFonts w:hAnsi="標楷體"/>
              </w:rPr>
              <w:t>大阪</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4AD" w:rsidRPr="00715E34" w:rsidRDefault="008904AD" w:rsidP="00232C83">
            <w:pPr>
              <w:pStyle w:val="121"/>
              <w:widowControl/>
              <w:suppressAutoHyphens/>
              <w:topLinePunct/>
              <w:autoSpaceDE/>
              <w:jc w:val="center"/>
              <w:textAlignment w:val="center"/>
              <w:rPr>
                <w:rFonts w:hAnsi="標楷體"/>
              </w:rPr>
            </w:pPr>
            <w:r w:rsidRPr="00715E34">
              <w:rPr>
                <w:rFonts w:hAnsi="標楷體"/>
              </w:rPr>
              <w:t>香港</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4AD" w:rsidRPr="00715E34" w:rsidRDefault="008904AD" w:rsidP="00232C83">
            <w:pPr>
              <w:pStyle w:val="121"/>
              <w:widowControl/>
              <w:suppressAutoHyphens/>
              <w:topLinePunct/>
              <w:autoSpaceDE/>
              <w:jc w:val="center"/>
              <w:textAlignment w:val="center"/>
              <w:rPr>
                <w:rFonts w:hAnsi="標楷體"/>
              </w:rPr>
            </w:pPr>
            <w:r w:rsidRPr="00715E34">
              <w:rPr>
                <w:rFonts w:hAnsi="標楷體"/>
              </w:rPr>
              <w:t>新加坡</w:t>
            </w:r>
          </w:p>
        </w:tc>
      </w:tr>
      <w:tr w:rsidR="008904AD" w:rsidRPr="00715E34" w:rsidTr="008904AD">
        <w:trPr>
          <w:trHeight w:val="340"/>
        </w:trPr>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4AD" w:rsidRPr="00715E34" w:rsidRDefault="008904AD" w:rsidP="00232C83">
            <w:pPr>
              <w:pStyle w:val="121"/>
              <w:widowControl/>
              <w:suppressAutoHyphens/>
              <w:topLinePunct/>
              <w:autoSpaceDE/>
              <w:jc w:val="center"/>
              <w:textAlignment w:val="center"/>
              <w:rPr>
                <w:rFonts w:hAnsi="標楷體"/>
              </w:rPr>
            </w:pPr>
            <w:r w:rsidRPr="00715E34">
              <w:rPr>
                <w:rFonts w:hAnsi="標楷體"/>
              </w:rPr>
              <w:t>18.36</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4AD" w:rsidRPr="00715E34" w:rsidRDefault="008904AD" w:rsidP="00232C83">
            <w:pPr>
              <w:pStyle w:val="121"/>
              <w:widowControl/>
              <w:suppressAutoHyphens/>
              <w:topLinePunct/>
              <w:autoSpaceDE/>
              <w:jc w:val="center"/>
              <w:textAlignment w:val="center"/>
              <w:rPr>
                <w:rFonts w:hAnsi="標楷體"/>
              </w:rPr>
            </w:pPr>
            <w:r w:rsidRPr="00715E34">
              <w:rPr>
                <w:rFonts w:hAnsi="標楷體"/>
              </w:rPr>
              <w:t>8.59</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4AD" w:rsidRPr="00715E34" w:rsidRDefault="008904AD" w:rsidP="00232C83">
            <w:pPr>
              <w:pStyle w:val="121"/>
              <w:widowControl/>
              <w:suppressAutoHyphens/>
              <w:topLinePunct/>
              <w:autoSpaceDE/>
              <w:jc w:val="center"/>
              <w:textAlignment w:val="center"/>
              <w:rPr>
                <w:rFonts w:hAnsi="標楷體"/>
              </w:rPr>
            </w:pPr>
            <w:r w:rsidRPr="00715E34">
              <w:rPr>
                <w:rFonts w:hAnsi="標楷體"/>
              </w:rPr>
              <w:t>4.16</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4AD" w:rsidRPr="00715E34" w:rsidRDefault="008904AD" w:rsidP="00232C83">
            <w:pPr>
              <w:pStyle w:val="121"/>
              <w:widowControl/>
              <w:suppressAutoHyphens/>
              <w:topLinePunct/>
              <w:autoSpaceDE/>
              <w:jc w:val="center"/>
              <w:textAlignment w:val="center"/>
              <w:rPr>
                <w:rFonts w:hAnsi="標楷體"/>
              </w:rPr>
            </w:pPr>
            <w:r w:rsidRPr="00715E34">
              <w:rPr>
                <w:rFonts w:hAnsi="標楷體"/>
              </w:rPr>
              <w:t>3.79</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4AD" w:rsidRPr="00715E34" w:rsidRDefault="008904AD" w:rsidP="00232C83">
            <w:pPr>
              <w:pStyle w:val="121"/>
              <w:widowControl/>
              <w:suppressAutoHyphens/>
              <w:topLinePunct/>
              <w:autoSpaceDE/>
              <w:jc w:val="center"/>
              <w:textAlignment w:val="center"/>
              <w:rPr>
                <w:rFonts w:hAnsi="標楷體"/>
              </w:rPr>
            </w:pPr>
            <w:r w:rsidRPr="00715E34">
              <w:rPr>
                <w:rFonts w:hAnsi="標楷體"/>
              </w:rPr>
              <w:t>2.63</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4AD" w:rsidRPr="00715E34" w:rsidRDefault="008904AD" w:rsidP="00232C83">
            <w:pPr>
              <w:pStyle w:val="121"/>
              <w:widowControl/>
              <w:suppressAutoHyphens/>
              <w:topLinePunct/>
              <w:autoSpaceDE/>
              <w:jc w:val="center"/>
              <w:textAlignment w:val="center"/>
              <w:rPr>
                <w:rFonts w:hAnsi="標楷體"/>
              </w:rPr>
            </w:pPr>
            <w:r w:rsidRPr="00715E34">
              <w:rPr>
                <w:rFonts w:hAnsi="標楷體"/>
              </w:rPr>
              <w:t>1.64</w:t>
            </w:r>
          </w:p>
        </w:tc>
      </w:tr>
    </w:tbl>
    <w:p w:rsidR="004A2528" w:rsidRPr="00715E34" w:rsidRDefault="004A2528" w:rsidP="00232C83">
      <w:pPr>
        <w:widowControl/>
        <w:suppressAutoHyphens/>
        <w:topLinePunct/>
        <w:autoSpaceDE/>
        <w:autoSpaceDN/>
        <w:spacing w:before="40" w:line="240" w:lineRule="exact"/>
        <w:ind w:leftChars="400" w:left="1361"/>
        <w:textAlignment w:val="center"/>
        <w:rPr>
          <w:rFonts w:hAnsi="標楷體"/>
          <w:sz w:val="26"/>
          <w:szCs w:val="26"/>
        </w:rPr>
      </w:pPr>
      <w:r w:rsidRPr="00715E34">
        <w:rPr>
          <w:rFonts w:hAnsi="標楷體"/>
          <w:sz w:val="26"/>
          <w:szCs w:val="26"/>
        </w:rPr>
        <w:t>註：水價級距高低差比為最高級距單價除以最低級距單價</w:t>
      </w:r>
    </w:p>
    <w:p w:rsidR="004A2528" w:rsidRPr="00715E34" w:rsidRDefault="008904AD" w:rsidP="00232C83">
      <w:pPr>
        <w:topLinePunct/>
        <w:spacing w:after="240"/>
        <w:ind w:leftChars="400" w:left="1361"/>
        <w:rPr>
          <w:rFonts w:hAnsi="標楷體"/>
          <w:sz w:val="26"/>
          <w:szCs w:val="26"/>
        </w:rPr>
      </w:pPr>
      <w:r>
        <w:rPr>
          <w:rFonts w:hAnsi="標楷體"/>
          <w:sz w:val="26"/>
          <w:szCs w:val="26"/>
        </w:rPr>
        <w:t>資料來源：</w:t>
      </w:r>
      <w:r>
        <w:rPr>
          <w:rFonts w:hAnsi="標楷體" w:hint="eastAsia"/>
          <w:sz w:val="26"/>
          <w:szCs w:val="26"/>
        </w:rPr>
        <w:t>北水處</w:t>
      </w:r>
    </w:p>
    <w:p w:rsidR="004A2528" w:rsidRPr="00715E34" w:rsidRDefault="004A2528" w:rsidP="00232C83">
      <w:pPr>
        <w:pStyle w:val="3"/>
        <w:widowControl/>
        <w:suppressAutoHyphens/>
        <w:topLinePunct/>
        <w:autoSpaceDE/>
        <w:autoSpaceDN/>
        <w:ind w:left="1393"/>
        <w:textAlignment w:val="center"/>
        <w:rPr>
          <w:rFonts w:hAnsi="標楷體"/>
          <w:szCs w:val="32"/>
        </w:rPr>
      </w:pPr>
      <w:r w:rsidRPr="00715E34">
        <w:rPr>
          <w:rFonts w:hAnsi="標楷體"/>
          <w:szCs w:val="32"/>
          <w:lang w:eastAsia="zh-HK"/>
        </w:rPr>
        <w:t>另查，</w:t>
      </w:r>
      <w:r w:rsidRPr="00715E34">
        <w:rPr>
          <w:rFonts w:hAnsi="標楷體"/>
          <w:szCs w:val="32"/>
        </w:rPr>
        <w:t>北水處105年3月起實施之水價調整方案，水價累進費率差距擴大，用水愈多者負擔愈高，每月1,000度以上之費率20元/度，為原單價之2.63倍，與最低級距（每月20度以下）費率5元/度，差距達4倍；惟查，逾1,000度之水價</w:t>
      </w:r>
      <w:r w:rsidRPr="00715E34">
        <w:rPr>
          <w:rFonts w:hAnsi="標楷體"/>
          <w:szCs w:val="32"/>
          <w:lang w:eastAsia="zh-HK"/>
        </w:rPr>
        <w:t>採</w:t>
      </w:r>
      <w:r w:rsidRPr="00715E34">
        <w:rPr>
          <w:rFonts w:hAnsi="標楷體"/>
          <w:szCs w:val="32"/>
        </w:rPr>
        <w:t>取</w:t>
      </w:r>
      <w:r w:rsidRPr="00715E34">
        <w:rPr>
          <w:rFonts w:hAnsi="標楷體"/>
          <w:szCs w:val="32"/>
          <w:lang w:eastAsia="zh-HK"/>
        </w:rPr>
        <w:t>單一費率，</w:t>
      </w:r>
      <w:r w:rsidRPr="00715E34">
        <w:rPr>
          <w:rFonts w:hAnsi="標楷體"/>
          <w:szCs w:val="32"/>
        </w:rPr>
        <w:t>仍無法對高用水戶產生價格制衡效果。考量</w:t>
      </w:r>
      <w:r w:rsidRPr="00715E34">
        <w:rPr>
          <w:rFonts w:hAnsi="標楷體"/>
          <w:szCs w:val="32"/>
          <w:lang w:eastAsia="zh-HK"/>
        </w:rPr>
        <w:t>自來水事業之供水邊際成本</w:t>
      </w:r>
      <w:r w:rsidRPr="00715E34">
        <w:rPr>
          <w:rFonts w:hAnsi="標楷體"/>
          <w:szCs w:val="32"/>
        </w:rPr>
        <w:t>係</w:t>
      </w:r>
      <w:r w:rsidRPr="00715E34">
        <w:rPr>
          <w:rFonts w:hAnsi="標楷體"/>
          <w:szCs w:val="32"/>
          <w:lang w:eastAsia="zh-HK"/>
        </w:rPr>
        <w:t>隨供水量增加而攀升</w:t>
      </w:r>
      <w:r w:rsidRPr="00715E34">
        <w:rPr>
          <w:rFonts w:hAnsi="標楷體"/>
          <w:szCs w:val="32"/>
        </w:rPr>
        <w:t>，爰</w:t>
      </w:r>
      <w:r w:rsidRPr="00715E34">
        <w:rPr>
          <w:rFonts w:hAnsi="標楷體"/>
        </w:rPr>
        <w:t>為充分反映用水量越多成本越高之事實，</w:t>
      </w:r>
      <w:r w:rsidRPr="00715E34">
        <w:rPr>
          <w:rFonts w:hAnsi="標楷體"/>
          <w:szCs w:val="32"/>
        </w:rPr>
        <w:t>且</w:t>
      </w:r>
      <w:r w:rsidRPr="00715E34">
        <w:rPr>
          <w:rFonts w:hAnsi="標楷體"/>
        </w:rPr>
        <w:t>用水量愈大者應</w:t>
      </w:r>
      <w:r w:rsidRPr="00715E34">
        <w:rPr>
          <w:rFonts w:hAnsi="標楷體"/>
          <w:lang w:eastAsia="zh-HK"/>
        </w:rPr>
        <w:t>賦予</w:t>
      </w:r>
      <w:r w:rsidRPr="00715E34">
        <w:rPr>
          <w:rFonts w:hAnsi="標楷體"/>
        </w:rPr>
        <w:t>之資源妥善使用責任</w:t>
      </w:r>
      <w:r w:rsidRPr="00715E34">
        <w:rPr>
          <w:rFonts w:hAnsi="標楷體"/>
          <w:lang w:eastAsia="zh-HK"/>
        </w:rPr>
        <w:t>愈大</w:t>
      </w:r>
      <w:r w:rsidRPr="00715E34">
        <w:rPr>
          <w:rFonts w:hAnsi="標楷體"/>
          <w:szCs w:val="32"/>
        </w:rPr>
        <w:t>，</w:t>
      </w:r>
      <w:r w:rsidRPr="00715E34">
        <w:rPr>
          <w:rFonts w:hAnsi="標楷體"/>
          <w:szCs w:val="32"/>
          <w:lang w:eastAsia="zh-HK"/>
        </w:rPr>
        <w:t>北水處</w:t>
      </w:r>
      <w:r w:rsidRPr="00715E34">
        <w:rPr>
          <w:rFonts w:hAnsi="標楷體"/>
          <w:szCs w:val="32"/>
        </w:rPr>
        <w:t>允宜就5段累進式費率，再檢討增列分段級距之必要性，以落實用水正義。</w:t>
      </w:r>
    </w:p>
    <w:p w:rsidR="004A2528" w:rsidRPr="00715E34" w:rsidRDefault="004A2528" w:rsidP="00232C83">
      <w:pPr>
        <w:pStyle w:val="3"/>
        <w:widowControl/>
        <w:suppressAutoHyphens/>
        <w:topLinePunct/>
        <w:autoSpaceDE/>
        <w:autoSpaceDN/>
        <w:ind w:left="1393"/>
        <w:textAlignment w:val="center"/>
        <w:rPr>
          <w:rFonts w:hAnsi="標楷體"/>
        </w:rPr>
      </w:pPr>
      <w:r w:rsidRPr="00715E34">
        <w:rPr>
          <w:rFonts w:hAnsi="標楷體"/>
          <w:szCs w:val="32"/>
        </w:rPr>
        <w:t>再查，105年5月</w:t>
      </w:r>
      <w:r w:rsidRPr="00715E34">
        <w:rPr>
          <w:rFonts w:hAnsi="標楷體" w:hint="eastAsia"/>
          <w:szCs w:val="32"/>
        </w:rPr>
        <w:t>25</w:t>
      </w:r>
      <w:r w:rsidRPr="00715E34">
        <w:rPr>
          <w:rFonts w:hAnsi="標楷體"/>
          <w:szCs w:val="32"/>
        </w:rPr>
        <w:t>日修</w:t>
      </w:r>
      <w:r w:rsidRPr="00715E34">
        <w:rPr>
          <w:rFonts w:hAnsi="標楷體" w:hint="eastAsia"/>
          <w:szCs w:val="32"/>
        </w:rPr>
        <w:t>正公布</w:t>
      </w:r>
      <w:r w:rsidRPr="00715E34">
        <w:rPr>
          <w:rFonts w:hAnsi="標楷體"/>
          <w:szCs w:val="32"/>
        </w:rPr>
        <w:t>水利法第84條之1：「</w:t>
      </w:r>
      <w:r w:rsidRPr="00715E34">
        <w:rPr>
          <w:rFonts w:hAnsi="標楷體" w:hint="eastAsia"/>
          <w:szCs w:val="32"/>
        </w:rPr>
        <w:t>（第1項）</w:t>
      </w:r>
      <w:r w:rsidRPr="00715E34">
        <w:rPr>
          <w:rFonts w:hAnsi="標楷體"/>
          <w:szCs w:val="32"/>
        </w:rPr>
        <w:t>為水資源有效及永續利用，中央主管機關得向用水超過一定水量之用水人徵收耗水費。</w:t>
      </w:r>
      <w:r w:rsidRPr="00715E34">
        <w:rPr>
          <w:rFonts w:hAnsi="標楷體" w:hint="eastAsia"/>
          <w:szCs w:val="32"/>
        </w:rPr>
        <w:t>（第2項）</w:t>
      </w:r>
      <w:r w:rsidRPr="00715E34">
        <w:rPr>
          <w:rFonts w:hAnsi="標楷體"/>
          <w:szCs w:val="32"/>
        </w:rPr>
        <w:t>自來水事業之水價已計入水源保育與因應乾旱災害準備之成本時，前項耗水費應予減徵或免徵。</w:t>
      </w:r>
      <w:r w:rsidRPr="00715E34">
        <w:rPr>
          <w:rFonts w:hAnsi="標楷體" w:hint="eastAsia"/>
          <w:szCs w:val="32"/>
        </w:rPr>
        <w:t>（第3項）</w:t>
      </w:r>
      <w:r w:rsidRPr="00715E34">
        <w:rPr>
          <w:rFonts w:hAnsi="標楷體"/>
          <w:szCs w:val="32"/>
        </w:rPr>
        <w:t>前</w:t>
      </w:r>
      <w:r w:rsidRPr="00715E34">
        <w:rPr>
          <w:rFonts w:hAnsi="標楷體" w:hint="eastAsia"/>
          <w:szCs w:val="32"/>
        </w:rPr>
        <w:t>2</w:t>
      </w:r>
      <w:r w:rsidRPr="00715E34">
        <w:rPr>
          <w:rFonts w:hAnsi="標楷體"/>
          <w:szCs w:val="32"/>
        </w:rPr>
        <w:t>項各標的用水耗水費之計算與徵收方式、徵收對象、繳納期限、節水措施、減徵範圍與方式及其他相關事項之辦法，由中央主管機關會同相關中央目的事業主管機關定之。」授權水利署可向用水大戶開徵耗水費。縱經濟部表示，耗水費係針對用水量逾一定度數之用戶來收取，</w:t>
      </w:r>
      <w:r w:rsidRPr="00715E34">
        <w:rPr>
          <w:rFonts w:hAnsi="標楷體"/>
          <w:szCs w:val="32"/>
          <w:lang w:eastAsia="zh-HK"/>
        </w:rPr>
        <w:t>其</w:t>
      </w:r>
      <w:r w:rsidRPr="00715E34">
        <w:rPr>
          <w:rFonts w:hAnsi="標楷體"/>
          <w:szCs w:val="32"/>
        </w:rPr>
        <w:t>收取之用水量尚包含非自來水之用水部分，與水價有部分差異</w:t>
      </w:r>
      <w:r w:rsidRPr="00715E34">
        <w:rPr>
          <w:rFonts w:hAnsi="標楷體" w:hint="eastAsia"/>
          <w:szCs w:val="32"/>
        </w:rPr>
        <w:t>，</w:t>
      </w:r>
      <w:r w:rsidRPr="00715E34">
        <w:rPr>
          <w:rFonts w:hAnsi="標楷體"/>
          <w:szCs w:val="32"/>
        </w:rPr>
        <w:t>然基於耗水費係屬「經濟誘因」之管制手段，開徵後對水資源管理具有正面效益，爰為促進用水大戶積極節約用水，兼顧國家資源公</w:t>
      </w:r>
      <w:r w:rsidRPr="00715E34">
        <w:rPr>
          <w:rFonts w:hAnsi="標楷體"/>
          <w:szCs w:val="32"/>
        </w:rPr>
        <w:lastRenderedPageBreak/>
        <w:t>平使用原則，水利署允應加強研析合理之耗水費徵收方案，並審慎衡酌</w:t>
      </w:r>
      <w:r w:rsidRPr="00715E34">
        <w:rPr>
          <w:rFonts w:hAnsi="標楷體"/>
          <w:szCs w:val="32"/>
          <w:lang w:eastAsia="zh-HK"/>
        </w:rPr>
        <w:t>徵收級距</w:t>
      </w:r>
      <w:r w:rsidRPr="00715E34">
        <w:rPr>
          <w:rFonts w:hAnsi="標楷體"/>
          <w:szCs w:val="32"/>
        </w:rPr>
        <w:t>之合宜分段</w:t>
      </w:r>
      <w:r w:rsidRPr="00715E34">
        <w:rPr>
          <w:rFonts w:hAnsi="標楷體"/>
          <w:szCs w:val="32"/>
          <w:lang w:eastAsia="zh-HK"/>
        </w:rPr>
        <w:t>、範圍</w:t>
      </w:r>
      <w:r w:rsidRPr="00715E34">
        <w:rPr>
          <w:rFonts w:hAnsi="標楷體"/>
          <w:szCs w:val="32"/>
        </w:rPr>
        <w:t>及</w:t>
      </w:r>
      <w:r w:rsidRPr="00715E34">
        <w:rPr>
          <w:rFonts w:hAnsi="標楷體"/>
          <w:szCs w:val="32"/>
          <w:lang w:eastAsia="zh-HK"/>
        </w:rPr>
        <w:t>費率價差等，</w:t>
      </w:r>
      <w:r w:rsidRPr="00715E34">
        <w:rPr>
          <w:rFonts w:hAnsi="標楷體"/>
          <w:szCs w:val="32"/>
        </w:rPr>
        <w:t>俾期良性</w:t>
      </w:r>
      <w:r w:rsidRPr="00715E34">
        <w:rPr>
          <w:rFonts w:hAnsi="標楷體"/>
          <w:lang w:eastAsia="zh-HK"/>
        </w:rPr>
        <w:t>導引</w:t>
      </w:r>
      <w:r w:rsidRPr="00715E34">
        <w:rPr>
          <w:rFonts w:hAnsi="標楷體"/>
        </w:rPr>
        <w:t>用</w:t>
      </w:r>
      <w:r w:rsidRPr="00715E34">
        <w:rPr>
          <w:rFonts w:hAnsi="標楷體"/>
          <w:lang w:eastAsia="zh-HK"/>
        </w:rPr>
        <w:t>水大</w:t>
      </w:r>
      <w:r w:rsidRPr="00715E34">
        <w:rPr>
          <w:rFonts w:hAnsi="標楷體"/>
        </w:rPr>
        <w:t>戶</w:t>
      </w:r>
      <w:r w:rsidRPr="00715E34">
        <w:rPr>
          <w:rFonts w:hAnsi="標楷體"/>
          <w:lang w:eastAsia="zh-HK"/>
        </w:rPr>
        <w:t>珍惜水資源</w:t>
      </w:r>
      <w:r w:rsidRPr="00715E34">
        <w:rPr>
          <w:rFonts w:hAnsi="標楷體"/>
        </w:rPr>
        <w:t>。</w:t>
      </w:r>
    </w:p>
    <w:p w:rsidR="004A2528" w:rsidRPr="00715E34" w:rsidRDefault="004A2528" w:rsidP="00232C83">
      <w:pPr>
        <w:pStyle w:val="3"/>
        <w:topLinePunct/>
        <w:rPr>
          <w:rFonts w:hAnsi="標楷體"/>
          <w:szCs w:val="32"/>
        </w:rPr>
      </w:pPr>
      <w:r w:rsidRPr="00715E34">
        <w:rPr>
          <w:rFonts w:hAnsi="標楷體"/>
          <w:szCs w:val="32"/>
          <w:lang w:eastAsia="zh-HK"/>
        </w:rPr>
        <w:t>綜上，</w:t>
      </w:r>
      <w:r w:rsidRPr="00715E34">
        <w:rPr>
          <w:rFonts w:hAnsi="標楷體"/>
          <w:szCs w:val="32"/>
        </w:rPr>
        <w:t>台水公司採取</w:t>
      </w:r>
      <w:r w:rsidRPr="00715E34">
        <w:rPr>
          <w:rFonts w:hAnsi="標楷體" w:hint="eastAsia"/>
          <w:szCs w:val="32"/>
        </w:rPr>
        <w:t>分段</w:t>
      </w:r>
      <w:r w:rsidRPr="00715E34">
        <w:rPr>
          <w:rFonts w:hAnsi="標楷體"/>
          <w:szCs w:val="32"/>
        </w:rPr>
        <w:t>差別費率之累進效果不明顯，北水處針對用水大戶採單一費率，無法對高用水戶產生抑制效果，有失社會公平，均應積極檢討；水利署未來開徵耗水費，亦應落實使用者付費及公平性原則，俾期擴大節水成效</w:t>
      </w:r>
      <w:r w:rsidRPr="00715E34">
        <w:rPr>
          <w:rFonts w:hAnsi="標楷體"/>
          <w:szCs w:val="32"/>
          <w:lang w:eastAsia="zh-HK"/>
        </w:rPr>
        <w:t>。</w:t>
      </w:r>
    </w:p>
    <w:p w:rsidR="00BE42A1" w:rsidRPr="00E762E6" w:rsidRDefault="00BE42A1" w:rsidP="00E762E6">
      <w:pPr>
        <w:pStyle w:val="afffff9"/>
        <w:numPr>
          <w:ilvl w:val="0"/>
          <w:numId w:val="0"/>
        </w:numPr>
        <w:topLinePunct/>
        <w:spacing w:beforeLines="25" w:before="114"/>
        <w:ind w:leftChars="25" w:left="85"/>
        <w:rPr>
          <w:b/>
          <w:i/>
        </w:rPr>
      </w:pPr>
      <w:bookmarkStart w:id="100" w:name="_Toc458000639"/>
      <w:r w:rsidRPr="00E762E6">
        <w:rPr>
          <w:rFonts w:hint="eastAsia"/>
          <w:b/>
          <w:i/>
        </w:rPr>
        <w:t>《考核面》</w:t>
      </w:r>
      <w:bookmarkEnd w:id="100"/>
    </w:p>
    <w:p w:rsidR="00AB2DD9" w:rsidRPr="00C30C6A" w:rsidRDefault="00B06699" w:rsidP="001D74AE">
      <w:pPr>
        <w:topLinePunct/>
        <w:ind w:left="680" w:firstLine="680"/>
        <w:rPr>
          <w:i/>
          <w:sz w:val="30"/>
          <w:szCs w:val="30"/>
        </w:rPr>
      </w:pPr>
      <w:r w:rsidRPr="00C30C6A">
        <w:rPr>
          <w:rFonts w:hint="eastAsia"/>
          <w:i/>
          <w:sz w:val="30"/>
          <w:szCs w:val="30"/>
        </w:rPr>
        <w:t>行政院應督促所屬查明蘇迪勒颱風肇致南勢溪上游溪水混濁主因，妥擬</w:t>
      </w:r>
      <w:r w:rsidR="00C85022" w:rsidRPr="00C30C6A">
        <w:rPr>
          <w:rFonts w:hint="eastAsia"/>
          <w:i/>
          <w:sz w:val="30"/>
          <w:szCs w:val="30"/>
        </w:rPr>
        <w:t>自來水取用</w:t>
      </w:r>
      <w:r w:rsidRPr="00C30C6A">
        <w:rPr>
          <w:rFonts w:hint="eastAsia"/>
          <w:i/>
          <w:sz w:val="30"/>
          <w:szCs w:val="30"/>
        </w:rPr>
        <w:t>高濁度原水</w:t>
      </w:r>
      <w:r w:rsidR="00CF5396" w:rsidRPr="00C30C6A">
        <w:rPr>
          <w:rFonts w:hint="eastAsia"/>
          <w:i/>
          <w:sz w:val="30"/>
          <w:szCs w:val="30"/>
        </w:rPr>
        <w:t>之</w:t>
      </w:r>
      <w:r w:rsidR="0025338D" w:rsidRPr="00C30C6A">
        <w:rPr>
          <w:rFonts w:hint="eastAsia"/>
          <w:i/>
          <w:sz w:val="30"/>
          <w:szCs w:val="30"/>
        </w:rPr>
        <w:t>因應</w:t>
      </w:r>
      <w:r w:rsidRPr="00C30C6A">
        <w:rPr>
          <w:rFonts w:hint="eastAsia"/>
          <w:i/>
          <w:sz w:val="30"/>
          <w:szCs w:val="30"/>
        </w:rPr>
        <w:t>配套措施，</w:t>
      </w:r>
      <w:r w:rsidR="00CF5396" w:rsidRPr="00C30C6A">
        <w:rPr>
          <w:rFonts w:hint="eastAsia"/>
          <w:i/>
          <w:sz w:val="30"/>
          <w:szCs w:val="30"/>
        </w:rPr>
        <w:t>並善用現有監測設備及資料，儘速建立水庫集水區崩塌及土石流潛勢預警系統，及早因應有效減災及避災</w:t>
      </w:r>
      <w:r w:rsidR="00CF5396" w:rsidRPr="00C30C6A">
        <w:rPr>
          <w:rFonts w:hAnsi="標楷體" w:hint="eastAsia"/>
          <w:i/>
          <w:sz w:val="30"/>
          <w:szCs w:val="30"/>
        </w:rPr>
        <w:t>；</w:t>
      </w:r>
      <w:r w:rsidR="0025338D" w:rsidRPr="00C30C6A">
        <w:rPr>
          <w:rFonts w:hAnsi="標楷體" w:hint="eastAsia"/>
          <w:i/>
          <w:sz w:val="30"/>
          <w:szCs w:val="30"/>
        </w:rPr>
        <w:t>又</w:t>
      </w:r>
      <w:r w:rsidR="00CF5396" w:rsidRPr="00C30C6A">
        <w:rPr>
          <w:rFonts w:hint="eastAsia"/>
          <w:i/>
          <w:sz w:val="30"/>
          <w:szCs w:val="30"/>
        </w:rPr>
        <w:t>當農業</w:t>
      </w:r>
      <w:r w:rsidR="0025338D" w:rsidRPr="00C30C6A">
        <w:rPr>
          <w:rFonts w:hint="eastAsia"/>
          <w:i/>
          <w:sz w:val="30"/>
          <w:szCs w:val="30"/>
        </w:rPr>
        <w:t>用水餘裕水量</w:t>
      </w:r>
      <w:r w:rsidR="00CF5396" w:rsidRPr="00C30C6A">
        <w:rPr>
          <w:rFonts w:hint="eastAsia"/>
          <w:i/>
          <w:sz w:val="30"/>
          <w:szCs w:val="30"/>
        </w:rPr>
        <w:t>已常態成為民生及工業等</w:t>
      </w:r>
      <w:r w:rsidR="00861238" w:rsidRPr="00C30C6A">
        <w:rPr>
          <w:rFonts w:hint="eastAsia"/>
          <w:i/>
          <w:sz w:val="30"/>
          <w:szCs w:val="30"/>
        </w:rPr>
        <w:t>標的之</w:t>
      </w:r>
      <w:r w:rsidR="00CF5396" w:rsidRPr="00C30C6A">
        <w:rPr>
          <w:rFonts w:hint="eastAsia"/>
          <w:i/>
          <w:sz w:val="30"/>
          <w:szCs w:val="30"/>
        </w:rPr>
        <w:t>重要水源時，經濟部在確保農業經營、農民權益</w:t>
      </w:r>
      <w:r w:rsidR="0025338D" w:rsidRPr="00C30C6A">
        <w:rPr>
          <w:rFonts w:hint="eastAsia"/>
          <w:i/>
          <w:sz w:val="30"/>
          <w:szCs w:val="30"/>
        </w:rPr>
        <w:t>及</w:t>
      </w:r>
      <w:r w:rsidR="00CF5396" w:rsidRPr="00C30C6A">
        <w:rPr>
          <w:rFonts w:hint="eastAsia"/>
          <w:i/>
          <w:sz w:val="30"/>
          <w:szCs w:val="30"/>
        </w:rPr>
        <w:t>生態</w:t>
      </w:r>
      <w:r w:rsidR="003F6A7C" w:rsidRPr="00C30C6A">
        <w:rPr>
          <w:rFonts w:hint="eastAsia"/>
          <w:i/>
          <w:sz w:val="30"/>
          <w:szCs w:val="30"/>
        </w:rPr>
        <w:t>環境</w:t>
      </w:r>
      <w:r w:rsidR="00CF5396" w:rsidRPr="00C30C6A">
        <w:rPr>
          <w:rFonts w:hint="eastAsia"/>
          <w:i/>
          <w:sz w:val="30"/>
          <w:szCs w:val="30"/>
        </w:rPr>
        <w:t>等原則下，</w:t>
      </w:r>
      <w:r w:rsidR="003F6A7C" w:rsidRPr="00C30C6A">
        <w:rPr>
          <w:rFonts w:hint="eastAsia"/>
          <w:i/>
          <w:sz w:val="30"/>
          <w:szCs w:val="30"/>
        </w:rPr>
        <w:t>允</w:t>
      </w:r>
      <w:r w:rsidR="00CF5396" w:rsidRPr="00C30C6A">
        <w:rPr>
          <w:rFonts w:hint="eastAsia"/>
          <w:i/>
          <w:sz w:val="30"/>
          <w:szCs w:val="30"/>
        </w:rPr>
        <w:t>應正視檢討水資源調度操作實務與法規齟齬之處，</w:t>
      </w:r>
      <w:r w:rsidR="00C85022" w:rsidRPr="00C30C6A">
        <w:rPr>
          <w:rFonts w:hint="eastAsia"/>
          <w:i/>
          <w:sz w:val="30"/>
          <w:szCs w:val="30"/>
        </w:rPr>
        <w:t>以利</w:t>
      </w:r>
      <w:r w:rsidR="0025338D" w:rsidRPr="00C30C6A">
        <w:rPr>
          <w:rFonts w:hint="eastAsia"/>
          <w:i/>
          <w:sz w:val="30"/>
          <w:szCs w:val="30"/>
        </w:rPr>
        <w:t>提升區域供水能力及合理分派調節，</w:t>
      </w:r>
      <w:r w:rsidR="00CF5396" w:rsidRPr="00C30C6A">
        <w:rPr>
          <w:rFonts w:hint="eastAsia"/>
          <w:i/>
          <w:sz w:val="30"/>
          <w:szCs w:val="30"/>
        </w:rPr>
        <w:t>謀求互惠共贏</w:t>
      </w:r>
      <w:r w:rsidR="00861238" w:rsidRPr="00C30C6A">
        <w:rPr>
          <w:rFonts w:hAnsi="標楷體" w:hint="eastAsia"/>
          <w:i/>
          <w:sz w:val="30"/>
          <w:szCs w:val="30"/>
        </w:rPr>
        <w:t>。</w:t>
      </w:r>
    </w:p>
    <w:p w:rsidR="00473050" w:rsidRPr="00715E34" w:rsidRDefault="00710210" w:rsidP="001D74AE">
      <w:pPr>
        <w:pStyle w:val="2"/>
        <w:topLinePunct/>
        <w:spacing w:beforeLines="25" w:before="114"/>
        <w:ind w:left="1020" w:hanging="680"/>
        <w:rPr>
          <w:rFonts w:hAnsi="標楷體"/>
          <w:b/>
        </w:rPr>
      </w:pPr>
      <w:bookmarkStart w:id="101" w:name="_Toc458000640"/>
      <w:r w:rsidRPr="00715E34">
        <w:rPr>
          <w:rFonts w:hAnsi="標楷體" w:hint="eastAsia"/>
          <w:b/>
        </w:rPr>
        <w:t>去（104）年蘇迪勒颱風肇致南勢溪上游土石嚴重崩塌、溪水混濁，自來水取水口原水濁度急遽飆升，嚴重影響民生用水。行政院應督促所屬查明肇致溪水混濁主因，並妥擬因應高濁度原水之配套措施，俾免類此情事再度發生</w:t>
      </w:r>
      <w:bookmarkEnd w:id="101"/>
    </w:p>
    <w:p w:rsidR="00473050" w:rsidRPr="00715E34" w:rsidRDefault="00F25080" w:rsidP="00232C83">
      <w:pPr>
        <w:pStyle w:val="3"/>
        <w:kinsoku w:val="0"/>
        <w:overflowPunct/>
        <w:topLinePunct/>
        <w:autoSpaceDE/>
        <w:autoSpaceDN/>
        <w:ind w:left="1393" w:hanging="697"/>
        <w:rPr>
          <w:rFonts w:hAnsi="標楷體"/>
        </w:rPr>
      </w:pPr>
      <w:r w:rsidRPr="00715E34">
        <w:rPr>
          <w:rFonts w:hAnsi="標楷體" w:hint="eastAsia"/>
        </w:rPr>
        <w:t>104</w:t>
      </w:r>
      <w:r w:rsidR="00473050" w:rsidRPr="00715E34">
        <w:rPr>
          <w:rFonts w:hAnsi="標楷體" w:hint="eastAsia"/>
        </w:rPr>
        <w:t>年8月間蘇迪勒颱風侵襲，強風及豪雨肇致新北市烏來區</w:t>
      </w:r>
      <w:r w:rsidR="00473050" w:rsidRPr="00715E34">
        <w:rPr>
          <w:rFonts w:hAnsi="標楷體"/>
        </w:rPr>
        <w:t>、新店區重大災害，其中烏來地區災情尤為嚴重，導致數百處土石崩塌及溪水混濁，造成原水濁度飆高達近4萬NTU，嚴重影響民生用水。針對本次災害及水濁原因，林務局援引54年臺灣省農林廳調查本省土石災害成因及日本學者（青木佑久，1980）等研究結果，顯示累積日雨量達400</w:t>
      </w:r>
      <w:r w:rsidR="00473050" w:rsidRPr="00715E34">
        <w:rPr>
          <w:rFonts w:hAnsi="標楷體"/>
        </w:rPr>
        <w:lastRenderedPageBreak/>
        <w:t>毫米以上時，即易導致山崩；說明蘇迪勒颱風烏來地區24小時降雨量遠超出歷史雨量紀錄，坡地必然發生自然崩塌情形，南勢溪集水區主要造成水質濁度之土沙來源為正常森林覆蓋坡面遭沖蝕的細顆粒土沙，又因地質較</w:t>
      </w:r>
      <w:r w:rsidR="00473050" w:rsidRPr="00715E34">
        <w:rPr>
          <w:rFonts w:hAnsi="標楷體" w:hint="eastAsia"/>
        </w:rPr>
        <w:t>破碎，本次雨量又遠超以往颱風，復以上游多處的道路坍塌及新增崩塌等，造成原水濁度遠較以往為高。另依臺北水源局表示，蘇迪勒颱風造成烏來地區之災害，係因超過200年重現期之短延時強降雨</w:t>
      </w:r>
      <w:r w:rsidR="005F778A">
        <w:rPr>
          <w:rStyle w:val="aff2"/>
          <w:rFonts w:hAnsi="標楷體"/>
        </w:rPr>
        <w:footnoteReference w:id="43"/>
      </w:r>
      <w:r w:rsidR="00473050" w:rsidRPr="00715E34">
        <w:rPr>
          <w:rFonts w:hAnsi="標楷體" w:hint="eastAsia"/>
        </w:rPr>
        <w:t>，沖蝕坡地及造成含水量上升，土石結構鬆動，達飽和時形成液化流動土石流，導致山坡地崩塌，洪水挾帶土石，推升水位；又風大樹倒影響土壤抓地力造成崩塌，且地質脆弱風化，地形陡峭，造成沖蝕崩坍，以及道路上下邊坡易致崩塌等因素，係屬複合型之災害。惟參與本案履勘學者專家咸認，</w:t>
      </w:r>
      <w:r w:rsidR="006B470D" w:rsidRPr="00715E34">
        <w:rPr>
          <w:rFonts w:hAnsi="標楷體"/>
        </w:rPr>
        <w:t>蘇迪勒</w:t>
      </w:r>
      <w:r w:rsidR="00473050" w:rsidRPr="00715E34">
        <w:rPr>
          <w:rFonts w:hAnsi="標楷體" w:hint="eastAsia"/>
        </w:rPr>
        <w:t>颱風雨量極大，強降雨加上河川流量增加沖刷，導致南勢溪水濁度升高；然土石崩塌不代表就是原水濁度升高的主因，導致溪水濁度升高之泥沙來源，究為土石崩塌、河道沖刷、道路上下邊坡坍方所致，抑或人為之超限利用、聚落開發與違建所致，以及各種可能因素所占泥沙來源比率，均應查明。是相關權責機關允應探究</w:t>
      </w:r>
      <w:r w:rsidR="006B470D" w:rsidRPr="00715E34">
        <w:rPr>
          <w:rFonts w:hAnsi="標楷體"/>
        </w:rPr>
        <w:t>蘇迪勒</w:t>
      </w:r>
      <w:r w:rsidR="00473050" w:rsidRPr="00715E34">
        <w:rPr>
          <w:rFonts w:hAnsi="標楷體" w:hint="eastAsia"/>
        </w:rPr>
        <w:t>颱風造成溪水混濁的主要原因，俾據以提出更有效防護措施，避免類似此次因原水混濁影響供水並引發民怨之情事再次發生。</w:t>
      </w:r>
    </w:p>
    <w:p w:rsidR="00473050" w:rsidRPr="00715E34" w:rsidRDefault="00473050" w:rsidP="00232C83">
      <w:pPr>
        <w:pStyle w:val="3"/>
        <w:kinsoku w:val="0"/>
        <w:overflowPunct/>
        <w:topLinePunct/>
        <w:autoSpaceDE/>
        <w:autoSpaceDN/>
        <w:ind w:left="1393" w:hanging="697"/>
        <w:rPr>
          <w:rFonts w:hAnsi="標楷體"/>
        </w:rPr>
      </w:pPr>
      <w:r w:rsidRPr="00715E34">
        <w:rPr>
          <w:rFonts w:hAnsi="標楷體" w:hint="eastAsia"/>
        </w:rPr>
        <w:t>本院前於101年調查「南勢溪上游東札孔溪因嚴重崩塌，面積逾百</w:t>
      </w:r>
      <w:r w:rsidRPr="00715E34">
        <w:rPr>
          <w:rFonts w:hAnsi="標楷體"/>
        </w:rPr>
        <w:t>公頃，自來水原水取水口濁度曾飆</w:t>
      </w:r>
      <w:r w:rsidRPr="00715E34">
        <w:rPr>
          <w:rFonts w:hAnsi="標楷體"/>
        </w:rPr>
        <w:lastRenderedPageBreak/>
        <w:t>升至1萬2千NTU，且影響大臺北地區水源品質」等情案，斯時北水處稱已建置「新店溪水源水文水質預警資訊系統」及「研訂颱風暴雨超高濁度水質應變計畫」</w:t>
      </w:r>
      <w:r w:rsidRPr="00715E34">
        <w:rPr>
          <w:rFonts w:hAnsi="標楷體" w:hint="eastAsia"/>
        </w:rPr>
        <w:t>，</w:t>
      </w:r>
      <w:r w:rsidRPr="00715E34">
        <w:rPr>
          <w:rFonts w:hAnsi="標楷體"/>
        </w:rPr>
        <w:t>於颱風暴雨原</w:t>
      </w:r>
      <w:r w:rsidRPr="00715E34">
        <w:rPr>
          <w:rFonts w:hAnsi="標楷體" w:hint="eastAsia"/>
        </w:rPr>
        <w:t>水高濁度期間，能與翡翠水庫協調整合翡管局與該處既有相關資訊，提早獲取新店溪上游水源水文水質資訊，以利淨水場提早防範因應。又已檢討原颱風暴雨超高濁度應變計畫標準作業，並就颱風暴雨期間人員配置、分工、原水處理量減量、復水策略、應變和演練流程及人員操作等項目，皆予以明確之標準化及書面化，俾利淨水場於颱風暴雨所導致高濁度水質之緊急狀況時，淨水操作能有所依循，確保出水水質水量正常。惟</w:t>
      </w:r>
      <w:r w:rsidRPr="00715E34">
        <w:rPr>
          <w:rFonts w:hAnsi="標楷體"/>
        </w:rPr>
        <w:t>蘇迪勒颱風來襲，造成原水濁度飆高達近4萬NTU，且超過1萬NTU以上期間長達12小時，遠超過</w:t>
      </w:r>
      <w:r w:rsidRPr="00715E34">
        <w:rPr>
          <w:rFonts w:hAnsi="標楷體" w:hint="eastAsia"/>
        </w:rPr>
        <w:t>該處</w:t>
      </w:r>
      <w:r w:rsidRPr="00715E34">
        <w:rPr>
          <w:rFonts w:hAnsi="標楷體"/>
        </w:rPr>
        <w:t>淨水場最大處理能力6千NTU，</w:t>
      </w:r>
      <w:r w:rsidRPr="00715E34">
        <w:rPr>
          <w:rFonts w:hAnsi="標楷體" w:hint="eastAsia"/>
        </w:rPr>
        <w:t>水質處理機制迭遭民眾質疑，說明該處前揭「新店溪水源水文水質預警資訊系統」及「研訂颱風暴雨超高濁度水質應變計畫」實未能發揮應有之效益。對此，北水處查復，該處已考量蘇迪勒颱風為因應此種情況未來可能成為常態性，修正「超高濁度原水應變計畫」作業準則，明確訂定原水濁度達1萬2千</w:t>
      </w:r>
      <w:r w:rsidRPr="00715E34">
        <w:rPr>
          <w:rFonts w:hAnsi="標楷體"/>
        </w:rPr>
        <w:t>NTU</w:t>
      </w:r>
      <w:r w:rsidRPr="00715E34">
        <w:rPr>
          <w:rFonts w:hAnsi="標楷體" w:hint="eastAsia"/>
        </w:rPr>
        <w:t>為停止取水之下限</w:t>
      </w:r>
      <w:r w:rsidRPr="00715E34">
        <w:rPr>
          <w:rStyle w:val="aff2"/>
          <w:rFonts w:hAnsi="標楷體"/>
        </w:rPr>
        <w:footnoteReference w:id="44"/>
      </w:r>
      <w:r w:rsidRPr="00715E34">
        <w:rPr>
          <w:rFonts w:hAnsi="標楷體" w:hint="eastAsia"/>
        </w:rPr>
        <w:t>，以因應極端氣候造成溪水混濁難以處理之窘態。</w:t>
      </w:r>
    </w:p>
    <w:p w:rsidR="00473050" w:rsidRPr="00715E34" w:rsidRDefault="00473050" w:rsidP="00232C83">
      <w:pPr>
        <w:pStyle w:val="3"/>
        <w:kinsoku w:val="0"/>
        <w:overflowPunct/>
        <w:topLinePunct/>
        <w:autoSpaceDE/>
        <w:autoSpaceDN/>
        <w:ind w:left="1393" w:hanging="697"/>
        <w:rPr>
          <w:rFonts w:hAnsi="標楷體"/>
        </w:rPr>
      </w:pPr>
      <w:r w:rsidRPr="00715E34">
        <w:rPr>
          <w:rFonts w:hAnsi="標楷體" w:hint="eastAsia"/>
        </w:rPr>
        <w:t>為解決溪水混濁，避免水質太差不利於自來水取水的情形，林務局在持續監測札孔溪集水區內崩塌地情形時，於非汛期間已辦理河道土石人力清理工作，藉以減少颱風豪雨期間土沙流出量，降低水質濁</w:t>
      </w:r>
      <w:r w:rsidRPr="00715E34">
        <w:rPr>
          <w:rFonts w:hAnsi="標楷體" w:hint="eastAsia"/>
        </w:rPr>
        <w:lastRenderedPageBreak/>
        <w:t>度之影響，蘇迪勒颱風侵襲，札孔溪土沙產生量較少，似顯示林務局所採措施已具成效。此外，水利署亦利用水庫更新，併予解決土沙淤積及水質混濁的情形；如石門水</w:t>
      </w:r>
      <w:r w:rsidR="006B470D" w:rsidRPr="00715E34">
        <w:rPr>
          <w:rFonts w:hAnsi="標楷體" w:hint="eastAsia"/>
        </w:rPr>
        <w:t>庫興建中庄調整池，該池係一離槽水庫，水源取自於截取大漢溪之中庄</w:t>
      </w:r>
      <w:r w:rsidR="006B470D" w:rsidRPr="00715E34">
        <w:rPr>
          <w:rFonts w:hAnsi="標楷體" w:hint="eastAsia"/>
          <w:lang w:eastAsia="zh-HK"/>
        </w:rPr>
        <w:t>調整池</w:t>
      </w:r>
      <w:r w:rsidRPr="00715E34">
        <w:rPr>
          <w:rFonts w:hAnsi="標楷體" w:hint="eastAsia"/>
        </w:rPr>
        <w:t>，可儲存492萬立方公尺備用水，可供80萬</w:t>
      </w:r>
      <w:r w:rsidR="003B0352" w:rsidRPr="00715E34">
        <w:rPr>
          <w:rFonts w:hAnsi="標楷體" w:hint="eastAsia"/>
        </w:rPr>
        <w:t>立方公尺</w:t>
      </w:r>
      <w:r w:rsidRPr="00715E34">
        <w:rPr>
          <w:rFonts w:hAnsi="標楷體" w:hint="eastAsia"/>
        </w:rPr>
        <w:t>6.2天的備援飲用水。一旦颱風豪雨造成上游石門水庫原水濁度高時，上游停止供水，改由調整池供應下游民生飲用水，在備援供水期間內，等待上游原水濁度降低後，再供應下游桃園市及板新地區約300萬用戶的用水，有效降低該地區之缺水風險。此外，石門水庫大壩後方興設有防淤池（後池），有澄清水質的作用，然並非每個水庫興建時都有防淤池的設計。另該水庫分層取水功效在於石門水庫原興建時取水口高程較低，增設取水工系統可確保颱風或豪雨期間能取得上層低濁度原水，確保民生用水安全無虞。再者，水利署亦稱在解決原水混濁中長期策略方面，將積極協助北水處研議推動翡翠水庫設置專管供應淨水廠或其他水源備援，以提升高濁度緊急應變能力，是北水處如能就其規劃，逕行設置專管，以取得北勢溪水質較佳之原水供民生使用，將是解決南勢溪因颱風強降雨造成原水濁度飆升的最佳解決方式。</w:t>
      </w:r>
    </w:p>
    <w:p w:rsidR="00473050" w:rsidRPr="00715E34" w:rsidRDefault="00473050" w:rsidP="00232C83">
      <w:pPr>
        <w:pStyle w:val="3"/>
        <w:kinsoku w:val="0"/>
        <w:overflowPunct/>
        <w:topLinePunct/>
        <w:autoSpaceDE/>
        <w:autoSpaceDN/>
        <w:ind w:left="1393" w:hanging="697"/>
        <w:rPr>
          <w:rFonts w:hAnsi="標楷體"/>
        </w:rPr>
      </w:pPr>
      <w:r w:rsidRPr="00715E34">
        <w:rPr>
          <w:rFonts w:hAnsi="標楷體" w:hint="eastAsia"/>
        </w:rPr>
        <w:t>綜上，近年來極端氣候頻仍，短延時強降雨已成常態，水庫集水區的溪水水質維護將備受威脅。蘇迪勒颱風襲臺肇致南勢溪上游土石嚴重崩塌、溪水混濁，自來水取水口原水濁度急遽飆升，無法取用處理，嚴重影響民生用水。行政院應督促所屬，查明肇致溪水混濁主因，並持續加強水質監測及妥擬因應高濁度原水之配套措施，俾免類此事件再度發生</w:t>
      </w:r>
      <w:r w:rsidRPr="00715E34">
        <w:rPr>
          <w:rFonts w:hAnsi="標楷體" w:hint="eastAsia"/>
        </w:rPr>
        <w:lastRenderedPageBreak/>
        <w:t>。</w:t>
      </w:r>
    </w:p>
    <w:p w:rsidR="00473050" w:rsidRPr="00715E34" w:rsidRDefault="00473050" w:rsidP="00232C83">
      <w:pPr>
        <w:pStyle w:val="2"/>
        <w:topLinePunct/>
        <w:spacing w:beforeLines="25" w:before="114"/>
        <w:ind w:left="1020" w:hanging="680"/>
        <w:rPr>
          <w:rFonts w:hAnsi="標楷體"/>
          <w:b/>
        </w:rPr>
      </w:pPr>
      <w:bookmarkStart w:id="102" w:name="_Toc458000641"/>
      <w:r w:rsidRPr="00715E34">
        <w:rPr>
          <w:rFonts w:hAnsi="標楷體" w:hint="eastAsia"/>
          <w:b/>
        </w:rPr>
        <w:t>極端氣候頻仍將使短延時強</w:t>
      </w:r>
      <w:r w:rsidRPr="00715E34">
        <w:rPr>
          <w:rFonts w:hAnsi="標楷體" w:hint="eastAsia"/>
          <w:b/>
          <w:szCs w:val="36"/>
        </w:rPr>
        <w:t>降雨</w:t>
      </w:r>
      <w:r w:rsidRPr="00715E34">
        <w:rPr>
          <w:rFonts w:hAnsi="標楷體" w:hint="eastAsia"/>
          <w:b/>
        </w:rPr>
        <w:t>情況增加，為避免水庫集水區山坡地崩塌加劇，釀致災害，行政院允應督促所屬，善用現有監測機制、設備及資料，儘速建立水庫集水區崩塌及土石流潛勢預警系統，俾及早因應有效減災及避災</w:t>
      </w:r>
      <w:bookmarkEnd w:id="102"/>
    </w:p>
    <w:p w:rsidR="00473050" w:rsidRPr="00715E34" w:rsidRDefault="00473050" w:rsidP="00232C83">
      <w:pPr>
        <w:pStyle w:val="3"/>
        <w:kinsoku w:val="0"/>
        <w:overflowPunct/>
        <w:topLinePunct/>
        <w:autoSpaceDE/>
        <w:autoSpaceDN/>
        <w:ind w:left="1393" w:hanging="697"/>
        <w:rPr>
          <w:rFonts w:hAnsi="標楷體"/>
        </w:rPr>
      </w:pPr>
      <w:r w:rsidRPr="00715E34">
        <w:rPr>
          <w:rFonts w:hAnsi="標楷體" w:hint="eastAsia"/>
        </w:rPr>
        <w:t>蘇迪勒颱風侵襲，強風豪雨肇致南勢溪上游地區重大災害，其中烏來地區大小面積之崩塌地即有6百餘處，除導致南勢溪民生用水長時間混濁，道路中斷，亦使民眾生命財產備受威脅。鑒於全球氣候變遷加據，極端氣候發生頻率及強度明顯增加之趨勢下，未來類此集水區山坡地嚴重崩塌情形勢將有增無減；為使民眾能提早或即時掌握「何處可能發生災害」、「可能發生何種類型災害」及「應採何種因應作為」等相關訊息，及早採行相關措施，以減少人命損傷，權責機關允應</w:t>
      </w:r>
      <w:r w:rsidRPr="00715E34">
        <w:rPr>
          <w:rFonts w:hAnsi="標楷體"/>
        </w:rPr>
        <w:t>加強調查需特別保護水土保持區位之潛在崩塌地，以確實掌握土沙災害潛勢</w:t>
      </w:r>
      <w:r w:rsidRPr="00715E34">
        <w:rPr>
          <w:rFonts w:hAnsi="標楷體" w:hint="eastAsia"/>
        </w:rPr>
        <w:t>，</w:t>
      </w:r>
      <w:r w:rsidRPr="00715E34">
        <w:rPr>
          <w:rFonts w:hAnsi="標楷體"/>
        </w:rPr>
        <w:t>提升</w:t>
      </w:r>
      <w:r w:rsidRPr="00715E34">
        <w:rPr>
          <w:rFonts w:hAnsi="標楷體" w:hint="eastAsia"/>
        </w:rPr>
        <w:t>颱風豪雨</w:t>
      </w:r>
      <w:r w:rsidRPr="00715E34">
        <w:rPr>
          <w:rFonts w:hAnsi="標楷體"/>
        </w:rPr>
        <w:t>時期水流之監測能力</w:t>
      </w:r>
      <w:r w:rsidRPr="00715E34">
        <w:rPr>
          <w:rFonts w:hAnsi="標楷體" w:hint="eastAsia"/>
        </w:rPr>
        <w:t>，建置完備之集水區崩塌及土石流等災害監測預警系統，實為當務之急。</w:t>
      </w:r>
    </w:p>
    <w:p w:rsidR="00473050" w:rsidRPr="00715E34" w:rsidRDefault="00473050" w:rsidP="00C30C6A">
      <w:pPr>
        <w:pStyle w:val="3"/>
        <w:kinsoku w:val="0"/>
        <w:overflowPunct/>
        <w:topLinePunct/>
        <w:autoSpaceDE/>
        <w:autoSpaceDN/>
        <w:ind w:left="1394" w:hanging="697"/>
        <w:rPr>
          <w:rFonts w:hAnsi="標楷體"/>
        </w:rPr>
      </w:pPr>
      <w:r w:rsidRPr="00715E34">
        <w:rPr>
          <w:rFonts w:hAnsi="標楷體" w:hint="eastAsia"/>
        </w:rPr>
        <w:t>經查，水利署已依據國立</w:t>
      </w:r>
      <w:r w:rsidRPr="00715E34">
        <w:rPr>
          <w:rFonts w:hAnsi="標楷體"/>
        </w:rPr>
        <w:t>中興大學「臺北水源特定區崩塌危害分析及土沙健康指標建立」研究，以綠覆蓋率、崩蝕率、逕流率、懸浮固體濃度、含沙濃度等五項指標綜合評估分析集水區健康狀況</w:t>
      </w:r>
      <w:r w:rsidRPr="00715E34">
        <w:rPr>
          <w:rFonts w:hAnsi="標楷體" w:hint="eastAsia"/>
        </w:rPr>
        <w:t>。該署復於南勢溪沿線覽勝大橋及上龜山橋等處設置有水位站，依據雨量、水位或颱風警報等資料發布水位警戒，並訂定有封橋警戒機制，以及建置雨量水位即時觀測資料公開於網路。另該署稱持續開發研究洪水預報模式，目前已多方蒐集中央氣象局等相</w:t>
      </w:r>
      <w:r w:rsidRPr="00715E34">
        <w:rPr>
          <w:rFonts w:hAnsi="標楷體" w:hint="eastAsia"/>
        </w:rPr>
        <w:lastRenderedPageBreak/>
        <w:t>關單位提供之劇烈天氣監測系統</w:t>
      </w:r>
      <w:r w:rsidRPr="00715E34">
        <w:rPr>
          <w:rFonts w:hAnsi="標楷體"/>
        </w:rPr>
        <w:t>（Quantitative</w:t>
      </w:r>
      <w:r w:rsidR="002415F6" w:rsidRPr="00715E34">
        <w:rPr>
          <w:rFonts w:hAnsi="標楷體" w:hint="eastAsia"/>
        </w:rPr>
        <w:t xml:space="preserve"> </w:t>
      </w:r>
      <w:r w:rsidRPr="00715E34">
        <w:rPr>
          <w:rFonts w:hAnsi="標楷體"/>
        </w:rPr>
        <w:t>Precipitation</w:t>
      </w:r>
      <w:r w:rsidR="002415F6" w:rsidRPr="00715E34">
        <w:rPr>
          <w:rFonts w:hAnsi="標楷體" w:hint="eastAsia"/>
        </w:rPr>
        <w:t xml:space="preserve"> </w:t>
      </w:r>
      <w:r w:rsidRPr="00715E34">
        <w:rPr>
          <w:rFonts w:hAnsi="標楷體"/>
        </w:rPr>
        <w:t>Estimationand</w:t>
      </w:r>
      <w:r w:rsidR="002415F6" w:rsidRPr="00715E34">
        <w:rPr>
          <w:rFonts w:hAnsi="標楷體" w:hint="eastAsia"/>
        </w:rPr>
        <w:t xml:space="preserve"> </w:t>
      </w:r>
      <w:r w:rsidRPr="00715E34">
        <w:rPr>
          <w:rFonts w:hAnsi="標楷體"/>
        </w:rPr>
        <w:t>Segregation</w:t>
      </w:r>
      <w:r w:rsidR="002415F6" w:rsidRPr="00715E34">
        <w:rPr>
          <w:rFonts w:hAnsi="標楷體" w:hint="eastAsia"/>
        </w:rPr>
        <w:t xml:space="preserve"> </w:t>
      </w:r>
      <w:r w:rsidRPr="00715E34">
        <w:rPr>
          <w:rFonts w:hAnsi="標楷體"/>
        </w:rPr>
        <w:t>Using</w:t>
      </w:r>
      <w:r w:rsidR="002415F6" w:rsidRPr="00715E34">
        <w:rPr>
          <w:rFonts w:hAnsi="標楷體" w:hint="eastAsia"/>
        </w:rPr>
        <w:t xml:space="preserve"> </w:t>
      </w:r>
      <w:r w:rsidRPr="00715E34">
        <w:rPr>
          <w:rFonts w:hAnsi="標楷體"/>
        </w:rPr>
        <w:t>Multiple</w:t>
      </w:r>
      <w:r w:rsidR="002415F6" w:rsidRPr="00715E34">
        <w:rPr>
          <w:rFonts w:hAnsi="標楷體" w:hint="eastAsia"/>
        </w:rPr>
        <w:t xml:space="preserve"> </w:t>
      </w:r>
      <w:r w:rsidRPr="00715E34">
        <w:rPr>
          <w:rFonts w:hAnsi="標楷體"/>
        </w:rPr>
        <w:t>Sensor，簡稱QPESUMS）、系</w:t>
      </w:r>
      <w:r w:rsidR="00504C0F" w:rsidRPr="00715E34">
        <w:rPr>
          <w:rFonts w:hAnsi="標楷體"/>
        </w:rPr>
        <w:t>集</w:t>
      </w:r>
      <w:r w:rsidRPr="00715E34">
        <w:rPr>
          <w:rFonts w:hAnsi="標楷體"/>
        </w:rPr>
        <w:t>颱風定量降水（Ensemblebased</w:t>
      </w:r>
      <w:r w:rsidR="002415F6" w:rsidRPr="00715E34">
        <w:rPr>
          <w:rFonts w:hAnsi="標楷體" w:hint="eastAsia"/>
        </w:rPr>
        <w:t xml:space="preserve"> </w:t>
      </w:r>
      <w:r w:rsidRPr="00715E34">
        <w:rPr>
          <w:rFonts w:hAnsi="標楷體"/>
        </w:rPr>
        <w:t>Typhoon</w:t>
      </w:r>
      <w:r w:rsidR="002415F6" w:rsidRPr="00715E34">
        <w:rPr>
          <w:rFonts w:hAnsi="標楷體" w:hint="eastAsia"/>
        </w:rPr>
        <w:t xml:space="preserve"> </w:t>
      </w:r>
      <w:r w:rsidRPr="00715E34">
        <w:rPr>
          <w:rFonts w:hAnsi="標楷體"/>
        </w:rPr>
        <w:t>Quantitative</w:t>
      </w:r>
      <w:r w:rsidR="002415F6" w:rsidRPr="00715E34">
        <w:rPr>
          <w:rFonts w:hAnsi="標楷體" w:hint="eastAsia"/>
        </w:rPr>
        <w:t xml:space="preserve"> </w:t>
      </w:r>
      <w:r w:rsidRPr="00715E34">
        <w:rPr>
          <w:rFonts w:hAnsi="標楷體"/>
        </w:rPr>
        <w:t>Precipitation</w:t>
      </w:r>
      <w:r w:rsidR="002415F6" w:rsidRPr="00715E34">
        <w:rPr>
          <w:rFonts w:hAnsi="標楷體" w:hint="eastAsia"/>
        </w:rPr>
        <w:t xml:space="preserve"> </w:t>
      </w:r>
      <w:r w:rsidRPr="00715E34">
        <w:rPr>
          <w:rFonts w:hAnsi="標楷體"/>
        </w:rPr>
        <w:t>Forecast，簡稱ETQPF）及颱洪中心系集預報等產品，配合預報模式計算河川水位與流量，協助防汛人員掌</w:t>
      </w:r>
      <w:r w:rsidRPr="00715E34">
        <w:rPr>
          <w:rFonts w:hAnsi="標楷體" w:hint="eastAsia"/>
        </w:rPr>
        <w:t>握水情之變化，爭取預警時間。又該部中央地質調查所已進行2萬平方公里區域的山崩潛勢區域調查工作，並</w:t>
      </w:r>
      <w:r w:rsidRPr="00715E34">
        <w:rPr>
          <w:rFonts w:hAnsi="標楷體"/>
        </w:rPr>
        <w:t>建置地質資料整合查詢系統，以及集水區的地形與地質資料庫等，可供外界直接獲取各類地質資訊參考運用</w:t>
      </w:r>
      <w:r w:rsidRPr="00715E34">
        <w:rPr>
          <w:rStyle w:val="aff2"/>
          <w:rFonts w:hAnsi="標楷體"/>
        </w:rPr>
        <w:footnoteReference w:id="45"/>
      </w:r>
      <w:r w:rsidRPr="00715E34">
        <w:rPr>
          <w:rFonts w:hAnsi="標楷體"/>
        </w:rPr>
        <w:t>。</w:t>
      </w:r>
    </w:p>
    <w:p w:rsidR="00473050" w:rsidRPr="00715E34" w:rsidRDefault="00473050" w:rsidP="00232C83">
      <w:pPr>
        <w:pStyle w:val="3"/>
        <w:kinsoku w:val="0"/>
        <w:overflowPunct/>
        <w:topLinePunct/>
        <w:autoSpaceDE/>
        <w:autoSpaceDN/>
        <w:ind w:left="1393" w:hanging="697"/>
        <w:rPr>
          <w:rFonts w:hAnsi="標楷體"/>
        </w:rPr>
      </w:pPr>
      <w:r w:rsidRPr="00715E34">
        <w:rPr>
          <w:rFonts w:hAnsi="標楷體" w:hint="eastAsia"/>
        </w:rPr>
        <w:t>另據農委會稱，將持續</w:t>
      </w:r>
      <w:r w:rsidRPr="00715E34">
        <w:rPr>
          <w:rFonts w:hAnsi="標楷體"/>
        </w:rPr>
        <w:t>應用及更新各類土石流觀測儀器</w:t>
      </w:r>
      <w:r w:rsidRPr="00715E34">
        <w:rPr>
          <w:rFonts w:hAnsi="標楷體" w:hint="eastAsia"/>
        </w:rPr>
        <w:t>，</w:t>
      </w:r>
      <w:r w:rsidRPr="00715E34">
        <w:rPr>
          <w:rFonts w:hAnsi="標楷體"/>
        </w:rPr>
        <w:t>利用最新科技取得災害影像、高精度數值地表模型及相關現地調查資料</w:t>
      </w:r>
      <w:r w:rsidRPr="00715E34">
        <w:rPr>
          <w:rFonts w:hAnsi="標楷體" w:hint="eastAsia"/>
        </w:rPr>
        <w:t>，</w:t>
      </w:r>
      <w:r w:rsidRPr="00715E34">
        <w:rPr>
          <w:rFonts w:hAnsi="標楷體"/>
        </w:rPr>
        <w:t>進行潛在大規模崩塌發生區位判釋工作，並透過分析技術推算崩塌可能發生之時間點，研修崩塌地即時監測因應措施標準作業程序，整備土石流防災監測及警戒基礎資料庫，</w:t>
      </w:r>
      <w:r w:rsidRPr="00715E34">
        <w:rPr>
          <w:rFonts w:hAnsi="標楷體" w:hint="eastAsia"/>
        </w:rPr>
        <w:t>且</w:t>
      </w:r>
      <w:r w:rsidRPr="00715E34">
        <w:rPr>
          <w:rFonts w:hAnsi="標楷體"/>
        </w:rPr>
        <w:t>持續與氣象局合作發展劇烈天氣監測系統，掌握即時雨量資訊，進行坡地災害基本調查，以確實輔助警戒發布。</w:t>
      </w:r>
      <w:r w:rsidRPr="00715E34">
        <w:rPr>
          <w:rFonts w:hAnsi="標楷體" w:hint="eastAsia"/>
        </w:rPr>
        <w:t>另該會前於103年1月2日就本院調查南勢溪上游東札孔溪崩塌案後續函復辦理情形時稱，已於102年12月20日完成該流域集水區地質災害潛勢分布區建置，以為因應極端氣候之侵襲。</w:t>
      </w:r>
    </w:p>
    <w:p w:rsidR="00422465" w:rsidRPr="00715E34" w:rsidRDefault="00473050" w:rsidP="00232C83">
      <w:pPr>
        <w:pStyle w:val="3"/>
        <w:topLinePunct/>
        <w:autoSpaceDE/>
        <w:autoSpaceDN/>
        <w:ind w:left="1394" w:hanging="697"/>
        <w:rPr>
          <w:rFonts w:hAnsi="標楷體"/>
        </w:rPr>
      </w:pPr>
      <w:r w:rsidRPr="00715E34">
        <w:rPr>
          <w:rFonts w:hAnsi="標楷體" w:hint="eastAsia"/>
        </w:rPr>
        <w:t>然查，</w:t>
      </w:r>
      <w:r w:rsidRPr="00715E34">
        <w:rPr>
          <w:rFonts w:hAnsi="標楷體"/>
        </w:rPr>
        <w:t>蘇迪勒颱風肇致烏來南勢溪上游集水區多處土石坍塌，</w:t>
      </w:r>
      <w:r w:rsidRPr="00715E34">
        <w:rPr>
          <w:rFonts w:hAnsi="標楷體" w:hint="eastAsia"/>
        </w:rPr>
        <w:t>造成</w:t>
      </w:r>
      <w:r w:rsidRPr="00715E34">
        <w:rPr>
          <w:rFonts w:hAnsi="標楷體"/>
        </w:rPr>
        <w:t>溪水混濁，</w:t>
      </w:r>
      <w:r w:rsidRPr="00715E34">
        <w:rPr>
          <w:rFonts w:hAnsi="標楷體" w:hint="eastAsia"/>
        </w:rPr>
        <w:t>道路中斷，民眾生命財產飽受威脅，前開</w:t>
      </w:r>
      <w:r w:rsidR="00422465" w:rsidRPr="00715E34">
        <w:rPr>
          <w:rFonts w:hAnsi="標楷體" w:hint="eastAsia"/>
        </w:rPr>
        <w:t>水利署</w:t>
      </w:r>
      <w:r w:rsidRPr="00715E34">
        <w:rPr>
          <w:rFonts w:hAnsi="標楷體" w:hint="eastAsia"/>
        </w:rPr>
        <w:t>及農委會所為之監測預警措施，成效似有所不足。</w:t>
      </w:r>
      <w:r w:rsidR="00422465" w:rsidRPr="00715E34">
        <w:rPr>
          <w:rFonts w:hAnsi="標楷體"/>
        </w:rPr>
        <w:t>參與本案履勘學者專家</w:t>
      </w:r>
      <w:r w:rsidR="00422465" w:rsidRPr="00715E34">
        <w:rPr>
          <w:rFonts w:hAnsi="標楷體" w:hint="eastAsia"/>
        </w:rPr>
        <w:t>咸</w:t>
      </w:r>
      <w:r w:rsidR="00422465" w:rsidRPr="00715E34">
        <w:rPr>
          <w:rFonts w:hAnsi="標楷體"/>
        </w:rPr>
        <w:lastRenderedPageBreak/>
        <w:t>認為，國內學術界相關技術已甚為先進及成熟，例如利用無人飛行載具（Unmanned</w:t>
      </w:r>
      <w:r w:rsidR="00422465" w:rsidRPr="00715E34">
        <w:rPr>
          <w:rFonts w:hAnsi="標楷體" w:hint="eastAsia"/>
        </w:rPr>
        <w:t xml:space="preserve"> </w:t>
      </w:r>
      <w:r w:rsidR="00422465" w:rsidRPr="00715E34">
        <w:rPr>
          <w:rFonts w:hAnsi="標楷體"/>
        </w:rPr>
        <w:t>Aerial</w:t>
      </w:r>
      <w:r w:rsidR="00422465" w:rsidRPr="00715E34">
        <w:rPr>
          <w:rFonts w:hAnsi="標楷體" w:hint="eastAsia"/>
        </w:rPr>
        <w:t xml:space="preserve"> </w:t>
      </w:r>
      <w:r w:rsidR="00422465" w:rsidRPr="00715E34">
        <w:rPr>
          <w:rFonts w:hAnsi="標楷體"/>
        </w:rPr>
        <w:t>Vehicle，簡稱UAV）對山坡地拍攝並製作成3D數位化的立體地理圖檔，就可以看出不同角度的邊坡變化，並可推估崩塌的量體，作為搶救災害之研判依據，以及預防災害與評估災損；另如札孔溪崩坍處為人力無法到達之處，亦可運用此先進技術協助監測。此外，與會學者專家亦建議，以中央地質調查所的地質調查資料為重要參酌依據，針對集水區內人口密集處研擬更局部且細緻化的災害監測及預報，以減少災害來襲時肇致之人命死傷。</w:t>
      </w:r>
      <w:r w:rsidR="00422465" w:rsidRPr="00715E34">
        <w:rPr>
          <w:rFonts w:hAnsi="標楷體" w:hint="eastAsia"/>
        </w:rPr>
        <w:t>是故</w:t>
      </w:r>
      <w:r w:rsidR="00422465" w:rsidRPr="00715E34">
        <w:rPr>
          <w:rFonts w:hAnsi="標楷體"/>
        </w:rPr>
        <w:t>，農委會及經濟部等權責機關允應加強防災及監測技術提升與設備更新，俾能事前經確判釋潛在災害地點以預防災害，以及事後正確評估災損，並針對人口密集處為更細緻化之災害監測及預報，以保障居民生命財產安全。</w:t>
      </w:r>
    </w:p>
    <w:p w:rsidR="00473050" w:rsidRPr="00715E34" w:rsidRDefault="00422465" w:rsidP="00232C83">
      <w:pPr>
        <w:pStyle w:val="3"/>
        <w:topLinePunct/>
        <w:autoSpaceDE/>
        <w:autoSpaceDN/>
        <w:ind w:left="1394" w:hanging="697"/>
        <w:rPr>
          <w:rFonts w:hAnsi="標楷體"/>
        </w:rPr>
      </w:pPr>
      <w:r w:rsidRPr="00715E34">
        <w:rPr>
          <w:rFonts w:hAnsi="標楷體" w:hint="eastAsia"/>
        </w:rPr>
        <w:t>經詢據</w:t>
      </w:r>
      <w:r w:rsidR="00473050" w:rsidRPr="00715E34">
        <w:rPr>
          <w:rFonts w:hAnsi="標楷體" w:hint="eastAsia"/>
        </w:rPr>
        <w:t>農委會人員雖表示，該會已</w:t>
      </w:r>
      <w:r w:rsidR="00473050" w:rsidRPr="00715E34">
        <w:rPr>
          <w:rFonts w:hAnsi="標楷體"/>
        </w:rPr>
        <w:t>應用及更新各類土石流</w:t>
      </w:r>
      <w:r w:rsidR="00473050" w:rsidRPr="00715E34">
        <w:rPr>
          <w:rFonts w:hAnsi="標楷體" w:hint="eastAsia"/>
        </w:rPr>
        <w:t>監測</w:t>
      </w:r>
      <w:r w:rsidR="00473050" w:rsidRPr="00715E34">
        <w:rPr>
          <w:rFonts w:hAnsi="標楷體"/>
        </w:rPr>
        <w:t>儀器</w:t>
      </w:r>
      <w:r w:rsidR="00473050" w:rsidRPr="00715E34">
        <w:rPr>
          <w:rFonts w:hAnsi="標楷體" w:hint="eastAsia"/>
        </w:rPr>
        <w:t>，然亦不諱言：「</w:t>
      </w:r>
      <w:r w:rsidR="00473050" w:rsidRPr="00715E34">
        <w:rPr>
          <w:rFonts w:hAnsi="標楷體"/>
        </w:rPr>
        <w:t>鑑於現階段對於崩塌發生機制、時間、影響範圍仍為研究階段，以現有科技與技術，仍無法有效準確預測崩塌災害；其所延伸之防災避災、疏散避難等災害防救作為，尚無管理與警戒啟動機制可參考，仍需產官學界共同努力</w:t>
      </w:r>
      <w:r w:rsidR="00473050" w:rsidRPr="00715E34">
        <w:rPr>
          <w:rFonts w:hAnsi="標楷體" w:hint="eastAsia"/>
        </w:rPr>
        <w:t>」</w:t>
      </w:r>
      <w:r w:rsidR="00473050" w:rsidRPr="00715E34">
        <w:rPr>
          <w:rFonts w:hAnsi="標楷體"/>
        </w:rPr>
        <w:t>。</w:t>
      </w:r>
      <w:r w:rsidR="00473050" w:rsidRPr="00715E34">
        <w:rPr>
          <w:rFonts w:hAnsi="標楷體" w:hint="eastAsia"/>
        </w:rPr>
        <w:t>是以，面對類似蘇迪勒颱風強風暴雨襲擊，肇致烏來地區6百餘處崩塌地情事，現行水庫集水區監測及預警措施顯然無法達成應有之防災預警成效。</w:t>
      </w:r>
    </w:p>
    <w:p w:rsidR="00473050" w:rsidRPr="00715E34" w:rsidRDefault="00473050" w:rsidP="00C30C6A">
      <w:pPr>
        <w:pStyle w:val="3"/>
        <w:kinsoku w:val="0"/>
        <w:overflowPunct/>
        <w:topLinePunct/>
        <w:autoSpaceDE/>
        <w:autoSpaceDN/>
        <w:ind w:left="1394" w:hanging="697"/>
        <w:rPr>
          <w:rFonts w:hAnsi="標楷體"/>
        </w:rPr>
      </w:pPr>
      <w:r w:rsidRPr="00715E34">
        <w:rPr>
          <w:rFonts w:hAnsi="標楷體" w:hint="eastAsia"/>
        </w:rPr>
        <w:t>對此，行政院甫於今（105）年1月間核定「新店溪上游流域保育治理及區域穩定供水綱要計畫」，該綱要計畫區分為「建立流域災害監測預警系統」、「加速集水區保育治理與管理」、「加強河川規劃、</w:t>
      </w:r>
      <w:r w:rsidRPr="00715E34">
        <w:rPr>
          <w:rFonts w:hAnsi="標楷體" w:hint="eastAsia"/>
        </w:rPr>
        <w:lastRenderedPageBreak/>
        <w:t>治理與非工程措施」及「建構高濁度因應處理及備援能力」4大工作區塊；復於同年4月26日發布「新店溪上游流域保育治理及區域穩定供水綱要計畫工作分組設置要點」，作為執行該綱要計畫之工作分組。其中有關「建立流域災害監測預警系統」區塊部分，係由</w:t>
      </w:r>
      <w:r w:rsidRPr="00715E34">
        <w:rPr>
          <w:rFonts w:hAnsi="標楷體"/>
        </w:rPr>
        <w:t>國家災害防救科技中心（The</w:t>
      </w:r>
      <w:r w:rsidR="00422465" w:rsidRPr="00715E34">
        <w:rPr>
          <w:rFonts w:hAnsi="標楷體" w:hint="eastAsia"/>
        </w:rPr>
        <w:t xml:space="preserve"> </w:t>
      </w:r>
      <w:r w:rsidRPr="00715E34">
        <w:rPr>
          <w:rFonts w:hAnsi="標楷體"/>
        </w:rPr>
        <w:t>National</w:t>
      </w:r>
      <w:r w:rsidR="00422465" w:rsidRPr="00715E34">
        <w:rPr>
          <w:rFonts w:hAnsi="標楷體" w:hint="eastAsia"/>
        </w:rPr>
        <w:t xml:space="preserve"> </w:t>
      </w:r>
      <w:r w:rsidRPr="00715E34">
        <w:rPr>
          <w:rFonts w:hAnsi="標楷體"/>
        </w:rPr>
        <w:t>Science</w:t>
      </w:r>
      <w:r w:rsidR="000440D5">
        <w:rPr>
          <w:rFonts w:hAnsi="標楷體" w:hint="eastAsia"/>
        </w:rPr>
        <w:t xml:space="preserve"> </w:t>
      </w:r>
      <w:r w:rsidRPr="00715E34">
        <w:rPr>
          <w:rFonts w:hAnsi="標楷體"/>
        </w:rPr>
        <w:t>and</w:t>
      </w:r>
      <w:r w:rsidR="00422465" w:rsidRPr="00715E34">
        <w:rPr>
          <w:rFonts w:hAnsi="標楷體" w:hint="eastAsia"/>
        </w:rPr>
        <w:t xml:space="preserve"> </w:t>
      </w:r>
      <w:r w:rsidRPr="00715E34">
        <w:rPr>
          <w:rFonts w:hAnsi="標楷體"/>
        </w:rPr>
        <w:t>Technology</w:t>
      </w:r>
      <w:r w:rsidR="00422465" w:rsidRPr="00715E34">
        <w:rPr>
          <w:rFonts w:hAnsi="標楷體" w:hint="eastAsia"/>
        </w:rPr>
        <w:t xml:space="preserve"> </w:t>
      </w:r>
      <w:r w:rsidRPr="00715E34">
        <w:rPr>
          <w:rFonts w:hAnsi="標楷體"/>
        </w:rPr>
        <w:t>Center</w:t>
      </w:r>
      <w:r w:rsidR="00993DFD">
        <w:rPr>
          <w:rFonts w:hAnsi="標楷體" w:hint="eastAsia"/>
        </w:rPr>
        <w:t xml:space="preserve"> </w:t>
      </w:r>
      <w:r w:rsidRPr="00715E34">
        <w:rPr>
          <w:rFonts w:hAnsi="標楷體"/>
        </w:rPr>
        <w:t>for</w:t>
      </w:r>
      <w:r w:rsidR="00422465" w:rsidRPr="00715E34">
        <w:rPr>
          <w:rFonts w:hAnsi="標楷體" w:hint="eastAsia"/>
        </w:rPr>
        <w:t xml:space="preserve"> </w:t>
      </w:r>
      <w:r w:rsidRPr="00715E34">
        <w:rPr>
          <w:rFonts w:hAnsi="標楷體"/>
        </w:rPr>
        <w:t>Disaster</w:t>
      </w:r>
      <w:r w:rsidR="00993DFD">
        <w:rPr>
          <w:rFonts w:hAnsi="標楷體" w:hint="eastAsia"/>
        </w:rPr>
        <w:t xml:space="preserve"> </w:t>
      </w:r>
      <w:r w:rsidRPr="00715E34">
        <w:rPr>
          <w:rFonts w:hAnsi="標楷體"/>
        </w:rPr>
        <w:t>Reduction，簡稱NCDR）主導，</w:t>
      </w:r>
      <w:r w:rsidRPr="00715E34">
        <w:rPr>
          <w:rFonts w:hAnsi="標楷體" w:hint="eastAsia"/>
        </w:rPr>
        <w:t>將</w:t>
      </w:r>
      <w:r w:rsidRPr="00715E34">
        <w:rPr>
          <w:rFonts w:hAnsi="標楷體"/>
        </w:rPr>
        <w:t>結合</w:t>
      </w:r>
      <w:r w:rsidRPr="00715E34">
        <w:rPr>
          <w:rFonts w:hAnsi="標楷體" w:hint="eastAsia"/>
        </w:rPr>
        <w:t>農委會、經濟部、交通部、臺北市政府及新北市政府共同執行，除建置監測預警系統外，另辦理崩塌敏感地與土石流潛勢溪流調查及建立危險聚落保全計畫等執行策略。爰此，面對水庫集水區山坡地發生崩塌及土石流，除致使民眾生命財產遭受威脅，亦加速水庫淤積，減損水庫使用年限；爰行政院實責無旁貸，應即督促所屬權責機關善用現行機制、先進監測設備及資料，儘速建立完備有效之水庫集水區崩塌及土石流潛勢預警系統，並運用於國</w:t>
      </w:r>
      <w:r w:rsidR="00654E1B" w:rsidRPr="00715E34">
        <w:rPr>
          <w:rFonts w:hAnsi="標楷體" w:hint="eastAsia"/>
        </w:rPr>
        <w:t>內</w:t>
      </w:r>
      <w:r w:rsidRPr="00715E34">
        <w:rPr>
          <w:rFonts w:hAnsi="標楷體" w:hint="eastAsia"/>
        </w:rPr>
        <w:t>各集水區，以因應類似蘇迪勒颱風所導致之重大災害侵襲。</w:t>
      </w:r>
    </w:p>
    <w:p w:rsidR="00473050" w:rsidRPr="00715E34" w:rsidRDefault="00473050" w:rsidP="00232C83">
      <w:pPr>
        <w:pStyle w:val="3"/>
        <w:topLinePunct/>
        <w:autoSpaceDE/>
        <w:autoSpaceDN/>
        <w:ind w:left="1394" w:hanging="697"/>
        <w:rPr>
          <w:rFonts w:hAnsi="標楷體"/>
        </w:rPr>
      </w:pPr>
      <w:r w:rsidRPr="00715E34">
        <w:rPr>
          <w:rFonts w:hAnsi="標楷體" w:hint="eastAsia"/>
        </w:rPr>
        <w:t>綜上，近年來極端氣候頻仍，使短延時強降雨情況發生機率增加，為避免水庫集水區山坡地崩塌加劇，釀致災害並減損水庫利用，行政院允應督促所屬中央權責機關及地方政府，善用現有監測機制、設備及資料，儘速建立完備有效的水庫集水區崩塌及土石流潛勢預警系統，俾及早因應有效減災及避災。</w:t>
      </w:r>
    </w:p>
    <w:p w:rsidR="00BE42A1" w:rsidRPr="00715E34" w:rsidRDefault="00BE42A1" w:rsidP="00232C83">
      <w:pPr>
        <w:pStyle w:val="2"/>
        <w:topLinePunct/>
        <w:spacing w:beforeLines="25" w:before="114"/>
        <w:ind w:left="1020" w:hanging="680"/>
        <w:rPr>
          <w:rFonts w:hAnsi="標楷體"/>
          <w:b/>
          <w:szCs w:val="32"/>
        </w:rPr>
      </w:pPr>
      <w:bookmarkStart w:id="103" w:name="_Toc458000642"/>
      <w:r w:rsidRPr="00715E34">
        <w:rPr>
          <w:rFonts w:hAnsi="標楷體" w:hint="eastAsia"/>
          <w:b/>
          <w:szCs w:val="32"/>
        </w:rPr>
        <w:t>當水情正常而農業用水有</w:t>
      </w:r>
      <w:r w:rsidRPr="00715E34">
        <w:rPr>
          <w:rFonts w:hAnsi="標楷體" w:hint="eastAsia"/>
          <w:b/>
          <w:szCs w:val="36"/>
        </w:rPr>
        <w:t>剩餘</w:t>
      </w:r>
      <w:r w:rsidRPr="00715E34">
        <w:rPr>
          <w:rFonts w:hAnsi="標楷體" w:hint="eastAsia"/>
          <w:b/>
          <w:szCs w:val="32"/>
        </w:rPr>
        <w:t>水量，已常態成為民生及工業等標的之重要水源時，經濟部</w:t>
      </w:r>
      <w:r w:rsidRPr="00715E34">
        <w:rPr>
          <w:rFonts w:hAnsi="標楷體" w:hint="eastAsia"/>
          <w:b/>
          <w:szCs w:val="32"/>
          <w:lang w:eastAsia="zh-HK"/>
        </w:rPr>
        <w:t>在</w:t>
      </w:r>
      <w:r w:rsidRPr="00715E34">
        <w:rPr>
          <w:rFonts w:hAnsi="標楷體" w:hint="eastAsia"/>
          <w:b/>
          <w:szCs w:val="32"/>
        </w:rPr>
        <w:t>確保</w:t>
      </w:r>
      <w:r w:rsidRPr="00715E34">
        <w:rPr>
          <w:rFonts w:hAnsi="標楷體" w:hint="eastAsia"/>
          <w:b/>
          <w:szCs w:val="32"/>
          <w:lang w:eastAsia="zh-HK"/>
        </w:rPr>
        <w:t>農業經營、農民</w:t>
      </w:r>
      <w:r w:rsidRPr="00715E34">
        <w:rPr>
          <w:rFonts w:hAnsi="標楷體" w:hint="eastAsia"/>
          <w:b/>
          <w:szCs w:val="32"/>
        </w:rPr>
        <w:t>用水</w:t>
      </w:r>
      <w:r w:rsidRPr="00715E34">
        <w:rPr>
          <w:rFonts w:hAnsi="標楷體" w:hint="eastAsia"/>
          <w:b/>
          <w:szCs w:val="32"/>
          <w:lang w:eastAsia="zh-HK"/>
        </w:rPr>
        <w:t>權益、生態環境維護等</w:t>
      </w:r>
      <w:r w:rsidRPr="00715E34">
        <w:rPr>
          <w:rFonts w:hAnsi="標楷體" w:hint="eastAsia"/>
          <w:b/>
          <w:szCs w:val="32"/>
        </w:rPr>
        <w:t>原則</w:t>
      </w:r>
      <w:r w:rsidRPr="00715E34">
        <w:rPr>
          <w:rFonts w:hAnsi="標楷體" w:hint="eastAsia"/>
          <w:b/>
          <w:szCs w:val="32"/>
          <w:lang w:eastAsia="zh-HK"/>
        </w:rPr>
        <w:t>下，</w:t>
      </w:r>
      <w:r w:rsidRPr="00715E34">
        <w:rPr>
          <w:rFonts w:hAnsi="標楷體" w:hint="eastAsia"/>
          <w:b/>
          <w:szCs w:val="32"/>
        </w:rPr>
        <w:t>應正</w:t>
      </w:r>
      <w:r w:rsidRPr="00715E34">
        <w:rPr>
          <w:rFonts w:hAnsi="標楷體" w:hint="eastAsia"/>
          <w:b/>
          <w:szCs w:val="32"/>
        </w:rPr>
        <w:lastRenderedPageBreak/>
        <w:t>視檢討水資源調度操作實務與法規齟齬之處，並在整體需求考量下提升區域供水能力及合理分派調節水資源，謀求</w:t>
      </w:r>
      <w:r w:rsidRPr="00715E34">
        <w:rPr>
          <w:rFonts w:hAnsi="標楷體"/>
          <w:b/>
          <w:szCs w:val="32"/>
        </w:rPr>
        <w:t>互惠共贏</w:t>
      </w:r>
      <w:bookmarkEnd w:id="103"/>
    </w:p>
    <w:p w:rsidR="00BE42A1" w:rsidRPr="00715E34" w:rsidRDefault="00BE42A1" w:rsidP="00C30C6A">
      <w:pPr>
        <w:pStyle w:val="3"/>
        <w:topLinePunct/>
        <w:autoSpaceDE/>
        <w:autoSpaceDN/>
        <w:ind w:left="1360" w:hanging="680"/>
        <w:rPr>
          <w:rFonts w:hAnsi="標楷體"/>
        </w:rPr>
      </w:pPr>
      <w:r w:rsidRPr="00715E34">
        <w:rPr>
          <w:rFonts w:hAnsi="標楷體" w:hint="eastAsia"/>
        </w:rPr>
        <w:t>按</w:t>
      </w:r>
      <w:r w:rsidRPr="00715E34">
        <w:rPr>
          <w:rFonts w:hAnsi="標楷體" w:hint="eastAsia"/>
          <w:szCs w:val="32"/>
        </w:rPr>
        <w:t>水利法第4條：「本法所稱主管機關：在中央為經濟部；在直轄市為直轄市政府；在縣（市）為縣（市）政府。」同法第15條：「本法所稱水權，謂依法對於地面水或地下水，取得使用或收益之權</w:t>
      </w:r>
      <w:r w:rsidRPr="00715E34">
        <w:rPr>
          <w:rFonts w:hAnsi="標楷體" w:hint="eastAsia"/>
        </w:rPr>
        <w:t>。</w:t>
      </w:r>
      <w:r w:rsidRPr="00715E34">
        <w:rPr>
          <w:rFonts w:hAnsi="標楷體" w:hint="eastAsia"/>
          <w:szCs w:val="32"/>
        </w:rPr>
        <w:t>」</w:t>
      </w:r>
      <w:r w:rsidRPr="00715E34">
        <w:rPr>
          <w:rFonts w:hAnsi="標楷體" w:hint="eastAsia"/>
        </w:rPr>
        <w:t>同法</w:t>
      </w:r>
      <w:r w:rsidRPr="00715E34">
        <w:rPr>
          <w:rFonts w:hAnsi="標楷體" w:hint="eastAsia"/>
          <w:szCs w:val="32"/>
        </w:rPr>
        <w:t>第17條：</w:t>
      </w:r>
      <w:r w:rsidRPr="00715E34">
        <w:rPr>
          <w:rFonts w:hAnsi="標楷體"/>
          <w:szCs w:val="32"/>
        </w:rPr>
        <w:t>「</w:t>
      </w:r>
      <w:r w:rsidRPr="00715E34">
        <w:rPr>
          <w:rFonts w:hAnsi="標楷體" w:hint="eastAsia"/>
          <w:szCs w:val="32"/>
        </w:rPr>
        <w:t>團體公司或人民，因每一標的，取得水權，其用水量應以其事業所必需者為限。</w:t>
      </w:r>
      <w:r w:rsidRPr="00715E34">
        <w:rPr>
          <w:rFonts w:hAnsi="標楷體"/>
          <w:szCs w:val="32"/>
        </w:rPr>
        <w:t>」</w:t>
      </w:r>
      <w:r w:rsidRPr="00715E34">
        <w:rPr>
          <w:rFonts w:hAnsi="標楷體" w:hint="eastAsia"/>
        </w:rPr>
        <w:t>同法第22條：</w:t>
      </w:r>
      <w:r w:rsidRPr="00715E34">
        <w:rPr>
          <w:rFonts w:hAnsi="標楷體"/>
        </w:rPr>
        <w:t>「</w:t>
      </w:r>
      <w:r w:rsidRPr="00715E34">
        <w:rPr>
          <w:rFonts w:hAnsi="標楷體" w:hint="eastAsia"/>
        </w:rPr>
        <w:t>主管機關根據科學技術，認為該管區域內某水源之水量可以節約使用，得令已取得水權之原水權人，改善其取水、用水方法或設備，因此所有剩餘之水量，並得另行分配使用，但取得剩餘水量之水權人，應負擔原水權人</w:t>
      </w:r>
      <w:r w:rsidRPr="00715E34">
        <w:rPr>
          <w:rFonts w:hAnsi="標楷體" w:hint="eastAsia"/>
          <w:szCs w:val="32"/>
        </w:rPr>
        <w:t>改善</w:t>
      </w:r>
      <w:r w:rsidRPr="00715E34">
        <w:rPr>
          <w:rFonts w:hAnsi="標楷體" w:hint="eastAsia"/>
        </w:rPr>
        <w:t>之費用。</w:t>
      </w:r>
      <w:r w:rsidRPr="00715E34">
        <w:rPr>
          <w:rFonts w:hAnsi="標楷體"/>
        </w:rPr>
        <w:t>」</w:t>
      </w:r>
      <w:r w:rsidRPr="00715E34">
        <w:rPr>
          <w:rFonts w:hAnsi="標楷體" w:hint="eastAsia"/>
        </w:rPr>
        <w:t>另同法施行細則第18條：</w:t>
      </w:r>
      <w:r w:rsidRPr="00715E34">
        <w:rPr>
          <w:rFonts w:hAnsi="標楷體"/>
        </w:rPr>
        <w:t>「</w:t>
      </w:r>
      <w:r w:rsidRPr="00715E34">
        <w:rPr>
          <w:rFonts w:hAnsi="標楷體" w:hint="eastAsia"/>
        </w:rPr>
        <w:t>主管機關依本法第22條規定，令原水權人改善其取用水方法或設備者，得限期令水權人為水權變更登記。</w:t>
      </w:r>
      <w:r w:rsidRPr="00715E34">
        <w:rPr>
          <w:rFonts w:hAnsi="標楷體"/>
        </w:rPr>
        <w:t>」</w:t>
      </w:r>
      <w:r w:rsidRPr="00715E34">
        <w:rPr>
          <w:rFonts w:hAnsi="標楷體" w:hint="eastAsia"/>
        </w:rPr>
        <w:t>簡言之，水權之取得量必需與事業所必需之用水量一致，原水權人依前開規定所剩餘之水量，經濟部先廢止</w:t>
      </w:r>
      <w:r w:rsidRPr="00715E34">
        <w:rPr>
          <w:rFonts w:hAnsi="標楷體" w:hint="eastAsia"/>
          <w:lang w:eastAsia="zh-HK"/>
        </w:rPr>
        <w:t>該部分</w:t>
      </w:r>
      <w:r w:rsidRPr="00715E34">
        <w:rPr>
          <w:rFonts w:hAnsi="標楷體" w:hint="eastAsia"/>
        </w:rPr>
        <w:t>水權，該部再</w:t>
      </w:r>
      <w:r w:rsidRPr="00715E34">
        <w:rPr>
          <w:rFonts w:hAnsi="標楷體" w:hint="eastAsia"/>
          <w:szCs w:val="32"/>
        </w:rPr>
        <w:t>分配</w:t>
      </w:r>
      <w:r w:rsidRPr="00715E34">
        <w:rPr>
          <w:rFonts w:hAnsi="標楷體" w:hint="eastAsia"/>
        </w:rPr>
        <w:t>給</w:t>
      </w:r>
      <w:r w:rsidRPr="00715E34">
        <w:rPr>
          <w:rFonts w:hAnsi="標楷體" w:hint="eastAsia"/>
          <w:lang w:eastAsia="zh-HK"/>
        </w:rPr>
        <w:t>新</w:t>
      </w:r>
      <w:r w:rsidRPr="00715E34">
        <w:rPr>
          <w:rFonts w:hAnsi="標楷體" w:hint="eastAsia"/>
        </w:rPr>
        <w:t>水權人，並由新水權人負擔</w:t>
      </w:r>
      <w:r w:rsidRPr="00715E34">
        <w:rPr>
          <w:rFonts w:hAnsi="標楷體" w:hint="eastAsia"/>
          <w:szCs w:val="32"/>
        </w:rPr>
        <w:t>原水權人相關改善費用。</w:t>
      </w:r>
      <w:r w:rsidRPr="00715E34">
        <w:rPr>
          <w:rFonts w:hAnsi="標楷體" w:hint="eastAsia"/>
        </w:rPr>
        <w:t>此外，水利法第55條：</w:t>
      </w:r>
      <w:r w:rsidRPr="00715E34">
        <w:rPr>
          <w:rFonts w:hAnsi="標楷體"/>
        </w:rPr>
        <w:t>「興辦水利事業人因投資興辦水利建造物而增闢水道之水源者，在不影響下游水權人既得用水權益時，其增闢之水源，興辦水利事業人有優先申請使用收益之權。前項既得用水權益，指未增闢水源前之自然流量，但以不超過其登記之水權為限</w:t>
      </w:r>
      <w:r w:rsidRPr="00715E34">
        <w:rPr>
          <w:rFonts w:hAnsi="標楷體" w:hint="eastAsia"/>
        </w:rPr>
        <w:t>。」</w:t>
      </w:r>
    </w:p>
    <w:p w:rsidR="00BE42A1" w:rsidRPr="00715E34" w:rsidRDefault="00BE42A1" w:rsidP="00232C83">
      <w:pPr>
        <w:pStyle w:val="3"/>
        <w:topLinePunct/>
        <w:rPr>
          <w:rFonts w:hAnsi="標楷體"/>
        </w:rPr>
      </w:pPr>
      <w:r w:rsidRPr="00715E34">
        <w:rPr>
          <w:rFonts w:hAnsi="標楷體" w:hint="eastAsia"/>
        </w:rPr>
        <w:t>據農委會表示，國</w:t>
      </w:r>
      <w:r w:rsidR="009D04B9">
        <w:rPr>
          <w:rFonts w:hAnsi="標楷體" w:hint="eastAsia"/>
        </w:rPr>
        <w:t>內</w:t>
      </w:r>
      <w:r w:rsidRPr="00715E34">
        <w:rPr>
          <w:rFonts w:hAnsi="標楷體" w:hint="eastAsia"/>
        </w:rPr>
        <w:t>農業灌溉用水比率與鄰近日本及亞洲主要稻米國家相比，未呈現偏高情形</w:t>
      </w:r>
      <w:r w:rsidRPr="00715E34">
        <w:rPr>
          <w:rFonts w:hAnsi="標楷體"/>
        </w:rPr>
        <w:t>（</w:t>
      </w:r>
      <w:r w:rsidRPr="00715E34">
        <w:rPr>
          <w:rFonts w:hAnsi="標楷體" w:hint="eastAsia"/>
        </w:rPr>
        <w:t>我國</w:t>
      </w:r>
      <w:r w:rsidRPr="00715E34">
        <w:rPr>
          <w:rFonts w:hAnsi="標楷體"/>
        </w:rPr>
        <w:t>64%</w:t>
      </w:r>
      <w:r w:rsidRPr="00715E34">
        <w:rPr>
          <w:rFonts w:hAnsi="標楷體" w:hint="eastAsia"/>
        </w:rPr>
        <w:t>、</w:t>
      </w:r>
      <w:r w:rsidRPr="00715E34">
        <w:rPr>
          <w:rFonts w:hAnsi="標楷體"/>
        </w:rPr>
        <w:t>日本63%</w:t>
      </w:r>
      <w:r w:rsidRPr="00715E34">
        <w:rPr>
          <w:rFonts w:hAnsi="標楷體" w:hint="eastAsia"/>
        </w:rPr>
        <w:t>、</w:t>
      </w:r>
      <w:r w:rsidRPr="00715E34">
        <w:rPr>
          <w:rFonts w:hAnsi="標楷體"/>
        </w:rPr>
        <w:t>中國</w:t>
      </w:r>
      <w:r w:rsidRPr="00715E34">
        <w:rPr>
          <w:rFonts w:hAnsi="標楷體" w:hint="eastAsia"/>
        </w:rPr>
        <w:t>大陸</w:t>
      </w:r>
      <w:r w:rsidRPr="00715E34">
        <w:rPr>
          <w:rFonts w:hAnsi="標楷體"/>
        </w:rPr>
        <w:t>64%）</w:t>
      </w:r>
      <w:r w:rsidRPr="00715E34">
        <w:rPr>
          <w:rFonts w:hAnsi="標楷體" w:hint="eastAsia"/>
        </w:rPr>
        <w:t>，且農業灌溉用水具有</w:t>
      </w:r>
      <w:r w:rsidRPr="00715E34">
        <w:rPr>
          <w:rFonts w:hAnsi="標楷體"/>
        </w:rPr>
        <w:t>生產、生態與生活三方面的價值與效益</w:t>
      </w:r>
      <w:r w:rsidRPr="00715E34">
        <w:rPr>
          <w:rFonts w:hAnsi="標楷體" w:hint="eastAsia"/>
        </w:rPr>
        <w:t>，除農作</w:t>
      </w:r>
      <w:r w:rsidRPr="00715E34">
        <w:rPr>
          <w:rFonts w:hAnsi="標楷體" w:hint="eastAsia"/>
        </w:rPr>
        <w:lastRenderedPageBreak/>
        <w:t>物生產之直接經濟價值外，在生態層面尚包含調洪減災、補助涵養地下水（每年約20億</w:t>
      </w:r>
      <w:r w:rsidR="003B0352" w:rsidRPr="00715E34">
        <w:rPr>
          <w:rFonts w:hAnsi="標楷體" w:hint="eastAsia"/>
        </w:rPr>
        <w:t>立方公尺</w:t>
      </w:r>
      <w:r w:rsidRPr="00715E34">
        <w:rPr>
          <w:rFonts w:hAnsi="標楷體" w:hint="eastAsia"/>
        </w:rPr>
        <w:t>）、減緩地層下陷、防止土壤沖蝕及維護生物多樣性等間接功能，而在生活層面，則具有調節微氣候、二氧化碳減排、水質淨化、改善地區排水衛生、自然生態教育、景觀與傳統文化保存及休閒遊憩等外部效益。</w:t>
      </w:r>
    </w:p>
    <w:p w:rsidR="00BE42A1" w:rsidRPr="00715E34" w:rsidRDefault="00BE42A1" w:rsidP="00232C83">
      <w:pPr>
        <w:pStyle w:val="3"/>
        <w:topLinePunct/>
        <w:rPr>
          <w:rFonts w:hAnsi="標楷體"/>
        </w:rPr>
      </w:pPr>
      <w:r w:rsidRPr="00715E34">
        <w:rPr>
          <w:rFonts w:hAnsi="標楷體" w:hint="eastAsia"/>
          <w:lang w:eastAsia="zh-HK"/>
        </w:rPr>
        <w:t>再</w:t>
      </w:r>
      <w:r w:rsidRPr="00715E34">
        <w:rPr>
          <w:rFonts w:hAnsi="標楷體" w:hint="eastAsia"/>
        </w:rPr>
        <w:t>按農田水利會組織通則第10條第5款所定農田水利會之任務為：「農田水利事業配合政府推行土地、農業、工業政策及農村建設事項。」同通則第28條：「農田水利會得徵收建造物使用費、餘水使用費，列為事業收入。」復依司法院釋字628號解釋：「農田水利會係由法律設立之公法人，為地方水利自治團體，在法律授權範圍內享有自治之權限。農田水利事業之餘水管理乃農田水利會自治事項之一，農田水利會並得依法徵收餘水使用費」、「農田水利會於改善現有灌溉輸配水設施、減少輸水損失及提高用水效率後所節餘之餘水，不僅得再分配予會員供農田灌溉之用，且在不影響農田灌溉之運作下，亦得作農田灌溉以外目的之使用，以充分有效利用水資源。」</w:t>
      </w:r>
    </w:p>
    <w:p w:rsidR="00BE42A1" w:rsidRPr="00715E34" w:rsidRDefault="00BE42A1" w:rsidP="000327C5">
      <w:pPr>
        <w:pStyle w:val="3"/>
        <w:topLinePunct/>
        <w:autoSpaceDE/>
        <w:autoSpaceDN/>
        <w:ind w:left="1360" w:hanging="680"/>
        <w:rPr>
          <w:rFonts w:hAnsi="標楷體"/>
        </w:rPr>
      </w:pPr>
      <w:r w:rsidRPr="00715E34">
        <w:rPr>
          <w:rFonts w:hAnsi="標楷體" w:hint="eastAsia"/>
          <w:szCs w:val="32"/>
        </w:rPr>
        <w:t>早期我國以</w:t>
      </w:r>
      <w:r w:rsidRPr="00715E34">
        <w:rPr>
          <w:rFonts w:hAnsi="標楷體" w:hint="eastAsia"/>
        </w:rPr>
        <w:t>農業社會</w:t>
      </w:r>
      <w:r w:rsidRPr="00715E34">
        <w:rPr>
          <w:rFonts w:hAnsi="標楷體" w:hint="eastAsia"/>
          <w:szCs w:val="32"/>
        </w:rPr>
        <w:t>為重，農田灌溉用水占水資源利用之</w:t>
      </w:r>
      <w:r w:rsidRPr="00715E34">
        <w:rPr>
          <w:rFonts w:hAnsi="標楷體" w:hint="eastAsia"/>
        </w:rPr>
        <w:t>絕大部分</w:t>
      </w:r>
      <w:r w:rsidRPr="00715E34">
        <w:rPr>
          <w:rFonts w:hAnsi="標楷體" w:hint="eastAsia"/>
          <w:szCs w:val="32"/>
        </w:rPr>
        <w:t>，隨著社會結構之逐</w:t>
      </w:r>
      <w:r w:rsidRPr="00715E34">
        <w:rPr>
          <w:rFonts w:hAnsi="標楷體" w:hint="eastAsia"/>
        </w:rPr>
        <w:t>漸改變，民生用水及工業用水需水殷切，演變至今民生、農業、工業之水權比分別為2：7：1</w:t>
      </w:r>
      <w:r w:rsidR="0001718F">
        <w:rPr>
          <w:rStyle w:val="aff2"/>
          <w:rFonts w:hAnsi="標楷體"/>
        </w:rPr>
        <w:footnoteReference w:id="46"/>
      </w:r>
      <w:r w:rsidRPr="00715E34">
        <w:rPr>
          <w:rFonts w:hAnsi="標楷體" w:hint="eastAsia"/>
        </w:rPr>
        <w:t>。然而國民生活水準提高、工商行業蓬勃發展，民生及工業對水具有高度依賴性。據農委會表示，農田水利會今配合政府政策進行灌溉用水加強管理（增加人力及物力）以</w:t>
      </w:r>
      <w:r w:rsidRPr="00715E34">
        <w:rPr>
          <w:rFonts w:hAnsi="標楷體" w:hint="eastAsia"/>
        </w:rPr>
        <w:lastRenderedPageBreak/>
        <w:t>機動調配農業用水支援民生及工業用水，因各需用水單位（台水公司、工業用戶）向各農田水利會申請年代不同、取水地點不同、輸水方式不同、需用水量不同及不同強度之穩定度而有不同之成本及移用水補償單價，經雙方召開協調會議訂定用水單價。</w:t>
      </w:r>
    </w:p>
    <w:p w:rsidR="00BE42A1" w:rsidRPr="00715E34" w:rsidRDefault="00BE42A1" w:rsidP="000327C5">
      <w:pPr>
        <w:pStyle w:val="3"/>
        <w:topLinePunct/>
        <w:rPr>
          <w:rFonts w:hAnsi="標楷體"/>
        </w:rPr>
      </w:pPr>
      <w:r w:rsidRPr="00715E34">
        <w:rPr>
          <w:rFonts w:hAnsi="標楷體" w:hint="eastAsia"/>
        </w:rPr>
        <w:t>按經</w:t>
      </w:r>
      <w:r w:rsidRPr="00715E34">
        <w:rPr>
          <w:rFonts w:hAnsi="標楷體" w:hint="eastAsia"/>
          <w:szCs w:val="32"/>
        </w:rPr>
        <w:t>濟部</w:t>
      </w:r>
      <w:r w:rsidRPr="00715E34">
        <w:rPr>
          <w:rFonts w:hAnsi="標楷體" w:hint="eastAsia"/>
        </w:rPr>
        <w:t>彙整統計99年至103年各農田水利會之供水契約</w:t>
      </w:r>
      <w:r w:rsidRPr="00715E34">
        <w:rPr>
          <w:rFonts w:hAnsi="標楷體" w:hint="eastAsia"/>
          <w:szCs w:val="32"/>
        </w:rPr>
        <w:t>顯示，農業部門剩餘水量移用給民生及工業用水部門已行之有年，概述如下：</w:t>
      </w:r>
    </w:p>
    <w:p w:rsidR="00BE42A1" w:rsidRPr="00715E34" w:rsidRDefault="00BE42A1" w:rsidP="000327C5">
      <w:pPr>
        <w:pStyle w:val="4"/>
        <w:kinsoku w:val="0"/>
        <w:rPr>
          <w:rFonts w:hAnsi="標楷體"/>
        </w:rPr>
      </w:pPr>
      <w:r w:rsidRPr="00715E34">
        <w:rPr>
          <w:rFonts w:hAnsi="標楷體" w:hint="eastAsia"/>
        </w:rPr>
        <w:t>台水公司99年至103年透過支付「加強灌溉管理費」、「水利建造物使用費」及「設施維護</w:t>
      </w:r>
      <w:r w:rsidRPr="00715E34">
        <w:rPr>
          <w:rFonts w:hAnsi="標楷體"/>
        </w:rPr>
        <w:t>管理費</w:t>
      </w:r>
      <w:r w:rsidRPr="00715E34">
        <w:rPr>
          <w:rFonts w:hAnsi="標楷體" w:hint="eastAsia"/>
        </w:rPr>
        <w:t>」共14億6,691萬元，向農田水利會購買原水計4億8,433萬</w:t>
      </w:r>
      <w:r w:rsidR="003B0352" w:rsidRPr="00715E34">
        <w:rPr>
          <w:rFonts w:hAnsi="標楷體" w:hint="eastAsia"/>
        </w:rPr>
        <w:t>立方公尺</w:t>
      </w:r>
      <w:r w:rsidRPr="00715E34">
        <w:rPr>
          <w:rFonts w:hAnsi="標楷體" w:hint="eastAsia"/>
        </w:rPr>
        <w:t>，平均購水單價3.03元/</w:t>
      </w:r>
      <w:r w:rsidR="003B0352" w:rsidRPr="00715E34">
        <w:rPr>
          <w:rFonts w:hAnsi="標楷體" w:hint="eastAsia"/>
        </w:rPr>
        <w:t>立方公尺</w:t>
      </w:r>
      <w:r w:rsidRPr="00715E34">
        <w:rPr>
          <w:rFonts w:hAnsi="標楷體" w:hint="eastAsia"/>
        </w:rPr>
        <w:t>，相當於占該</w:t>
      </w:r>
      <w:r w:rsidRPr="00715E34">
        <w:rPr>
          <w:rFonts w:hAnsi="標楷體"/>
        </w:rPr>
        <w:t>公司103年</w:t>
      </w:r>
      <w:r w:rsidRPr="00715E34">
        <w:rPr>
          <w:rFonts w:hAnsi="標楷體" w:hint="eastAsia"/>
        </w:rPr>
        <w:t>售水單</w:t>
      </w:r>
      <w:r w:rsidRPr="00715E34">
        <w:rPr>
          <w:rFonts w:hAnsi="標楷體"/>
        </w:rPr>
        <w:t>價10.96元</w:t>
      </w:r>
      <w:r w:rsidRPr="00715E34">
        <w:rPr>
          <w:rFonts w:hAnsi="標楷體" w:hint="eastAsia"/>
        </w:rPr>
        <w:t>/</w:t>
      </w:r>
      <w:r w:rsidR="003B0352" w:rsidRPr="00715E34">
        <w:rPr>
          <w:rFonts w:hAnsi="標楷體" w:hint="eastAsia"/>
        </w:rPr>
        <w:t>立方公尺</w:t>
      </w:r>
      <w:r w:rsidRPr="00715E34">
        <w:rPr>
          <w:rFonts w:hAnsi="標楷體" w:hint="eastAsia"/>
        </w:rPr>
        <w:t>之27.63%。又農委會統計，農田水利會99至103年調撥給民生用水量之調用單價約1.2</w:t>
      </w:r>
      <w:r w:rsidR="00C30C6A">
        <w:rPr>
          <w:rFonts w:hAnsi="標楷體" w:hint="eastAsia"/>
        </w:rPr>
        <w:t>元</w:t>
      </w:r>
      <w:r w:rsidRPr="00715E34">
        <w:rPr>
          <w:rFonts w:hAnsi="標楷體" w:hint="eastAsia"/>
        </w:rPr>
        <w:t>至4.25元；其中以取自烏山頭水庫之嘉南水利會調用單價最高（4.25元/</w:t>
      </w:r>
      <w:r w:rsidR="003B0352" w:rsidRPr="00715E34">
        <w:rPr>
          <w:rFonts w:hAnsi="標楷體" w:hint="eastAsia"/>
        </w:rPr>
        <w:t>立方公尺</w:t>
      </w:r>
      <w:r w:rsidRPr="00715E34">
        <w:rPr>
          <w:rFonts w:hAnsi="標楷體" w:hint="eastAsia"/>
        </w:rPr>
        <w:t>），調用自石門水庫者次之（3元/</w:t>
      </w:r>
      <w:r w:rsidR="003B0352" w:rsidRPr="00715E34">
        <w:rPr>
          <w:rFonts w:hAnsi="標楷體" w:hint="eastAsia"/>
        </w:rPr>
        <w:t>立方公尺</w:t>
      </w:r>
      <w:r w:rsidRPr="00715E34">
        <w:rPr>
          <w:rFonts w:hAnsi="標楷體" w:hint="eastAsia"/>
        </w:rPr>
        <w:t>），且皆高於</w:t>
      </w:r>
      <w:r w:rsidR="004329D6" w:rsidRPr="00715E34">
        <w:rPr>
          <w:rFonts w:hAnsi="標楷體" w:hint="eastAsia"/>
        </w:rPr>
        <w:t>北</w:t>
      </w:r>
      <w:r w:rsidR="004329D6" w:rsidRPr="00715E34">
        <w:rPr>
          <w:rFonts w:hAnsi="標楷體"/>
        </w:rPr>
        <w:t>水局</w:t>
      </w:r>
      <w:r w:rsidR="004329D6" w:rsidRPr="00715E34">
        <w:rPr>
          <w:rFonts w:hAnsi="標楷體" w:hint="eastAsia"/>
        </w:rPr>
        <w:t>及</w:t>
      </w:r>
      <w:r w:rsidRPr="00715E34">
        <w:rPr>
          <w:rFonts w:hAnsi="標楷體"/>
        </w:rPr>
        <w:t>水利署南區水資源局</w:t>
      </w:r>
      <w:r w:rsidRPr="00715E34">
        <w:rPr>
          <w:rFonts w:hAnsi="標楷體" w:hint="eastAsia"/>
        </w:rPr>
        <w:t>向台水公司收取之原水費用。依照水利法第18條第1項規定，家用及公共給水之用水順位列為第一優先，凸顯水在人民生活所需之重要性，然而，據台水公司表示，</w:t>
      </w:r>
      <w:r w:rsidRPr="00715E34">
        <w:rPr>
          <w:rFonts w:hAnsi="標楷體"/>
        </w:rPr>
        <w:t>水權合理重分配未能落實，</w:t>
      </w:r>
      <w:r w:rsidRPr="00715E34">
        <w:rPr>
          <w:rFonts w:hAnsi="標楷體" w:hint="eastAsia"/>
          <w:lang w:eastAsia="zh-HK"/>
        </w:rPr>
        <w:t>已</w:t>
      </w:r>
      <w:r w:rsidRPr="00715E34">
        <w:rPr>
          <w:rFonts w:hAnsi="標楷體"/>
        </w:rPr>
        <w:t>增加</w:t>
      </w:r>
      <w:r w:rsidRPr="00715E34">
        <w:rPr>
          <w:rFonts w:hAnsi="標楷體" w:hint="eastAsia"/>
        </w:rPr>
        <w:t>該</w:t>
      </w:r>
      <w:r w:rsidRPr="00715E34">
        <w:rPr>
          <w:rFonts w:hAnsi="標楷體"/>
        </w:rPr>
        <w:t>公司營運風險</w:t>
      </w:r>
      <w:r w:rsidRPr="00715E34">
        <w:rPr>
          <w:rFonts w:hAnsi="標楷體" w:hint="eastAsia"/>
        </w:rPr>
        <w:t>，</w:t>
      </w:r>
      <w:r w:rsidRPr="00715E34">
        <w:rPr>
          <w:rFonts w:hAnsi="標楷體" w:hint="eastAsia"/>
          <w:lang w:eastAsia="zh-HK"/>
        </w:rPr>
        <w:t>說明如下</w:t>
      </w:r>
      <w:r w:rsidRPr="00715E34">
        <w:rPr>
          <w:rFonts w:hAnsi="標楷體" w:hint="eastAsia"/>
        </w:rPr>
        <w:t>：</w:t>
      </w:r>
    </w:p>
    <w:p w:rsidR="00BE42A1" w:rsidRPr="00715E34" w:rsidRDefault="00BE42A1" w:rsidP="000327C5">
      <w:pPr>
        <w:pStyle w:val="5"/>
        <w:kinsoku w:val="0"/>
        <w:rPr>
          <w:rFonts w:hAnsi="標楷體"/>
        </w:rPr>
      </w:pPr>
      <w:r w:rsidRPr="00715E34">
        <w:rPr>
          <w:rFonts w:hAnsi="標楷體" w:hint="eastAsia"/>
          <w:bCs w:val="0"/>
          <w:lang w:eastAsia="zh-HK"/>
        </w:rPr>
        <w:t>水權分配不合理之原因</w:t>
      </w:r>
    </w:p>
    <w:p w:rsidR="00BE42A1" w:rsidRPr="00715E34" w:rsidRDefault="00BE42A1" w:rsidP="000327C5">
      <w:pPr>
        <w:pStyle w:val="6"/>
        <w:kinsoku w:val="0"/>
        <w:rPr>
          <w:rFonts w:hAnsi="標楷體"/>
        </w:rPr>
      </w:pPr>
      <w:r w:rsidRPr="00715E34">
        <w:rPr>
          <w:rFonts w:hAnsi="標楷體" w:hint="eastAsia"/>
        </w:rPr>
        <w:t>國內地面水權絕大部分由農業標的取得</w:t>
      </w:r>
      <w:r w:rsidRPr="00715E34">
        <w:rPr>
          <w:rFonts w:hAnsi="標楷體"/>
        </w:rPr>
        <w:t>，</w:t>
      </w:r>
      <w:r w:rsidRPr="00715E34">
        <w:rPr>
          <w:rFonts w:hAnsi="標楷體" w:hint="eastAsia"/>
        </w:rPr>
        <w:t>但近30年來因經濟發展</w:t>
      </w:r>
      <w:r w:rsidRPr="00715E34">
        <w:rPr>
          <w:rFonts w:hAnsi="標楷體"/>
        </w:rPr>
        <w:t>、</w:t>
      </w:r>
      <w:r w:rsidRPr="00715E34">
        <w:rPr>
          <w:rFonts w:hAnsi="標楷體" w:hint="eastAsia"/>
        </w:rPr>
        <w:t>社會環境變遷等</w:t>
      </w:r>
      <w:r w:rsidRPr="00715E34">
        <w:rPr>
          <w:rFonts w:hAnsi="標楷體"/>
        </w:rPr>
        <w:t>，</w:t>
      </w:r>
      <w:r w:rsidRPr="00715E34">
        <w:rPr>
          <w:rFonts w:hAnsi="標楷體" w:hint="eastAsia"/>
        </w:rPr>
        <w:t>許多農地已大幅變更為建地或工業用地。</w:t>
      </w:r>
    </w:p>
    <w:p w:rsidR="00BE42A1" w:rsidRPr="00715E34" w:rsidRDefault="00BE42A1" w:rsidP="000327C5">
      <w:pPr>
        <w:pStyle w:val="6"/>
        <w:kinsoku w:val="0"/>
        <w:rPr>
          <w:rFonts w:hAnsi="標楷體"/>
          <w:bCs/>
          <w:kern w:val="0"/>
          <w:szCs w:val="32"/>
        </w:rPr>
      </w:pPr>
      <w:r w:rsidRPr="00715E34">
        <w:rPr>
          <w:rFonts w:hAnsi="標楷體" w:hint="eastAsia"/>
          <w:bCs/>
          <w:kern w:val="0"/>
          <w:szCs w:val="32"/>
        </w:rPr>
        <w:t>台水公司於63年成立後</w:t>
      </w:r>
      <w:r w:rsidRPr="00715E34">
        <w:rPr>
          <w:rFonts w:hAnsi="標楷體"/>
          <w:bCs/>
          <w:kern w:val="0"/>
          <w:szCs w:val="32"/>
        </w:rPr>
        <w:t>，</w:t>
      </w:r>
      <w:r w:rsidRPr="00715E34">
        <w:rPr>
          <w:rFonts w:hAnsi="標楷體" w:hint="eastAsia"/>
          <w:bCs/>
          <w:kern w:val="0"/>
          <w:szCs w:val="32"/>
        </w:rPr>
        <w:t>配合政策大力推動自來水普及</w:t>
      </w:r>
      <w:r w:rsidRPr="00715E34">
        <w:rPr>
          <w:rFonts w:hAnsi="標楷體"/>
          <w:bCs/>
          <w:kern w:val="0"/>
          <w:szCs w:val="32"/>
        </w:rPr>
        <w:t>，</w:t>
      </w:r>
      <w:r w:rsidRPr="00715E34">
        <w:rPr>
          <w:rFonts w:hAnsi="標楷體" w:hint="eastAsia"/>
          <w:bCs/>
          <w:kern w:val="0"/>
          <w:szCs w:val="32"/>
        </w:rPr>
        <w:t>需</w:t>
      </w:r>
      <w:r w:rsidRPr="00715E34">
        <w:rPr>
          <w:rFonts w:hAnsi="標楷體" w:hint="eastAsia"/>
        </w:rPr>
        <w:t>水量</w:t>
      </w:r>
      <w:r w:rsidRPr="00715E34">
        <w:rPr>
          <w:rFonts w:hAnsi="標楷體" w:hint="eastAsia"/>
          <w:bCs/>
          <w:kern w:val="0"/>
          <w:szCs w:val="32"/>
        </w:rPr>
        <w:t>成長快速</w:t>
      </w:r>
      <w:r w:rsidRPr="00715E34">
        <w:rPr>
          <w:rFonts w:hAnsi="標楷體"/>
          <w:bCs/>
          <w:kern w:val="0"/>
          <w:szCs w:val="32"/>
        </w:rPr>
        <w:t>，</w:t>
      </w:r>
      <w:r w:rsidRPr="00715E34">
        <w:rPr>
          <w:rFonts w:hAnsi="標楷體" w:hint="eastAsia"/>
          <w:bCs/>
          <w:kern w:val="0"/>
          <w:szCs w:val="32"/>
        </w:rPr>
        <w:t>惟公共給水</w:t>
      </w:r>
      <w:r w:rsidRPr="00715E34">
        <w:rPr>
          <w:rFonts w:hAnsi="標楷體" w:hint="eastAsia"/>
          <w:bCs/>
          <w:kern w:val="0"/>
          <w:szCs w:val="32"/>
        </w:rPr>
        <w:lastRenderedPageBreak/>
        <w:t>之水權取得極為困難</w:t>
      </w:r>
      <w:r w:rsidRPr="00715E34">
        <w:rPr>
          <w:rFonts w:hAnsi="標楷體"/>
          <w:bCs/>
          <w:kern w:val="0"/>
          <w:szCs w:val="32"/>
        </w:rPr>
        <w:t>，</w:t>
      </w:r>
      <w:r w:rsidRPr="00715E34">
        <w:rPr>
          <w:rFonts w:hAnsi="標楷體" w:hint="eastAsia"/>
          <w:bCs/>
          <w:kern w:val="0"/>
          <w:szCs w:val="32"/>
        </w:rPr>
        <w:t>而另開發新水源除經費龐大</w:t>
      </w:r>
      <w:r w:rsidRPr="00715E34">
        <w:rPr>
          <w:rFonts w:hAnsi="標楷體"/>
          <w:bCs/>
          <w:kern w:val="0"/>
          <w:szCs w:val="32"/>
        </w:rPr>
        <w:t>，</w:t>
      </w:r>
      <w:r w:rsidRPr="00715E34">
        <w:rPr>
          <w:rFonts w:hAnsi="標楷體" w:hint="eastAsia"/>
          <w:bCs/>
          <w:kern w:val="0"/>
          <w:szCs w:val="32"/>
        </w:rPr>
        <w:t>興建時程長</w:t>
      </w:r>
      <w:r w:rsidRPr="00715E34">
        <w:rPr>
          <w:rFonts w:hAnsi="標楷體"/>
          <w:bCs/>
          <w:kern w:val="0"/>
          <w:szCs w:val="32"/>
        </w:rPr>
        <w:t>，</w:t>
      </w:r>
      <w:r w:rsidRPr="00715E34">
        <w:rPr>
          <w:rFonts w:hAnsi="標楷體" w:hint="eastAsia"/>
          <w:bCs/>
          <w:kern w:val="0"/>
          <w:szCs w:val="32"/>
        </w:rPr>
        <w:t>遭遇抗爭多等問題</w:t>
      </w:r>
      <w:r w:rsidRPr="00715E34">
        <w:rPr>
          <w:rFonts w:hAnsi="標楷體"/>
          <w:bCs/>
          <w:kern w:val="0"/>
          <w:szCs w:val="32"/>
        </w:rPr>
        <w:t>，</w:t>
      </w:r>
      <w:r w:rsidRPr="00715E34">
        <w:rPr>
          <w:rFonts w:hAnsi="標楷體" w:hint="eastAsia"/>
          <w:bCs/>
          <w:kern w:val="0"/>
          <w:szCs w:val="32"/>
        </w:rPr>
        <w:t>故而緩不濟急</w:t>
      </w:r>
      <w:r w:rsidRPr="00715E34">
        <w:rPr>
          <w:rFonts w:hAnsi="標楷體"/>
          <w:bCs/>
          <w:kern w:val="0"/>
          <w:szCs w:val="32"/>
        </w:rPr>
        <w:t>，</w:t>
      </w:r>
      <w:r w:rsidRPr="00715E34">
        <w:rPr>
          <w:rFonts w:hAnsi="標楷體" w:hint="eastAsia"/>
          <w:bCs/>
          <w:kern w:val="0"/>
          <w:szCs w:val="32"/>
        </w:rPr>
        <w:t>影響人民生活水準之提高及經濟發展。</w:t>
      </w:r>
    </w:p>
    <w:p w:rsidR="00BE42A1" w:rsidRPr="00715E34" w:rsidRDefault="00BE42A1" w:rsidP="000327C5">
      <w:pPr>
        <w:pStyle w:val="5"/>
        <w:kinsoku w:val="0"/>
        <w:rPr>
          <w:rFonts w:hAnsi="標楷體"/>
        </w:rPr>
      </w:pPr>
      <w:r w:rsidRPr="00715E34">
        <w:rPr>
          <w:rFonts w:hAnsi="標楷體" w:hint="eastAsia"/>
          <w:bCs w:val="0"/>
          <w:szCs w:val="32"/>
          <w:lang w:eastAsia="zh-HK"/>
        </w:rPr>
        <w:t>因應作法</w:t>
      </w:r>
    </w:p>
    <w:p w:rsidR="00BE42A1" w:rsidRPr="00715E34" w:rsidRDefault="00BE42A1" w:rsidP="000327C5">
      <w:pPr>
        <w:pStyle w:val="6"/>
        <w:kinsoku w:val="0"/>
        <w:rPr>
          <w:rFonts w:hAnsi="標楷體"/>
        </w:rPr>
      </w:pPr>
      <w:r w:rsidRPr="00715E34">
        <w:rPr>
          <w:rFonts w:hAnsi="標楷體" w:hint="eastAsia"/>
        </w:rPr>
        <w:t>台水</w:t>
      </w:r>
      <w:r w:rsidRPr="00715E34">
        <w:rPr>
          <w:rFonts w:hAnsi="標楷體" w:hint="eastAsia"/>
          <w:lang w:eastAsia="zh-HK"/>
        </w:rPr>
        <w:t>公</w:t>
      </w:r>
      <w:r w:rsidRPr="00715E34">
        <w:rPr>
          <w:rFonts w:hAnsi="標楷體" w:hint="eastAsia"/>
        </w:rPr>
        <w:t>司建請農業主管機關，配合農田面積之減少</w:t>
      </w:r>
      <w:r w:rsidRPr="00715E34">
        <w:rPr>
          <w:rFonts w:hAnsi="標楷體"/>
        </w:rPr>
        <w:t>，</w:t>
      </w:r>
      <w:r w:rsidRPr="00715E34">
        <w:rPr>
          <w:rFonts w:hAnsi="標楷體" w:hint="eastAsia"/>
        </w:rPr>
        <w:t>辦理灌溉面積及農作物需水量普查，俾重新合理分配各標的水量</w:t>
      </w:r>
      <w:r w:rsidRPr="00715E34">
        <w:rPr>
          <w:rFonts w:hAnsi="標楷體"/>
        </w:rPr>
        <w:t>，</w:t>
      </w:r>
      <w:r w:rsidRPr="00715E34">
        <w:rPr>
          <w:rFonts w:hAnsi="標楷體" w:hint="eastAsia"/>
        </w:rPr>
        <w:t>以減輕公共給水水源開發之壓力及政府投資水資源之負擔</w:t>
      </w:r>
      <w:r w:rsidRPr="00715E34">
        <w:rPr>
          <w:rFonts w:hAnsi="標楷體"/>
        </w:rPr>
        <w:t>。</w:t>
      </w:r>
    </w:p>
    <w:p w:rsidR="00BE42A1" w:rsidRPr="00715E34" w:rsidRDefault="00BE42A1" w:rsidP="000327C5">
      <w:pPr>
        <w:pStyle w:val="6"/>
        <w:kinsoku w:val="0"/>
        <w:rPr>
          <w:rFonts w:hAnsi="標楷體"/>
          <w:kern w:val="0"/>
          <w:szCs w:val="32"/>
        </w:rPr>
      </w:pPr>
      <w:r w:rsidRPr="00715E34">
        <w:rPr>
          <w:rFonts w:hAnsi="標楷體" w:hint="eastAsia"/>
        </w:rPr>
        <w:t>經濟部請水利署辦理分別核算豐水期、枯水期水資源分配百分比及實際用水量，以查明枯水期工業及民生用水實際移用農業用水量等資料，水利署刻審慎研議中。</w:t>
      </w:r>
    </w:p>
    <w:p w:rsidR="00BE42A1" w:rsidRPr="00715E34" w:rsidRDefault="00BE42A1" w:rsidP="000327C5">
      <w:pPr>
        <w:pStyle w:val="4"/>
        <w:kinsoku w:val="0"/>
        <w:rPr>
          <w:rFonts w:hAnsi="標楷體"/>
          <w:szCs w:val="32"/>
        </w:rPr>
      </w:pPr>
      <w:r w:rsidRPr="00715E34">
        <w:rPr>
          <w:rFonts w:hAnsi="標楷體" w:hint="eastAsia"/>
        </w:rPr>
        <w:t>此外，我國主要經濟活動已由農業轉變為工業及科技產業，</w:t>
      </w:r>
      <w:r w:rsidRPr="00715E34">
        <w:rPr>
          <w:rFonts w:hAnsi="標楷體"/>
        </w:rPr>
        <w:t>而水利法規範農業用水優先於工業用水，造成工業用水不足問題，須經由政府介入協助調派水源</w:t>
      </w:r>
      <w:r w:rsidRPr="00715E34">
        <w:rPr>
          <w:rStyle w:val="aff2"/>
          <w:rFonts w:hAnsi="標楷體"/>
        </w:rPr>
        <w:footnoteReference w:id="47"/>
      </w:r>
      <w:r w:rsidRPr="00715E34">
        <w:rPr>
          <w:rFonts w:hAnsi="標楷體"/>
        </w:rPr>
        <w:t>，諸如</w:t>
      </w:r>
    </w:p>
    <w:p w:rsidR="00BE42A1" w:rsidRPr="00715E34" w:rsidRDefault="00BE42A1" w:rsidP="002D220E">
      <w:pPr>
        <w:pStyle w:val="5"/>
        <w:topLinePunct/>
        <w:autoSpaceDE/>
        <w:autoSpaceDN/>
        <w:snapToGrid w:val="0"/>
        <w:ind w:left="2042" w:hanging="851"/>
        <w:rPr>
          <w:rFonts w:hAnsi="標楷體"/>
          <w:szCs w:val="32"/>
        </w:rPr>
      </w:pPr>
      <w:r w:rsidRPr="00715E34">
        <w:rPr>
          <w:rFonts w:hAnsi="標楷體"/>
          <w:lang w:eastAsia="zh-HK"/>
        </w:rPr>
        <w:t>六輕</w:t>
      </w:r>
      <w:r w:rsidRPr="00715E34">
        <w:rPr>
          <w:rFonts w:hAnsi="標楷體" w:hint="eastAsia"/>
          <w:lang w:eastAsia="zh-HK"/>
        </w:rPr>
        <w:t>調</w:t>
      </w:r>
      <w:r w:rsidRPr="00715E34">
        <w:rPr>
          <w:rFonts w:hAnsi="標楷體" w:hint="eastAsia"/>
        </w:rPr>
        <w:t>度</w:t>
      </w:r>
      <w:r w:rsidRPr="00715E34">
        <w:rPr>
          <w:rFonts w:hAnsi="標楷體" w:hint="eastAsia"/>
          <w:lang w:eastAsia="zh-HK"/>
        </w:rPr>
        <w:t>農業用水</w:t>
      </w:r>
      <w:r w:rsidRPr="00715E34">
        <w:rPr>
          <w:rFonts w:hAnsi="標楷體"/>
        </w:rPr>
        <w:t>為</w:t>
      </w:r>
      <w:r w:rsidRPr="00715E34">
        <w:rPr>
          <w:rFonts w:hAnsi="標楷體"/>
          <w:lang w:eastAsia="zh-HK"/>
        </w:rPr>
        <w:t>例</w:t>
      </w:r>
      <w:r w:rsidRPr="00715E34">
        <w:rPr>
          <w:rFonts w:hAnsi="標楷體"/>
        </w:rPr>
        <w:t>，依據行政院台82經14739號核定經建會第676次委員會議結論之「集集共同引水供水計畫」，其所規劃集集攔河堰完成後各標的用水調配方式，工業用水由工業區管理單位按雲林離島式基礎工業區用水時間及水量提出水源配供申請，再由</w:t>
      </w:r>
      <w:r w:rsidR="009F304D" w:rsidRPr="00715E34">
        <w:rPr>
          <w:rFonts w:hAnsi="標楷體"/>
          <w:lang w:eastAsia="zh-HK"/>
        </w:rPr>
        <w:t>行政院國家科學委員會中部科學工業園區管理局</w:t>
      </w:r>
      <w:r w:rsidR="009F304D" w:rsidRPr="00715E34">
        <w:rPr>
          <w:rFonts w:hAnsi="標楷體"/>
        </w:rPr>
        <w:t>（</w:t>
      </w:r>
      <w:r w:rsidR="009F304D" w:rsidRPr="00715E34">
        <w:rPr>
          <w:rFonts w:hAnsi="標楷體" w:hint="eastAsia"/>
          <w:lang w:eastAsia="zh-HK"/>
        </w:rPr>
        <w:t>現改制為</w:t>
      </w:r>
      <w:r w:rsidR="009F304D" w:rsidRPr="00715E34">
        <w:rPr>
          <w:rFonts w:hAnsi="標楷體" w:hint="eastAsia"/>
        </w:rPr>
        <w:t>中部</w:t>
      </w:r>
      <w:r w:rsidR="009F304D" w:rsidRPr="00715E34">
        <w:rPr>
          <w:rFonts w:hAnsi="標楷體"/>
        </w:rPr>
        <w:t>科學園區管理局</w:t>
      </w:r>
      <w:r w:rsidR="009F304D" w:rsidRPr="00715E34">
        <w:rPr>
          <w:rFonts w:hAnsi="標楷體" w:hint="eastAsia"/>
        </w:rPr>
        <w:t>）</w:t>
      </w:r>
      <w:r w:rsidRPr="00715E34">
        <w:rPr>
          <w:rFonts w:hAnsi="標楷體"/>
        </w:rPr>
        <w:t>從麥寮調節池統籌予以配水，若有不足，則由</w:t>
      </w:r>
      <w:r w:rsidR="006B503D" w:rsidRPr="00715E34">
        <w:rPr>
          <w:rFonts w:hAnsi="標楷體"/>
        </w:rPr>
        <w:t>中部科學園區管理局</w:t>
      </w:r>
      <w:r w:rsidRPr="00715E34">
        <w:rPr>
          <w:rFonts w:hAnsi="標楷體"/>
        </w:rPr>
        <w:t>向彰化及雲林農田水利會協商以加強設施</w:t>
      </w:r>
      <w:r w:rsidRPr="00715E34">
        <w:rPr>
          <w:rFonts w:hAnsi="標楷體"/>
        </w:rPr>
        <w:lastRenderedPageBreak/>
        <w:t>及管理方式移用農業用水支援，並依規定作適當之補償。工業用水之供水量，係由82</w:t>
      </w:r>
      <w:r w:rsidR="007818DD">
        <w:rPr>
          <w:rFonts w:hAnsi="標楷體"/>
        </w:rPr>
        <w:t>年</w:t>
      </w:r>
      <w:r w:rsidRPr="00715E34">
        <w:rPr>
          <w:rFonts w:hAnsi="標楷體"/>
        </w:rPr>
        <w:t>1,600</w:t>
      </w:r>
      <w:r w:rsidR="007818DD">
        <w:rPr>
          <w:rFonts w:hAnsi="標楷體" w:hint="eastAsia"/>
        </w:rPr>
        <w:t>CMD</w:t>
      </w:r>
      <w:r w:rsidRPr="00715E34">
        <w:rPr>
          <w:rFonts w:hAnsi="標楷體"/>
        </w:rPr>
        <w:t>，至108年最高86</w:t>
      </w:r>
      <w:r w:rsidR="003B0352" w:rsidRPr="00715E34">
        <w:rPr>
          <w:rFonts w:hAnsi="標楷體"/>
        </w:rPr>
        <w:t>萬</w:t>
      </w:r>
      <w:r w:rsidR="007818DD">
        <w:rPr>
          <w:rFonts w:hAnsi="標楷體" w:hint="eastAsia"/>
        </w:rPr>
        <w:t>CMD</w:t>
      </w:r>
      <w:r w:rsidRPr="00715E34">
        <w:rPr>
          <w:rFonts w:hAnsi="標楷體"/>
        </w:rPr>
        <w:t>逐年成長。</w:t>
      </w:r>
    </w:p>
    <w:p w:rsidR="00BE42A1" w:rsidRPr="00715E34" w:rsidRDefault="00BE42A1" w:rsidP="000327C5">
      <w:pPr>
        <w:pStyle w:val="5"/>
        <w:topLinePunct/>
        <w:autoSpaceDE/>
        <w:autoSpaceDN/>
        <w:rPr>
          <w:rFonts w:hAnsi="標楷體"/>
        </w:rPr>
      </w:pPr>
      <w:r w:rsidRPr="00715E34">
        <w:rPr>
          <w:rFonts w:hAnsi="標楷體"/>
        </w:rPr>
        <w:t>另</w:t>
      </w:r>
      <w:r w:rsidRPr="00715E34">
        <w:rPr>
          <w:rFonts w:hAnsi="標楷體" w:hint="eastAsia"/>
        </w:rPr>
        <w:t>依</w:t>
      </w:r>
      <w:r w:rsidRPr="00715E34">
        <w:rPr>
          <w:rFonts w:hAnsi="標楷體"/>
        </w:rPr>
        <w:t>經濟部查復資料顯示，雲林離島工業區、桃園科技工業園區等工業用戶99年至103年向農田水利會購入逾2億7,025萬</w:t>
      </w:r>
      <w:r w:rsidR="003B0352" w:rsidRPr="00715E34">
        <w:rPr>
          <w:rFonts w:hAnsi="標楷體"/>
        </w:rPr>
        <w:t>立方公尺</w:t>
      </w:r>
      <w:r w:rsidRPr="00715E34">
        <w:rPr>
          <w:rFonts w:hAnsi="標楷體"/>
        </w:rPr>
        <w:t>原水，金額達17億983萬元。</w:t>
      </w:r>
    </w:p>
    <w:p w:rsidR="00BE42A1" w:rsidRPr="00715E34" w:rsidRDefault="00BE42A1" w:rsidP="000327C5">
      <w:pPr>
        <w:pStyle w:val="3"/>
        <w:kinsoku w:val="0"/>
        <w:snapToGrid w:val="0"/>
        <w:ind w:left="1360" w:hanging="680"/>
        <w:rPr>
          <w:rFonts w:hAnsi="標楷體"/>
          <w:sz w:val="28"/>
          <w:szCs w:val="28"/>
        </w:rPr>
      </w:pPr>
      <w:r w:rsidRPr="00715E34">
        <w:rPr>
          <w:rFonts w:hAnsi="標楷體"/>
        </w:rPr>
        <w:t>由上述可知，民生及工業</w:t>
      </w:r>
      <w:r w:rsidRPr="00715E34">
        <w:rPr>
          <w:rFonts w:hAnsi="標楷體" w:hint="eastAsia"/>
        </w:rPr>
        <w:t>等標的</w:t>
      </w:r>
      <w:r w:rsidRPr="00715E34">
        <w:rPr>
          <w:rFonts w:hAnsi="標楷體"/>
        </w:rPr>
        <w:t>長期移用農業節餘水已成為常</w:t>
      </w:r>
      <w:r w:rsidRPr="00715E34">
        <w:rPr>
          <w:rFonts w:hAnsi="標楷體" w:hint="eastAsia"/>
        </w:rPr>
        <w:t>態</w:t>
      </w:r>
      <w:r w:rsidRPr="00715E34">
        <w:rPr>
          <w:rFonts w:hAnsi="標楷體"/>
        </w:rPr>
        <w:t>性之水資源調配利用型態。雖按水利法第22條規定，主管機關得令原水權人配合改善取水、用水之方法或設備，以增加節約用水，主管機關再另行分配使用剩餘之水量</w:t>
      </w:r>
      <w:r w:rsidRPr="00715E34">
        <w:rPr>
          <w:rFonts w:hAnsi="標楷體" w:hint="eastAsia"/>
        </w:rPr>
        <w:t>；釋出剩餘水量之原水權人需辦理水權變更登記（水權減少），同法施行細則第18條定有明文；又</w:t>
      </w:r>
      <w:r w:rsidRPr="00715E34">
        <w:rPr>
          <w:rFonts w:hAnsi="標楷體"/>
        </w:rPr>
        <w:t>同法</w:t>
      </w:r>
      <w:r w:rsidRPr="00715E34">
        <w:rPr>
          <w:rFonts w:hAnsi="標楷體" w:hint="eastAsia"/>
        </w:rPr>
        <w:t>第19條之1：</w:t>
      </w:r>
      <w:r w:rsidRPr="00715E34">
        <w:rPr>
          <w:rFonts w:hAnsi="標楷體"/>
        </w:rPr>
        <w:t>「</w:t>
      </w:r>
      <w:r w:rsidRPr="00715E34">
        <w:rPr>
          <w:rFonts w:hAnsi="標楷體" w:hint="eastAsia"/>
        </w:rPr>
        <w:t>水權人交換使用全部或一部分引水量者，應由雙方訂定換水契約，於報經主管機關核准後生效。但交換使用時間超過3年者，應由雙方依法辦理變更登記</w:t>
      </w:r>
      <w:r w:rsidRPr="00715E34">
        <w:rPr>
          <w:rFonts w:hAnsi="標楷體"/>
        </w:rPr>
        <w:t>。」</w:t>
      </w:r>
      <w:r w:rsidRPr="00715E34">
        <w:rPr>
          <w:rFonts w:hAnsi="標楷體" w:hint="eastAsia"/>
        </w:rPr>
        <w:t>同法</w:t>
      </w:r>
      <w:r w:rsidRPr="00715E34">
        <w:rPr>
          <w:rFonts w:hAnsi="標楷體"/>
        </w:rPr>
        <w:t>第24條</w:t>
      </w:r>
      <w:r w:rsidRPr="00715E34">
        <w:rPr>
          <w:rFonts w:hAnsi="標楷體" w:hint="eastAsia"/>
        </w:rPr>
        <w:t>：</w:t>
      </w:r>
      <w:r w:rsidRPr="00715E34">
        <w:rPr>
          <w:rFonts w:hAnsi="標楷體"/>
        </w:rPr>
        <w:t>「水權取得後，繼續停用逾2年者，經主管機關查明公告後，即喪失其水權，並撤銷其水權狀。」</w:t>
      </w:r>
      <w:r w:rsidRPr="00715E34">
        <w:rPr>
          <w:rFonts w:hAnsi="標楷體" w:hint="eastAsia"/>
        </w:rPr>
        <w:t>而經濟部實務執行面與上開法規之</w:t>
      </w:r>
      <w:r w:rsidRPr="00715E34">
        <w:rPr>
          <w:rFonts w:hAnsi="標楷體"/>
        </w:rPr>
        <w:t>間</w:t>
      </w:r>
      <w:r w:rsidRPr="00715E34">
        <w:rPr>
          <w:rFonts w:hAnsi="標楷體" w:hint="eastAsia"/>
        </w:rPr>
        <w:t>似乎存有落差。</w:t>
      </w:r>
    </w:p>
    <w:p w:rsidR="00BE42A1" w:rsidRPr="00715E34" w:rsidRDefault="00BE42A1" w:rsidP="0072602A">
      <w:pPr>
        <w:pStyle w:val="3"/>
        <w:topLinePunct/>
        <w:ind w:left="1360" w:hanging="680"/>
        <w:rPr>
          <w:rFonts w:hAnsi="標楷體"/>
          <w:sz w:val="28"/>
          <w:szCs w:val="28"/>
        </w:rPr>
      </w:pPr>
      <w:r w:rsidRPr="00715E34">
        <w:rPr>
          <w:rFonts w:hAnsi="標楷體" w:hint="eastAsia"/>
        </w:rPr>
        <w:t>針對民生及工業等標的之需水壓力，農委會認為，國內主要缺水地區為北部</w:t>
      </w:r>
      <w:r w:rsidR="000327C5">
        <w:rPr>
          <w:rFonts w:hAnsi="標楷體" w:hint="eastAsia"/>
        </w:rPr>
        <w:t>之</w:t>
      </w:r>
      <w:r w:rsidRPr="00715E34">
        <w:rPr>
          <w:rFonts w:hAnsi="標楷體" w:hint="eastAsia"/>
        </w:rPr>
        <w:t>石門水庫及南部之曾文、烏山頭水庫為主（該</w:t>
      </w:r>
      <w:r w:rsidRPr="00715E34">
        <w:rPr>
          <w:rFonts w:hAnsi="標楷體"/>
        </w:rPr>
        <w:t>3</w:t>
      </w:r>
      <w:r w:rsidRPr="00715E34">
        <w:rPr>
          <w:rFonts w:hAnsi="標楷體" w:hint="eastAsia"/>
        </w:rPr>
        <w:t>座水庫原始興建主要目的均為灌溉用途），惟該地區亦高度集中工業區，並因此匯集之眾多人口及產業。如今該地區之農業灌溉用水已陸續移轉</w:t>
      </w:r>
      <w:r w:rsidRPr="00715E34">
        <w:rPr>
          <w:rFonts w:hAnsi="標楷體"/>
        </w:rPr>
        <w:t>9.4</w:t>
      </w:r>
      <w:r w:rsidRPr="00715E34">
        <w:rPr>
          <w:rFonts w:hAnsi="標楷體" w:hint="eastAsia"/>
        </w:rPr>
        <w:t>億</w:t>
      </w:r>
      <w:r w:rsidR="003B0352" w:rsidRPr="00715E34">
        <w:rPr>
          <w:rFonts w:hAnsi="標楷體" w:hint="eastAsia"/>
        </w:rPr>
        <w:t>立方公尺</w:t>
      </w:r>
      <w:r w:rsidRPr="00715E34">
        <w:rPr>
          <w:rFonts w:hAnsi="標楷體" w:hint="eastAsia"/>
        </w:rPr>
        <w:t>，每年剩餘灌溉水量約</w:t>
      </w:r>
      <w:r w:rsidRPr="00715E34">
        <w:rPr>
          <w:rFonts w:hAnsi="標楷體"/>
        </w:rPr>
        <w:t>12.83</w:t>
      </w:r>
      <w:r w:rsidRPr="00715E34">
        <w:rPr>
          <w:rFonts w:hAnsi="標楷體" w:hint="eastAsia"/>
        </w:rPr>
        <w:t>億</w:t>
      </w:r>
      <w:r w:rsidR="003B0352" w:rsidRPr="00715E34">
        <w:rPr>
          <w:rFonts w:hAnsi="標楷體" w:hint="eastAsia"/>
        </w:rPr>
        <w:t>立方公尺</w:t>
      </w:r>
      <w:r w:rsidRPr="00715E34">
        <w:rPr>
          <w:rFonts w:hAnsi="標楷體" w:hint="eastAsia"/>
        </w:rPr>
        <w:t>，該水量尚需灌溉桃園、石門及嘉南等</w:t>
      </w:r>
      <w:r w:rsidRPr="00715E34">
        <w:rPr>
          <w:rFonts w:hAnsi="標楷體"/>
        </w:rPr>
        <w:t>3</w:t>
      </w:r>
      <w:r w:rsidRPr="00715E34">
        <w:rPr>
          <w:rFonts w:hAnsi="標楷體" w:hint="eastAsia"/>
        </w:rPr>
        <w:t>個農田水利會共</w:t>
      </w:r>
      <w:r w:rsidRPr="00715E34">
        <w:rPr>
          <w:rFonts w:hAnsi="標楷體"/>
        </w:rPr>
        <w:t>11.6</w:t>
      </w:r>
      <w:r w:rsidRPr="00715E34">
        <w:rPr>
          <w:rFonts w:hAnsi="標楷體" w:hint="eastAsia"/>
        </w:rPr>
        <w:t>萬公頃農田，每公頃年平均灌溉水量僅為</w:t>
      </w:r>
      <w:r w:rsidRPr="00715E34">
        <w:rPr>
          <w:rFonts w:hAnsi="標楷體"/>
        </w:rPr>
        <w:t>1.12</w:t>
      </w:r>
      <w:r w:rsidRPr="00715E34">
        <w:rPr>
          <w:rFonts w:hAnsi="標楷體" w:hint="eastAsia"/>
        </w:rPr>
        <w:t>萬</w:t>
      </w:r>
      <w:r w:rsidR="003B0352" w:rsidRPr="00715E34">
        <w:rPr>
          <w:rFonts w:hAnsi="標楷體" w:hint="eastAsia"/>
        </w:rPr>
        <w:t>立方公尺</w:t>
      </w:r>
      <w:r w:rsidRPr="00715E34">
        <w:rPr>
          <w:rFonts w:hAnsi="標楷體" w:hint="eastAsia"/>
        </w:rPr>
        <w:t>（遠低於國內年平均水量每公頃</w:t>
      </w:r>
      <w:r w:rsidRPr="00715E34">
        <w:rPr>
          <w:rFonts w:hAnsi="標楷體"/>
        </w:rPr>
        <w:t>3</w:t>
      </w:r>
      <w:r w:rsidRPr="00715E34">
        <w:rPr>
          <w:rFonts w:hAnsi="標楷體" w:hint="eastAsia"/>
        </w:rPr>
        <w:t>萬</w:t>
      </w:r>
      <w:r w:rsidR="003B0352" w:rsidRPr="00715E34">
        <w:rPr>
          <w:rFonts w:hAnsi="標楷體" w:hint="eastAsia"/>
        </w:rPr>
        <w:t>立方公尺</w:t>
      </w:r>
      <w:r w:rsidRPr="00715E34">
        <w:rPr>
          <w:rFonts w:hAnsi="標楷體" w:hint="eastAsia"/>
        </w:rPr>
        <w:t>），導致該地區農業用</w:t>
      </w:r>
      <w:r w:rsidRPr="00715E34">
        <w:rPr>
          <w:rFonts w:hAnsi="標楷體" w:hint="eastAsia"/>
        </w:rPr>
        <w:lastRenderedPageBreak/>
        <w:t>水之不穩定性極高。</w:t>
      </w:r>
      <w:r w:rsidR="002D220E">
        <w:rPr>
          <w:rFonts w:hAnsi="標楷體" w:hint="eastAsia"/>
        </w:rPr>
        <w:t>再者</w:t>
      </w:r>
      <w:r w:rsidRPr="00715E34">
        <w:rPr>
          <w:rFonts w:hAnsi="標楷體" w:hint="eastAsia"/>
        </w:rPr>
        <w:t>，93年至102年間，</w:t>
      </w:r>
      <w:r w:rsidRPr="00715E34">
        <w:rPr>
          <w:rFonts w:hAnsi="標楷體"/>
        </w:rPr>
        <w:t>農田水利會水權登記量已</w:t>
      </w:r>
      <w:r w:rsidRPr="00715E34">
        <w:rPr>
          <w:rFonts w:hAnsi="標楷體" w:hint="eastAsia"/>
        </w:rPr>
        <w:t>由248億</w:t>
      </w:r>
      <w:r w:rsidR="003B0352" w:rsidRPr="00715E34">
        <w:rPr>
          <w:rFonts w:hAnsi="標楷體" w:hint="eastAsia"/>
        </w:rPr>
        <w:t>立方公尺</w:t>
      </w:r>
      <w:r w:rsidRPr="00715E34">
        <w:rPr>
          <w:rFonts w:hAnsi="標楷體"/>
        </w:rPr>
        <w:t>刪減</w:t>
      </w:r>
      <w:r w:rsidRPr="00715E34">
        <w:rPr>
          <w:rFonts w:hAnsi="標楷體" w:hint="eastAsia"/>
        </w:rPr>
        <w:t>至212億</w:t>
      </w:r>
      <w:r w:rsidR="003B0352" w:rsidRPr="00715E34">
        <w:rPr>
          <w:rFonts w:hAnsi="標楷體" w:hint="eastAsia"/>
        </w:rPr>
        <w:t>立方公尺</w:t>
      </w:r>
      <w:r w:rsidRPr="00715E34">
        <w:rPr>
          <w:rFonts w:hAnsi="標楷體" w:hint="eastAsia"/>
        </w:rPr>
        <w:t>，刪減幅度達</w:t>
      </w:r>
      <w:r w:rsidRPr="00715E34">
        <w:rPr>
          <w:rFonts w:hAnsi="標楷體"/>
        </w:rPr>
        <w:t>1</w:t>
      </w:r>
      <w:r w:rsidRPr="00715E34">
        <w:rPr>
          <w:rFonts w:hAnsi="標楷體" w:hint="eastAsia"/>
        </w:rPr>
        <w:t>5%</w:t>
      </w:r>
      <w:r w:rsidRPr="00715E34">
        <w:rPr>
          <w:rFonts w:hAnsi="標楷體"/>
        </w:rPr>
        <w:t>，</w:t>
      </w:r>
      <w:r w:rsidRPr="00715E34">
        <w:rPr>
          <w:rFonts w:hAnsi="標楷體" w:hint="eastAsia"/>
        </w:rPr>
        <w:t>但缺水風險依舊在，其主因在缺乏調蓄設施，以致於無法有效蓄存水資源。</w:t>
      </w:r>
      <w:r w:rsidR="002D220E">
        <w:rPr>
          <w:rFonts w:hAnsi="標楷體" w:hint="eastAsia"/>
        </w:rPr>
        <w:t>詢據</w:t>
      </w:r>
      <w:r w:rsidRPr="00715E34">
        <w:rPr>
          <w:rFonts w:hAnsi="標楷體" w:hint="eastAsia"/>
        </w:rPr>
        <w:t>農委會</w:t>
      </w:r>
      <w:r w:rsidR="0072602A">
        <w:rPr>
          <w:rFonts w:hAnsi="標楷體" w:hint="eastAsia"/>
        </w:rPr>
        <w:t>表示</w:t>
      </w:r>
      <w:r w:rsidRPr="00715E34">
        <w:rPr>
          <w:rFonts w:hAnsi="標楷體" w:hint="eastAsia"/>
        </w:rPr>
        <w:t>，為確保各標的用水之穩定供應，應按水利法第55條之精神，視各區域水資源供需情形及缺水風險，規劃需水單位（用水者）與當地農田水利會合作，投入辦理增設相關取水及調蓄設施，以健全區域水資源調配支援能力及供水穩定度，提升區域整體水資源運用效率，以達雙贏局面。</w:t>
      </w:r>
      <w:r w:rsidR="002D220E">
        <w:rPr>
          <w:rFonts w:hAnsi="標楷體" w:hint="eastAsia"/>
        </w:rPr>
        <w:t>此外，</w:t>
      </w:r>
      <w:r w:rsidRPr="00715E34">
        <w:rPr>
          <w:rFonts w:hAnsi="標楷體" w:hint="eastAsia"/>
        </w:rPr>
        <w:t>本院諮詢黃前政務顧問表示：「</w:t>
      </w:r>
      <w:r w:rsidRPr="00715E34">
        <w:rPr>
          <w:rFonts w:hAnsi="標楷體"/>
        </w:rPr>
        <w:t>水資源農業部門仍高達70%，農業產值低，僅占2.01%是事實，但低產值之農業為何要自行開發水源，高產值的製造業為何不必自行開發水源？此不合理必須先行解決。其實高產值的製造業，只要知道水必須出錢開發才有穩定水源，問題就可以解決。</w:t>
      </w:r>
      <w:r w:rsidRPr="00715E34">
        <w:rPr>
          <w:rFonts w:hAnsi="標楷體" w:hint="eastAsia"/>
        </w:rPr>
        <w:t>」</w:t>
      </w:r>
      <w:r w:rsidR="0072602A">
        <w:rPr>
          <w:rFonts w:hAnsi="標楷體"/>
        </w:rPr>
        <w:t>鑑於水權之</w:t>
      </w:r>
      <w:r w:rsidR="004F3089">
        <w:rPr>
          <w:rFonts w:hAnsi="標楷體" w:hint="eastAsia"/>
        </w:rPr>
        <w:t>登記與核</w:t>
      </w:r>
      <w:r w:rsidR="0072602A">
        <w:rPr>
          <w:rFonts w:hAnsi="標楷體" w:hint="eastAsia"/>
        </w:rPr>
        <w:t>給</w:t>
      </w:r>
      <w:r w:rsidRPr="00715E34">
        <w:rPr>
          <w:rFonts w:hAnsi="標楷體"/>
        </w:rPr>
        <w:t>，</w:t>
      </w:r>
      <w:r w:rsidRPr="00715E34">
        <w:rPr>
          <w:rFonts w:hAnsi="標楷體"/>
          <w:lang w:eastAsia="zh-HK"/>
        </w:rPr>
        <w:t>涉及水資源合理有效之分配及利用，</w:t>
      </w:r>
      <w:r w:rsidRPr="00715E34">
        <w:rPr>
          <w:rFonts w:hAnsi="標楷體"/>
        </w:rPr>
        <w:t>經濟部</w:t>
      </w:r>
      <w:r w:rsidRPr="00715E34">
        <w:rPr>
          <w:rFonts w:hAnsi="標楷體"/>
          <w:szCs w:val="32"/>
          <w:lang w:eastAsia="zh-HK"/>
        </w:rPr>
        <w:t>在</w:t>
      </w:r>
      <w:r w:rsidRPr="00715E34">
        <w:rPr>
          <w:rFonts w:hAnsi="標楷體" w:hint="eastAsia"/>
          <w:szCs w:val="32"/>
        </w:rPr>
        <w:t>確保</w:t>
      </w:r>
      <w:r w:rsidRPr="00715E34">
        <w:rPr>
          <w:rFonts w:hAnsi="標楷體"/>
          <w:szCs w:val="32"/>
          <w:lang w:eastAsia="zh-HK"/>
        </w:rPr>
        <w:t>農業經營、農民</w:t>
      </w:r>
      <w:r w:rsidRPr="00715E34">
        <w:rPr>
          <w:rFonts w:hAnsi="標楷體" w:hint="eastAsia"/>
          <w:szCs w:val="32"/>
        </w:rPr>
        <w:t>用水</w:t>
      </w:r>
      <w:r w:rsidRPr="00715E34">
        <w:rPr>
          <w:rFonts w:hAnsi="標楷體"/>
          <w:szCs w:val="32"/>
          <w:lang w:eastAsia="zh-HK"/>
        </w:rPr>
        <w:t>權益、生態環境維護等</w:t>
      </w:r>
      <w:r w:rsidRPr="00715E34">
        <w:rPr>
          <w:rFonts w:hAnsi="標楷體" w:hint="eastAsia"/>
          <w:szCs w:val="32"/>
        </w:rPr>
        <w:t>原則</w:t>
      </w:r>
      <w:r w:rsidRPr="00715E34">
        <w:rPr>
          <w:rFonts w:hAnsi="標楷體"/>
          <w:szCs w:val="32"/>
          <w:lang w:eastAsia="zh-HK"/>
        </w:rPr>
        <w:t>下</w:t>
      </w:r>
      <w:r w:rsidRPr="00715E34">
        <w:rPr>
          <w:rFonts w:hAnsi="標楷體"/>
        </w:rPr>
        <w:t>，對</w:t>
      </w:r>
      <w:r w:rsidRPr="00715E34">
        <w:rPr>
          <w:rFonts w:hAnsi="標楷體"/>
          <w:lang w:eastAsia="zh-HK"/>
        </w:rPr>
        <w:t>於</w:t>
      </w:r>
      <w:r w:rsidRPr="00715E34">
        <w:rPr>
          <w:rFonts w:hAnsi="標楷體" w:hint="eastAsia"/>
          <w:lang w:eastAsia="zh-HK"/>
        </w:rPr>
        <w:t>農業用水</w:t>
      </w:r>
      <w:r w:rsidRPr="00715E34">
        <w:rPr>
          <w:rFonts w:hAnsi="標楷體"/>
        </w:rPr>
        <w:t>調度操作實務與法規齟齬之處，應採取審慎嚴謹之態度面對，並在整體需求考量</w:t>
      </w:r>
      <w:r w:rsidRPr="00715E34">
        <w:rPr>
          <w:rFonts w:hAnsi="標楷體"/>
          <w:szCs w:val="32"/>
        </w:rPr>
        <w:t>採取</w:t>
      </w:r>
      <w:r w:rsidRPr="00715E34">
        <w:rPr>
          <w:rFonts w:hAnsi="標楷體"/>
          <w:szCs w:val="32"/>
          <w:lang w:eastAsia="zh-HK"/>
        </w:rPr>
        <w:t>適宜之</w:t>
      </w:r>
      <w:r w:rsidRPr="00715E34">
        <w:rPr>
          <w:rFonts w:hAnsi="標楷體" w:hint="eastAsia"/>
          <w:szCs w:val="32"/>
        </w:rPr>
        <w:t>應對</w:t>
      </w:r>
      <w:r w:rsidRPr="00715E34">
        <w:rPr>
          <w:rFonts w:hAnsi="標楷體"/>
          <w:szCs w:val="32"/>
        </w:rPr>
        <w:t>措施</w:t>
      </w:r>
      <w:r w:rsidRPr="00715E34">
        <w:rPr>
          <w:rFonts w:hAnsi="標楷體"/>
        </w:rPr>
        <w:t>。</w:t>
      </w:r>
    </w:p>
    <w:p w:rsidR="00BE42A1" w:rsidRPr="0068150C" w:rsidRDefault="00BE42A1" w:rsidP="00232C83">
      <w:pPr>
        <w:pStyle w:val="3"/>
        <w:overflowPunct/>
        <w:topLinePunct/>
        <w:adjustRightInd w:val="0"/>
        <w:rPr>
          <w:rFonts w:hAnsi="標楷體"/>
        </w:rPr>
      </w:pPr>
      <w:r w:rsidRPr="00715E34">
        <w:rPr>
          <w:rFonts w:hAnsi="標楷體"/>
          <w:szCs w:val="32"/>
        </w:rPr>
        <w:t>綜上，水利法已</w:t>
      </w:r>
      <w:r w:rsidRPr="00715E34">
        <w:rPr>
          <w:rFonts w:hAnsi="標楷體" w:hint="eastAsia"/>
          <w:szCs w:val="32"/>
        </w:rPr>
        <w:t>賦</w:t>
      </w:r>
      <w:r w:rsidRPr="00715E34">
        <w:rPr>
          <w:rFonts w:hAnsi="標楷體"/>
          <w:szCs w:val="32"/>
        </w:rPr>
        <w:t>予經濟部統籌管理及分配水資源之</w:t>
      </w:r>
      <w:r w:rsidRPr="00715E34">
        <w:rPr>
          <w:rFonts w:hAnsi="標楷體" w:hint="eastAsia"/>
          <w:szCs w:val="32"/>
        </w:rPr>
        <w:t>責任</w:t>
      </w:r>
      <w:r w:rsidRPr="00715E34">
        <w:rPr>
          <w:rFonts w:hAnsi="標楷體"/>
          <w:szCs w:val="32"/>
        </w:rPr>
        <w:t>，惟當</w:t>
      </w:r>
      <w:r w:rsidRPr="00715E34">
        <w:rPr>
          <w:rFonts w:hAnsi="標楷體" w:hint="eastAsia"/>
          <w:szCs w:val="32"/>
        </w:rPr>
        <w:t>水情正常</w:t>
      </w:r>
      <w:r w:rsidRPr="00715E34">
        <w:rPr>
          <w:rFonts w:hAnsi="標楷體"/>
          <w:szCs w:val="32"/>
        </w:rPr>
        <w:t>而農業用水有剩餘水量，</w:t>
      </w:r>
      <w:r w:rsidRPr="00715E34">
        <w:rPr>
          <w:rFonts w:hAnsi="標楷體" w:hint="eastAsia"/>
          <w:szCs w:val="32"/>
        </w:rPr>
        <w:t>已常態成為民生及工業等標的之重要水源時</w:t>
      </w:r>
      <w:r w:rsidRPr="00715E34">
        <w:rPr>
          <w:rFonts w:hAnsi="標楷體"/>
          <w:szCs w:val="32"/>
        </w:rPr>
        <w:t>，經濟部</w:t>
      </w:r>
      <w:r w:rsidRPr="00715E34">
        <w:rPr>
          <w:rFonts w:hAnsi="標楷體"/>
          <w:szCs w:val="32"/>
          <w:lang w:eastAsia="zh-HK"/>
        </w:rPr>
        <w:t>在</w:t>
      </w:r>
      <w:r w:rsidRPr="00715E34">
        <w:rPr>
          <w:rFonts w:hAnsi="標楷體" w:hint="eastAsia"/>
          <w:szCs w:val="32"/>
        </w:rPr>
        <w:t>確保</w:t>
      </w:r>
      <w:r w:rsidRPr="00715E34">
        <w:rPr>
          <w:rFonts w:hAnsi="標楷體"/>
          <w:szCs w:val="32"/>
          <w:lang w:eastAsia="zh-HK"/>
        </w:rPr>
        <w:t>農業經營、農民</w:t>
      </w:r>
      <w:r w:rsidRPr="00715E34">
        <w:rPr>
          <w:rFonts w:hAnsi="標楷體" w:hint="eastAsia"/>
          <w:szCs w:val="32"/>
        </w:rPr>
        <w:t>用水</w:t>
      </w:r>
      <w:r w:rsidRPr="00715E34">
        <w:rPr>
          <w:rFonts w:hAnsi="標楷體"/>
          <w:szCs w:val="32"/>
          <w:lang w:eastAsia="zh-HK"/>
        </w:rPr>
        <w:t>權益、生態環境維護等</w:t>
      </w:r>
      <w:r w:rsidRPr="00715E34">
        <w:rPr>
          <w:rFonts w:hAnsi="標楷體" w:hint="eastAsia"/>
          <w:szCs w:val="32"/>
        </w:rPr>
        <w:t>原則</w:t>
      </w:r>
      <w:r w:rsidRPr="00715E34">
        <w:rPr>
          <w:rFonts w:hAnsi="標楷體"/>
          <w:szCs w:val="32"/>
          <w:lang w:eastAsia="zh-HK"/>
        </w:rPr>
        <w:t>下</w:t>
      </w:r>
      <w:r w:rsidRPr="00715E34">
        <w:rPr>
          <w:rFonts w:hAnsi="標楷體"/>
          <w:szCs w:val="32"/>
        </w:rPr>
        <w:t>，應正視檢討</w:t>
      </w:r>
      <w:r w:rsidRPr="00715E34">
        <w:rPr>
          <w:rFonts w:hAnsi="標楷體" w:hint="eastAsia"/>
          <w:lang w:eastAsia="zh-HK"/>
        </w:rPr>
        <w:t>農業用水</w:t>
      </w:r>
      <w:r w:rsidRPr="00715E34">
        <w:rPr>
          <w:rFonts w:hAnsi="標楷體"/>
          <w:szCs w:val="32"/>
        </w:rPr>
        <w:t>調度操作實務與法規齟齬之處，並在整體需求考量下</w:t>
      </w:r>
      <w:r w:rsidRPr="00715E34">
        <w:rPr>
          <w:rFonts w:hAnsi="標楷體" w:hint="eastAsia"/>
          <w:szCs w:val="32"/>
        </w:rPr>
        <w:t>提升區域供水能力及合理分派調節水資源，謀求</w:t>
      </w:r>
      <w:r w:rsidRPr="00715E34">
        <w:rPr>
          <w:rFonts w:hAnsi="標楷體"/>
          <w:szCs w:val="32"/>
        </w:rPr>
        <w:t>互惠共贏</w:t>
      </w:r>
      <w:r w:rsidRPr="00715E34">
        <w:rPr>
          <w:rFonts w:hAnsi="標楷體" w:hint="eastAsia"/>
          <w:szCs w:val="32"/>
        </w:rPr>
        <w:t>。</w:t>
      </w:r>
    </w:p>
    <w:p w:rsidR="00247E77" w:rsidRDefault="00247E77">
      <w:pPr>
        <w:widowControl/>
        <w:overflowPunct/>
        <w:autoSpaceDE/>
        <w:autoSpaceDN/>
        <w:jc w:val="left"/>
        <w:rPr>
          <w:rFonts w:hAnsi="標楷體"/>
          <w:bCs/>
          <w:kern w:val="32"/>
          <w:szCs w:val="52"/>
        </w:rPr>
      </w:pPr>
      <w:bookmarkStart w:id="104" w:name="_Toc524895648"/>
      <w:bookmarkStart w:id="105" w:name="_Toc524896194"/>
      <w:bookmarkStart w:id="106" w:name="_Toc524896224"/>
      <w:bookmarkStart w:id="107" w:name="_Toc524902734"/>
      <w:bookmarkStart w:id="108" w:name="_Toc525066148"/>
      <w:bookmarkStart w:id="109" w:name="_Toc525070839"/>
      <w:bookmarkStart w:id="110" w:name="_Toc525938379"/>
      <w:bookmarkStart w:id="111" w:name="_Toc525939227"/>
      <w:bookmarkStart w:id="112" w:name="_Toc525939732"/>
      <w:bookmarkStart w:id="113" w:name="_Toc529218272"/>
      <w:bookmarkStart w:id="114" w:name="_Toc529222689"/>
      <w:bookmarkStart w:id="115" w:name="_Toc529223111"/>
      <w:bookmarkStart w:id="116" w:name="_Toc529223862"/>
      <w:bookmarkStart w:id="117" w:name="_Toc529228265"/>
      <w:bookmarkStart w:id="118" w:name="_Toc2400395"/>
      <w:bookmarkStart w:id="119" w:name="_Toc4316189"/>
      <w:bookmarkStart w:id="120" w:name="_Toc4473330"/>
      <w:bookmarkStart w:id="121" w:name="_Toc69556897"/>
      <w:bookmarkStart w:id="122" w:name="_Toc69556946"/>
      <w:bookmarkStart w:id="123" w:name="_Toc69609820"/>
      <w:bookmarkStart w:id="124" w:name="_Toc70241816"/>
      <w:bookmarkStart w:id="125" w:name="_Toc70242205"/>
      <w:bookmarkStart w:id="126" w:name="_Toc421794875"/>
      <w:bookmarkStart w:id="127" w:name="_Toc422834160"/>
      <w:bookmarkStart w:id="128" w:name="_Toc455922290"/>
      <w:bookmarkStart w:id="129" w:name="_Toc455922491"/>
      <w:bookmarkStart w:id="130" w:name="_Toc455922915"/>
      <w:bookmarkStart w:id="131" w:name="_GoBack"/>
      <w:bookmarkEnd w:id="57"/>
      <w:bookmarkEnd w:id="79"/>
      <w:bookmarkEnd w:id="80"/>
      <w:bookmarkEnd w:id="81"/>
      <w:bookmarkEnd w:id="131"/>
    </w:p>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rsidR="00981961" w:rsidRPr="00715E34" w:rsidRDefault="00981961" w:rsidP="008B18C2">
      <w:pPr>
        <w:topLinePunct/>
        <w:spacing w:beforeLines="100" w:before="457"/>
        <w:ind w:leftChars="550" w:left="1871"/>
        <w:rPr>
          <w:rFonts w:hAnsi="標楷體"/>
          <w:bCs/>
          <w:spacing w:val="12"/>
          <w:kern w:val="0"/>
        </w:rPr>
      </w:pPr>
      <w:r w:rsidRPr="00715E34">
        <w:rPr>
          <w:rFonts w:hAnsi="標楷體" w:hint="eastAsia"/>
          <w:bCs/>
          <w:spacing w:val="12"/>
          <w:kern w:val="0"/>
          <w:sz w:val="40"/>
        </w:rPr>
        <w:lastRenderedPageBreak/>
        <w:t>調查委員：</w:t>
      </w:r>
      <w:r w:rsidR="003E1F5F">
        <w:rPr>
          <w:rFonts w:hAnsi="標楷體" w:hint="eastAsia"/>
          <w:bCs/>
          <w:spacing w:val="12"/>
          <w:kern w:val="0"/>
          <w:sz w:val="40"/>
        </w:rPr>
        <w:t>楊美鈴、陳小紅</w:t>
      </w:r>
      <w:r w:rsidR="008549B9" w:rsidRPr="008549B9">
        <w:rPr>
          <w:rFonts w:hAnsi="標楷體" w:hint="eastAsia"/>
          <w:bCs/>
          <w:spacing w:val="12"/>
          <w:kern w:val="0"/>
          <w:sz w:val="40"/>
        </w:rPr>
        <w:t>、陳慶財</w:t>
      </w:r>
    </w:p>
    <w:p w:rsidR="00981961" w:rsidRPr="00715E34" w:rsidRDefault="00981961" w:rsidP="00232C83">
      <w:pPr>
        <w:topLinePunct/>
        <w:ind w:leftChars="1100" w:left="3742" w:firstLineChars="500" w:firstLine="1821"/>
        <w:rPr>
          <w:rFonts w:hAnsi="標楷體"/>
          <w:bCs/>
          <w:spacing w:val="12"/>
          <w:kern w:val="0"/>
        </w:rPr>
      </w:pPr>
    </w:p>
    <w:p w:rsidR="00981961" w:rsidRPr="00715E34" w:rsidRDefault="00981961" w:rsidP="00232C83">
      <w:pPr>
        <w:topLinePunct/>
        <w:ind w:leftChars="1100" w:left="3742" w:firstLineChars="500" w:firstLine="1821"/>
        <w:rPr>
          <w:rFonts w:hAnsi="標楷體"/>
          <w:bCs/>
          <w:spacing w:val="12"/>
          <w:kern w:val="0"/>
        </w:rPr>
      </w:pPr>
    </w:p>
    <w:p w:rsidR="003D43B8" w:rsidRPr="00715E34" w:rsidRDefault="003D43B8" w:rsidP="00232C83">
      <w:pPr>
        <w:topLinePunct/>
        <w:ind w:left="1020" w:hanging="1020"/>
        <w:rPr>
          <w:rFonts w:hAnsi="標楷體"/>
          <w:bCs/>
          <w:kern w:val="0"/>
        </w:rPr>
      </w:pPr>
    </w:p>
    <w:p w:rsidR="003D43B8" w:rsidRPr="00715E34" w:rsidRDefault="003D43B8" w:rsidP="00232C83">
      <w:pPr>
        <w:topLinePunct/>
        <w:ind w:left="1020" w:hanging="1020"/>
        <w:rPr>
          <w:rFonts w:hAnsi="標楷體"/>
          <w:bCs/>
          <w:kern w:val="0"/>
        </w:rPr>
        <w:sectPr w:rsidR="003D43B8" w:rsidRPr="00715E34" w:rsidSect="0007009D">
          <w:footerReference w:type="default" r:id="rId27"/>
          <w:pgSz w:w="11907" w:h="16840" w:code="9"/>
          <w:pgMar w:top="1701" w:right="1418" w:bottom="1418" w:left="1418" w:header="851" w:footer="851" w:gutter="227"/>
          <w:cols w:space="425"/>
          <w:docGrid w:type="linesAndChars" w:linePitch="457" w:charSpace="4127"/>
        </w:sectPr>
      </w:pPr>
    </w:p>
    <w:p w:rsidR="00880B0C" w:rsidRPr="00715E34" w:rsidRDefault="007349C7" w:rsidP="00232C83">
      <w:pPr>
        <w:topLinePunct/>
        <w:ind w:left="1020" w:hanging="1020"/>
        <w:jc w:val="center"/>
        <w:rPr>
          <w:rFonts w:hAnsi="標楷體"/>
          <w:spacing w:val="40"/>
          <w:kern w:val="0"/>
          <w:szCs w:val="32"/>
        </w:rPr>
      </w:pPr>
      <w:r w:rsidRPr="00715E34">
        <w:rPr>
          <w:rFonts w:hAnsi="標楷體"/>
          <w:noProof/>
          <w:spacing w:val="40"/>
          <w:kern w:val="0"/>
          <w:szCs w:val="32"/>
        </w:rPr>
        <w:lastRenderedPageBreak/>
        <w:drawing>
          <wp:inline distT="0" distB="0" distL="0" distR="0" wp14:anchorId="0CED3142" wp14:editId="028757A5">
            <wp:extent cx="8899555" cy="5042780"/>
            <wp:effectExtent l="0" t="0" r="0" b="5715"/>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913548" cy="5050709"/>
                    </a:xfrm>
                    <a:prstGeom prst="rect">
                      <a:avLst/>
                    </a:prstGeom>
                    <a:noFill/>
                    <a:ln>
                      <a:noFill/>
                    </a:ln>
                  </pic:spPr>
                </pic:pic>
              </a:graphicData>
            </a:graphic>
          </wp:inline>
        </w:drawing>
      </w:r>
    </w:p>
    <w:p w:rsidR="003D43B8" w:rsidRPr="005D5F5C" w:rsidRDefault="005D5F5C" w:rsidP="005D5F5C">
      <w:pPr>
        <w:pStyle w:val="afffff9"/>
        <w:numPr>
          <w:ilvl w:val="0"/>
          <w:numId w:val="0"/>
        </w:numPr>
        <w:topLinePunct/>
        <w:ind w:leftChars="25" w:left="85"/>
        <w:jc w:val="center"/>
      </w:pPr>
      <w:bookmarkStart w:id="132" w:name="_Toc458000647"/>
      <w:r w:rsidRPr="005D5F5C">
        <w:rPr>
          <w:rFonts w:hint="eastAsia"/>
        </w:rPr>
        <w:t>附圖</w:t>
      </w:r>
      <w:r>
        <w:rPr>
          <w:rFonts w:hint="eastAsia"/>
        </w:rPr>
        <w:t>、</w:t>
      </w:r>
      <w:r w:rsidR="00873FFC" w:rsidRPr="005D5F5C">
        <w:rPr>
          <w:rFonts w:hint="eastAsia"/>
        </w:rPr>
        <w:t>調查架構圖</w:t>
      </w:r>
      <w:bookmarkEnd w:id="132"/>
    </w:p>
    <w:sectPr w:rsidR="003D43B8" w:rsidRPr="005D5F5C" w:rsidSect="007349C7">
      <w:footerReference w:type="default" r:id="rId29"/>
      <w:pgSz w:w="16840" w:h="11907" w:orient="landscape" w:code="9"/>
      <w:pgMar w:top="1418" w:right="1701" w:bottom="1418" w:left="1418" w:header="851" w:footer="567"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E58" w:rsidRDefault="00270E58">
      <w:r>
        <w:separator/>
      </w:r>
    </w:p>
  </w:endnote>
  <w:endnote w:type="continuationSeparator" w:id="0">
    <w:p w:rsidR="00270E58" w:rsidRDefault="00270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微軟正黑體">
    <w:panose1 w:val="020B0604030504040204"/>
    <w:charset w:val="88"/>
    <w:family w:val="swiss"/>
    <w:pitch w:val="variable"/>
    <w:sig w:usb0="00000087" w:usb1="288F4000" w:usb2="00000016" w:usb3="00000000" w:csb0="00100009" w:csb1="00000000"/>
  </w:font>
  <w:font w:name="標楷體°....">
    <w:altName w:val="DF Kai Shu"/>
    <w:panose1 w:val="00000000000000000000"/>
    <w:charset w:val="88"/>
    <w:family w:val="script"/>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D6A" w:rsidRDefault="00586D6A">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7D509A">
      <w:rPr>
        <w:rStyle w:val="ae"/>
        <w:noProof/>
        <w:sz w:val="24"/>
      </w:rPr>
      <w:t>83</w:t>
    </w:r>
    <w:r>
      <w:rPr>
        <w:rStyle w:val="ae"/>
        <w:sz w:val="24"/>
      </w:rPr>
      <w:fldChar w:fldCharType="end"/>
    </w:r>
  </w:p>
  <w:p w:rsidR="00586D6A" w:rsidRDefault="00586D6A">
    <w:pPr>
      <w:framePr w:wrap="auto" w:hAnchor="text" w:y="-955"/>
      <w:ind w:left="640" w:right="360" w:firstLine="44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D6A" w:rsidRDefault="00586D6A">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A47126">
      <w:rPr>
        <w:rStyle w:val="ae"/>
        <w:noProof/>
        <w:sz w:val="24"/>
      </w:rPr>
      <w:t>84</w:t>
    </w:r>
    <w:r>
      <w:rPr>
        <w:rStyle w:val="ae"/>
        <w:sz w:val="24"/>
      </w:rPr>
      <w:fldChar w:fldCharType="end"/>
    </w:r>
  </w:p>
  <w:p w:rsidR="00586D6A" w:rsidRDefault="00586D6A">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E58" w:rsidRDefault="00270E58">
      <w:r>
        <w:separator/>
      </w:r>
    </w:p>
  </w:footnote>
  <w:footnote w:type="continuationSeparator" w:id="0">
    <w:p w:rsidR="00270E58" w:rsidRDefault="00270E58">
      <w:r>
        <w:continuationSeparator/>
      </w:r>
    </w:p>
  </w:footnote>
  <w:footnote w:id="1">
    <w:p w:rsidR="00586D6A" w:rsidRPr="00F60B21" w:rsidRDefault="00586D6A" w:rsidP="005C62F2">
      <w:pPr>
        <w:pStyle w:val="aff0"/>
        <w:ind w:left="220" w:hangingChars="100" w:hanging="220"/>
      </w:pPr>
      <w:r>
        <w:rPr>
          <w:rStyle w:val="aff2"/>
        </w:rPr>
        <w:footnoteRef/>
      </w:r>
      <w:r>
        <w:t xml:space="preserve"> </w:t>
      </w:r>
      <w:r>
        <w:rPr>
          <w:rFonts w:hAnsi="標楷體" w:hint="eastAsia"/>
        </w:rPr>
        <w:t>經濟部</w:t>
      </w:r>
      <w:r w:rsidRPr="005A611E">
        <w:rPr>
          <w:rFonts w:hAnsi="標楷體" w:hint="eastAsia"/>
        </w:rPr>
        <w:t>於104年8月</w:t>
      </w:r>
      <w:r>
        <w:rPr>
          <w:rFonts w:hAnsi="標楷體" w:hint="eastAsia"/>
        </w:rPr>
        <w:t>及10月間，先後</w:t>
      </w:r>
      <w:r w:rsidRPr="005A611E">
        <w:rPr>
          <w:rFonts w:hAnsi="標楷體" w:hint="eastAsia"/>
        </w:rPr>
        <w:t>核定北水處</w:t>
      </w:r>
      <w:r>
        <w:rPr>
          <w:rFonts w:hAnsi="標楷體" w:hint="eastAsia"/>
        </w:rPr>
        <w:t>及</w:t>
      </w:r>
      <w:r w:rsidRPr="005A611E">
        <w:rPr>
          <w:rFonts w:hAnsi="標楷體" w:hint="eastAsia"/>
        </w:rPr>
        <w:t>台水公司</w:t>
      </w:r>
      <w:r>
        <w:rPr>
          <w:rFonts w:hAnsi="標楷體" w:hint="eastAsia"/>
        </w:rPr>
        <w:t>之</w:t>
      </w:r>
      <w:r w:rsidRPr="005A611E">
        <w:rPr>
          <w:rFonts w:hAnsi="標楷體" w:hint="eastAsia"/>
        </w:rPr>
        <w:t>「水價計算公式及詳細項目」</w:t>
      </w:r>
      <w:r>
        <w:rPr>
          <w:rFonts w:hAnsi="標楷體" w:hint="eastAsia"/>
        </w:rPr>
        <w:t>；</w:t>
      </w:r>
      <w:r w:rsidRPr="00E059AF">
        <w:rPr>
          <w:rFonts w:hAnsi="標楷體" w:hint="eastAsia"/>
        </w:rPr>
        <w:t>北水處</w:t>
      </w:r>
      <w:r>
        <w:rPr>
          <w:rFonts w:hAnsi="標楷體" w:hint="eastAsia"/>
        </w:rPr>
        <w:t>已</w:t>
      </w:r>
      <w:r w:rsidRPr="00E059AF">
        <w:rPr>
          <w:rFonts w:hAnsi="標楷體" w:hint="eastAsia"/>
        </w:rPr>
        <w:t>修正「超高濁度原水應變計畫」作業準則，明確訂定原水濁度達1萬2千NTU為停止取水之下限</w:t>
      </w:r>
      <w:r>
        <w:rPr>
          <w:rFonts w:hAnsi="標楷體" w:hint="eastAsia"/>
        </w:rPr>
        <w:t>；</w:t>
      </w:r>
      <w:r>
        <w:rPr>
          <w:rFonts w:ascii="新細明體" w:eastAsia="新細明體" w:hAnsi="新細明體" w:hint="eastAsia"/>
        </w:rPr>
        <w:t>「</w:t>
      </w:r>
      <w:r w:rsidRPr="00E059AF">
        <w:rPr>
          <w:rFonts w:hAnsi="標楷體" w:hint="eastAsia"/>
        </w:rPr>
        <w:t>再生水資源發展條例</w:t>
      </w:r>
      <w:r>
        <w:rPr>
          <w:rFonts w:ascii="新細明體" w:eastAsia="新細明體" w:hAnsi="新細明體" w:hint="eastAsia"/>
        </w:rPr>
        <w:t>」</w:t>
      </w:r>
      <w:r w:rsidRPr="00E059AF">
        <w:rPr>
          <w:rFonts w:hAnsi="標楷體" w:hint="eastAsia"/>
        </w:rPr>
        <w:t>於104年12月間公布施行，賦予廢污水及放流水回收利用之明確法律依據</w:t>
      </w:r>
      <w:r>
        <w:rPr>
          <w:rFonts w:hAnsi="標楷體" w:hint="eastAsia"/>
        </w:rPr>
        <w:t>；研修</w:t>
      </w:r>
      <w:r>
        <w:rPr>
          <w:rFonts w:ascii="新細明體" w:eastAsia="新細明體" w:hAnsi="新細明體" w:hint="eastAsia"/>
        </w:rPr>
        <w:t>「</w:t>
      </w:r>
      <w:r w:rsidRPr="00E059AF">
        <w:rPr>
          <w:rFonts w:hAnsi="標楷體" w:hint="eastAsia"/>
        </w:rPr>
        <w:t>水利法</w:t>
      </w:r>
      <w:r>
        <w:rPr>
          <w:rFonts w:ascii="新細明體" w:eastAsia="新細明體" w:hAnsi="新細明體" w:hint="eastAsia"/>
        </w:rPr>
        <w:t>」</w:t>
      </w:r>
      <w:r w:rsidRPr="00E059AF">
        <w:rPr>
          <w:rFonts w:hAnsi="標楷體" w:hint="eastAsia"/>
        </w:rPr>
        <w:t>朝水利主管機關可主動要求審查及核定用水計畫為開發許可要件，</w:t>
      </w:r>
      <w:r>
        <w:rPr>
          <w:rFonts w:hAnsi="標楷體" w:hint="eastAsia"/>
        </w:rPr>
        <w:t>並</w:t>
      </w:r>
      <w:r w:rsidRPr="00E059AF">
        <w:rPr>
          <w:rFonts w:hAnsi="標楷體" w:hint="eastAsia"/>
        </w:rPr>
        <w:t>納入</w:t>
      </w:r>
      <w:r>
        <w:rPr>
          <w:rFonts w:hAnsi="標楷體" w:hint="eastAsia"/>
        </w:rPr>
        <w:t>相關</w:t>
      </w:r>
      <w:r w:rsidRPr="00E059AF">
        <w:rPr>
          <w:rFonts w:hAnsi="標楷體" w:hint="eastAsia"/>
        </w:rPr>
        <w:t>罰則</w:t>
      </w:r>
      <w:r>
        <w:rPr>
          <w:rFonts w:hAnsi="標楷體" w:hint="eastAsia"/>
        </w:rPr>
        <w:t>；</w:t>
      </w:r>
      <w:r w:rsidRPr="00E059AF">
        <w:rPr>
          <w:rFonts w:hAnsi="標楷體" w:hint="eastAsia"/>
        </w:rPr>
        <w:t>水利署將積極協助北水處研議推動翡翠水庫設置專管供應淨水廠或其他水源備援，以提升高濁度緊急應變能力</w:t>
      </w:r>
      <w:r>
        <w:rPr>
          <w:rFonts w:hAnsi="標楷體" w:hint="eastAsia"/>
        </w:rPr>
        <w:t>；</w:t>
      </w:r>
      <w:r w:rsidRPr="00F60B21">
        <w:rPr>
          <w:rFonts w:hAnsi="標楷體" w:hint="eastAsia"/>
        </w:rPr>
        <w:t>水利署</w:t>
      </w:r>
      <w:r>
        <w:rPr>
          <w:rFonts w:hAnsi="標楷體" w:hint="eastAsia"/>
        </w:rPr>
        <w:t>將</w:t>
      </w:r>
      <w:r w:rsidRPr="00F60B21">
        <w:rPr>
          <w:rFonts w:hAnsi="標楷體" w:hint="eastAsia"/>
        </w:rPr>
        <w:t>持續開發研究洪水預報模式</w:t>
      </w:r>
      <w:r>
        <w:rPr>
          <w:rFonts w:hAnsi="標楷體" w:hint="eastAsia"/>
        </w:rPr>
        <w:t>，</w:t>
      </w:r>
      <w:r w:rsidRPr="00F60B21">
        <w:rPr>
          <w:rFonts w:hAnsi="標楷體" w:hint="eastAsia"/>
        </w:rPr>
        <w:t>協助防汛人員掌握水情爭取預警時間</w:t>
      </w:r>
      <w:r>
        <w:rPr>
          <w:rFonts w:hAnsi="標楷體" w:hint="eastAsia"/>
        </w:rPr>
        <w:t>等。</w:t>
      </w:r>
    </w:p>
  </w:footnote>
  <w:footnote w:id="2">
    <w:p w:rsidR="00586D6A" w:rsidRPr="00A25FC8" w:rsidRDefault="00586D6A" w:rsidP="005C62F2">
      <w:pPr>
        <w:pStyle w:val="aff0"/>
        <w:topLinePunct/>
        <w:ind w:left="220" w:hangingChars="100" w:hanging="220"/>
        <w:jc w:val="both"/>
        <w:rPr>
          <w:rFonts w:hAnsi="標楷體"/>
          <w:color w:val="000000" w:themeColor="text1"/>
        </w:rPr>
      </w:pPr>
      <w:r w:rsidRPr="00AD4335">
        <w:rPr>
          <w:rStyle w:val="aff2"/>
          <w:rFonts w:hAnsi="標楷體"/>
        </w:rPr>
        <w:footnoteRef/>
      </w:r>
      <w:r>
        <w:rPr>
          <w:rFonts w:hAnsi="標楷體" w:hint="eastAsia"/>
          <w:color w:val="000000" w:themeColor="text1"/>
        </w:rPr>
        <w:t xml:space="preserve"> </w:t>
      </w:r>
      <w:r w:rsidRPr="00AD4335">
        <w:rPr>
          <w:rFonts w:hAnsi="標楷體"/>
          <w:color w:val="000000" w:themeColor="text1"/>
        </w:rPr>
        <w:t>李鴻源</w:t>
      </w:r>
      <w:r>
        <w:rPr>
          <w:rFonts w:hAnsi="標楷體" w:hint="eastAsia"/>
          <w:color w:val="000000" w:themeColor="text1"/>
        </w:rPr>
        <w:t>（民104年</w:t>
      </w:r>
      <w:r>
        <w:rPr>
          <w:rFonts w:hAnsi="標楷體"/>
          <w:color w:val="000000" w:themeColor="text1"/>
        </w:rPr>
        <w:t>3</w:t>
      </w:r>
      <w:r>
        <w:rPr>
          <w:rFonts w:hAnsi="標楷體" w:hint="eastAsia"/>
          <w:color w:val="000000" w:themeColor="text1"/>
        </w:rPr>
        <w:t>月</w:t>
      </w:r>
      <w:r w:rsidRPr="00AD4335">
        <w:rPr>
          <w:rFonts w:hAnsi="標楷體"/>
          <w:color w:val="000000" w:themeColor="text1"/>
        </w:rPr>
        <w:t>1</w:t>
      </w:r>
      <w:r>
        <w:rPr>
          <w:rFonts w:hAnsi="標楷體" w:hint="eastAsia"/>
          <w:color w:val="000000" w:themeColor="text1"/>
        </w:rPr>
        <w:t>日）。</w:t>
      </w:r>
      <w:r w:rsidRPr="00AD4335">
        <w:rPr>
          <w:rFonts w:hAnsi="標楷體"/>
          <w:color w:val="000000" w:themeColor="text1"/>
        </w:rPr>
        <w:t>搶水大戰 把廢水變「油水」</w:t>
      </w:r>
      <w:r>
        <w:rPr>
          <w:rFonts w:hAnsi="標楷體" w:hint="eastAsia"/>
          <w:color w:val="000000" w:themeColor="text1"/>
        </w:rPr>
        <w:t>。</w:t>
      </w:r>
      <w:r w:rsidRPr="00AD4335">
        <w:rPr>
          <w:rFonts w:hAnsi="標楷體"/>
          <w:color w:val="000000" w:themeColor="text1"/>
        </w:rPr>
        <w:t>聯合報</w:t>
      </w:r>
      <w:r>
        <w:rPr>
          <w:rFonts w:hAnsi="標楷體" w:hint="eastAsia"/>
          <w:color w:val="000000" w:themeColor="text1"/>
        </w:rPr>
        <w:t>，</w:t>
      </w:r>
      <w:r w:rsidRPr="00AD4335">
        <w:rPr>
          <w:rFonts w:hAnsi="標楷體"/>
          <w:color w:val="000000" w:themeColor="text1"/>
        </w:rPr>
        <w:t>A14版</w:t>
      </w:r>
      <w:r>
        <w:rPr>
          <w:rFonts w:hAnsi="標楷體" w:hint="eastAsia"/>
          <w:color w:val="000000" w:themeColor="text1"/>
        </w:rPr>
        <w:t>。</w:t>
      </w:r>
      <w:r>
        <w:rPr>
          <w:rFonts w:hAnsi="標楷體" w:hint="eastAsia"/>
          <w:color w:val="000000" w:themeColor="text1"/>
        </w:rPr>
        <w:br/>
      </w:r>
      <w:r w:rsidRPr="00AD4335">
        <w:rPr>
          <w:rFonts w:hAnsi="標楷體"/>
          <w:color w:val="000000" w:themeColor="text1"/>
        </w:rPr>
        <w:t>李鴻源</w:t>
      </w:r>
      <w:r>
        <w:rPr>
          <w:rFonts w:hAnsi="標楷體" w:hint="eastAsia"/>
          <w:color w:val="000000" w:themeColor="text1"/>
        </w:rPr>
        <w:t>（民104年4月</w:t>
      </w:r>
      <w:r w:rsidRPr="00AD4335">
        <w:rPr>
          <w:rFonts w:hAnsi="標楷體"/>
          <w:color w:val="000000" w:themeColor="text1"/>
        </w:rPr>
        <w:t>1</w:t>
      </w:r>
      <w:r>
        <w:rPr>
          <w:rFonts w:hAnsi="標楷體" w:hint="eastAsia"/>
          <w:color w:val="000000" w:themeColor="text1"/>
        </w:rPr>
        <w:t>4日）。</w:t>
      </w:r>
      <w:r w:rsidRPr="00AD4335">
        <w:rPr>
          <w:rFonts w:hAnsi="標楷體"/>
          <w:color w:val="000000" w:themeColor="text1"/>
        </w:rPr>
        <w:t>政府決策制度必須跨域整合</w:t>
      </w:r>
      <w:r>
        <w:rPr>
          <w:rFonts w:hAnsi="標楷體" w:hint="eastAsia"/>
          <w:color w:val="000000" w:themeColor="text1"/>
        </w:rPr>
        <w:t>。</w:t>
      </w:r>
      <w:r w:rsidRPr="00AD4335">
        <w:rPr>
          <w:rFonts w:hAnsi="標楷體"/>
          <w:color w:val="000000" w:themeColor="text1"/>
        </w:rPr>
        <w:t>中國時報</w:t>
      </w:r>
      <w:r>
        <w:rPr>
          <w:rFonts w:hAnsi="標楷體" w:hint="eastAsia"/>
          <w:color w:val="000000" w:themeColor="text1"/>
        </w:rPr>
        <w:t>，</w:t>
      </w:r>
      <w:r w:rsidRPr="00AD4335">
        <w:rPr>
          <w:rFonts w:hAnsi="標楷體"/>
          <w:color w:val="000000" w:themeColor="text1"/>
        </w:rPr>
        <w:t>A10</w:t>
      </w:r>
      <w:r>
        <w:rPr>
          <w:rFonts w:hAnsi="標楷體"/>
          <w:color w:val="000000" w:themeColor="text1"/>
        </w:rPr>
        <w:t>版</w:t>
      </w:r>
      <w:r w:rsidRPr="00AD4335">
        <w:rPr>
          <w:rFonts w:hAnsi="標楷體"/>
          <w:color w:val="000000" w:themeColor="text1"/>
        </w:rPr>
        <w:t>。</w:t>
      </w:r>
      <w:r>
        <w:rPr>
          <w:rFonts w:hAnsi="標楷體" w:hint="eastAsia"/>
          <w:color w:val="000000" w:themeColor="text1"/>
        </w:rPr>
        <w:br/>
      </w:r>
      <w:r w:rsidRPr="00AD4335">
        <w:rPr>
          <w:rFonts w:hAnsi="標楷體"/>
          <w:color w:val="000000" w:themeColor="text1"/>
        </w:rPr>
        <w:t>林嘉誠</w:t>
      </w:r>
      <w:r>
        <w:rPr>
          <w:rFonts w:hAnsi="標楷體" w:hint="eastAsia"/>
          <w:color w:val="000000" w:themeColor="text1"/>
        </w:rPr>
        <w:t>（民104年</w:t>
      </w:r>
      <w:r>
        <w:rPr>
          <w:rFonts w:hAnsi="標楷體"/>
          <w:color w:val="000000" w:themeColor="text1"/>
        </w:rPr>
        <w:t>3</w:t>
      </w:r>
      <w:r>
        <w:rPr>
          <w:rFonts w:hAnsi="標楷體" w:hint="eastAsia"/>
          <w:color w:val="000000" w:themeColor="text1"/>
        </w:rPr>
        <w:t>月</w:t>
      </w:r>
      <w:r w:rsidRPr="00AD4335">
        <w:rPr>
          <w:rFonts w:hAnsi="標楷體"/>
          <w:color w:val="000000" w:themeColor="text1"/>
        </w:rPr>
        <w:t>9</w:t>
      </w:r>
      <w:r>
        <w:rPr>
          <w:rFonts w:hAnsi="標楷體" w:hint="eastAsia"/>
          <w:color w:val="000000" w:themeColor="text1"/>
        </w:rPr>
        <w:t>日）。</w:t>
      </w:r>
      <w:r w:rsidRPr="00AD4335">
        <w:rPr>
          <w:rFonts w:hAnsi="標楷體"/>
          <w:color w:val="000000" w:themeColor="text1"/>
        </w:rPr>
        <w:t>機關林立 事權分散 三個和尚沒水喝</w:t>
      </w:r>
      <w:r>
        <w:rPr>
          <w:rFonts w:hAnsi="標楷體" w:hint="eastAsia"/>
          <w:color w:val="000000" w:themeColor="text1"/>
        </w:rPr>
        <w:t>。</w:t>
      </w:r>
      <w:r w:rsidRPr="00AD4335">
        <w:rPr>
          <w:rFonts w:hAnsi="標楷體"/>
          <w:color w:val="000000" w:themeColor="text1"/>
        </w:rPr>
        <w:t>聯合報</w:t>
      </w:r>
      <w:r>
        <w:rPr>
          <w:rFonts w:hAnsi="標楷體" w:hint="eastAsia"/>
          <w:color w:val="000000" w:themeColor="text1"/>
        </w:rPr>
        <w:t>，</w:t>
      </w:r>
      <w:r w:rsidRPr="00AD4335">
        <w:rPr>
          <w:rFonts w:hAnsi="標楷體"/>
          <w:color w:val="000000" w:themeColor="text1"/>
        </w:rPr>
        <w:t>A14版</w:t>
      </w:r>
      <w:r>
        <w:rPr>
          <w:rFonts w:hAnsi="標楷體" w:hint="eastAsia"/>
          <w:color w:val="000000" w:themeColor="text1"/>
        </w:rPr>
        <w:t>。</w:t>
      </w:r>
    </w:p>
  </w:footnote>
  <w:footnote w:id="3">
    <w:p w:rsidR="00586D6A" w:rsidRPr="00AD4335" w:rsidRDefault="00586D6A" w:rsidP="005C62F2">
      <w:pPr>
        <w:pStyle w:val="aff0"/>
        <w:topLinePunct/>
        <w:ind w:left="220" w:hangingChars="100" w:hanging="220"/>
        <w:jc w:val="both"/>
        <w:rPr>
          <w:rFonts w:hAnsi="標楷體"/>
        </w:rPr>
      </w:pPr>
      <w:r w:rsidRPr="00AD4335">
        <w:rPr>
          <w:rStyle w:val="aff2"/>
          <w:rFonts w:hAnsi="標楷體"/>
        </w:rPr>
        <w:footnoteRef/>
      </w:r>
      <w:r w:rsidRPr="00AD4335">
        <w:rPr>
          <w:rFonts w:hAnsi="標楷體"/>
        </w:rPr>
        <w:t xml:space="preserve"> </w:t>
      </w:r>
      <w:r w:rsidRPr="00AD4335">
        <w:rPr>
          <w:rFonts w:hAnsi="標楷體" w:hint="eastAsia"/>
        </w:rPr>
        <w:t>調用單價以調用自烏山頭水庫最高10.5元/立方公尺，調用自石門水庫次之（5.8元/立方公尺）。</w:t>
      </w:r>
    </w:p>
  </w:footnote>
  <w:footnote w:id="4">
    <w:p w:rsidR="00586D6A" w:rsidRPr="00AD4335" w:rsidRDefault="00586D6A" w:rsidP="005C62F2">
      <w:pPr>
        <w:pStyle w:val="aff0"/>
        <w:topLinePunct/>
        <w:ind w:left="220" w:hangingChars="100" w:hanging="220"/>
        <w:jc w:val="both"/>
        <w:rPr>
          <w:rFonts w:hAnsi="標楷體"/>
        </w:rPr>
      </w:pPr>
      <w:r w:rsidRPr="00AD4335">
        <w:rPr>
          <w:rStyle w:val="aff2"/>
          <w:rFonts w:hAnsi="標楷體"/>
        </w:rPr>
        <w:footnoteRef/>
      </w:r>
      <w:r w:rsidRPr="00AD4335">
        <w:rPr>
          <w:rFonts w:hAnsi="標楷體"/>
        </w:rPr>
        <w:t xml:space="preserve"> </w:t>
      </w:r>
      <w:r>
        <w:rPr>
          <w:rFonts w:hAnsi="標楷體" w:hint="eastAsia"/>
        </w:rPr>
        <w:t>農委會表示，依據臺灣大學劉振宇教授研究指出，</w:t>
      </w:r>
      <w:r w:rsidRPr="00AD4335">
        <w:rPr>
          <w:rFonts w:hAnsi="標楷體" w:hint="eastAsia"/>
        </w:rPr>
        <w:t>每年農業灌溉用水之外部環境效益為886億元。</w:t>
      </w:r>
    </w:p>
  </w:footnote>
  <w:footnote w:id="5">
    <w:p w:rsidR="00586D6A" w:rsidRPr="00AD4335" w:rsidRDefault="00586D6A" w:rsidP="005C62F2">
      <w:pPr>
        <w:pStyle w:val="aff0"/>
        <w:topLinePunct/>
        <w:ind w:left="220" w:hangingChars="100" w:hanging="220"/>
        <w:jc w:val="both"/>
        <w:rPr>
          <w:rFonts w:hAnsi="標楷體"/>
        </w:rPr>
      </w:pPr>
      <w:r w:rsidRPr="00AD4335">
        <w:rPr>
          <w:rStyle w:val="aff2"/>
          <w:rFonts w:hAnsi="標楷體"/>
        </w:rPr>
        <w:footnoteRef/>
      </w:r>
      <w:r w:rsidRPr="00AD4335">
        <w:rPr>
          <w:rFonts w:hAnsi="標楷體"/>
        </w:rPr>
        <w:t xml:space="preserve"> 水利署補助臺南市辦理「永康水再生利用可行性規劃」委託技術服務案，</w:t>
      </w:r>
      <w:r w:rsidRPr="00AD4335">
        <w:rPr>
          <w:rFonts w:hAnsi="標楷體" w:hint="eastAsia"/>
        </w:rPr>
        <w:t>臺南市水利局表示，</w:t>
      </w:r>
      <w:r w:rsidRPr="00AD4335">
        <w:rPr>
          <w:rFonts w:hAnsi="標楷體"/>
        </w:rPr>
        <w:t>經評估再生水營運成本約20元</w:t>
      </w:r>
      <w:r w:rsidRPr="00AD4335">
        <w:rPr>
          <w:rFonts w:hAnsi="標楷體" w:hint="eastAsia"/>
        </w:rPr>
        <w:t>/立方公尺。</w:t>
      </w:r>
      <w:r>
        <w:rPr>
          <w:rFonts w:hAnsi="標楷體" w:hint="eastAsia"/>
        </w:rPr>
        <w:t>取自臺南市政府網站，</w:t>
      </w:r>
      <w:r w:rsidRPr="00AD4335">
        <w:rPr>
          <w:rFonts w:hAnsi="標楷體"/>
        </w:rPr>
        <w:t>htt</w:t>
      </w:r>
      <w:r>
        <w:rPr>
          <w:rFonts w:hAnsi="標楷體"/>
        </w:rPr>
        <w:t>p:/</w:t>
      </w:r>
      <w:r w:rsidRPr="00AD4335">
        <w:rPr>
          <w:rFonts w:hAnsi="標楷體"/>
        </w:rPr>
        <w:t>/www.tainan.gov.tw/Tainan/pdapage2.asp?id=%7B4A627781-8009-4695-8A3E-DE142705205A%7D</w:t>
      </w:r>
    </w:p>
  </w:footnote>
  <w:footnote w:id="6">
    <w:p w:rsidR="00586D6A" w:rsidRPr="00AD4335" w:rsidRDefault="00586D6A" w:rsidP="005C62F2">
      <w:pPr>
        <w:pStyle w:val="aff0"/>
        <w:topLinePunct/>
        <w:ind w:left="220" w:hangingChars="100" w:hanging="220"/>
        <w:jc w:val="both"/>
        <w:rPr>
          <w:rFonts w:hAnsi="標楷體"/>
        </w:rPr>
      </w:pPr>
      <w:r w:rsidRPr="00AD4335">
        <w:rPr>
          <w:rStyle w:val="aff2"/>
          <w:rFonts w:hAnsi="標楷體"/>
        </w:rPr>
        <w:footnoteRef/>
      </w:r>
      <w:r w:rsidRPr="00AD4335">
        <w:rPr>
          <w:rFonts w:hAnsi="標楷體"/>
        </w:rPr>
        <w:t xml:space="preserve"> 農業會水保局</w:t>
      </w:r>
      <w:r w:rsidRPr="00AD4335">
        <w:rPr>
          <w:rFonts w:hAnsi="標楷體" w:hint="eastAsia"/>
        </w:rPr>
        <w:t>指出，</w:t>
      </w:r>
      <w:r w:rsidRPr="00AD4335">
        <w:rPr>
          <w:rFonts w:hAnsi="標楷體"/>
        </w:rPr>
        <w:t>全球氣候變遷造成降雨強度逐漸增大或旱季明顯變長的現象，使得災害頻仍，旱、澇不均，對人民生命財產與農作物收成造成嚴重的威脅。在政府經費有限與用地取得不易的情況下，善用遍佈在各地的農塘是個可行的解決方案，除了可直接增加蓄水量外，進一步可減少地表逕流與地表沖蝕量，調節暴雨季節之洪水流量，同時也可促進生物多樣性，以及維護特有的農耕文化地景。</w:t>
      </w:r>
    </w:p>
  </w:footnote>
  <w:footnote w:id="7">
    <w:p w:rsidR="00586D6A" w:rsidRPr="00AD4335" w:rsidRDefault="00586D6A" w:rsidP="005C62F2">
      <w:pPr>
        <w:pStyle w:val="aff0"/>
        <w:topLinePunct/>
        <w:ind w:left="220" w:hangingChars="100" w:hanging="220"/>
        <w:rPr>
          <w:rFonts w:hAnsi="標楷體"/>
        </w:rPr>
      </w:pPr>
      <w:r w:rsidRPr="00AD4335">
        <w:rPr>
          <w:rStyle w:val="aff2"/>
          <w:rFonts w:hAnsi="標楷體"/>
        </w:rPr>
        <w:footnoteRef/>
      </w:r>
      <w:r w:rsidRPr="00AD4335">
        <w:rPr>
          <w:rFonts w:hAnsi="標楷體"/>
        </w:rPr>
        <w:t xml:space="preserve"> </w:t>
      </w:r>
      <w:r w:rsidRPr="00AD4335">
        <w:rPr>
          <w:rFonts w:hAnsi="標楷體"/>
          <w:lang w:val="zh-TW"/>
        </w:rPr>
        <w:t>據水利署表示，「電容式波高計」係屬於水利產業範疇中之海洋觀測儀器製造業，對於海堤設計、防護海岸侵蝕及海堤安全有一定的幫助。「防災空調透水舖面施工技術」係屬於水利產業範疇中之水利工程技術，主要用於都市防洪減災之水利工程，具有降低都市淹水發生、基地保水及調節氣候之功能。</w:t>
      </w:r>
    </w:p>
  </w:footnote>
  <w:footnote w:id="8">
    <w:p w:rsidR="00586D6A" w:rsidRPr="00AD4335" w:rsidRDefault="00586D6A" w:rsidP="005C62F2">
      <w:pPr>
        <w:pStyle w:val="aff0"/>
        <w:topLinePunct/>
        <w:ind w:left="220" w:hangingChars="100" w:hanging="220"/>
        <w:jc w:val="both"/>
        <w:rPr>
          <w:rFonts w:hAnsi="標楷體"/>
        </w:rPr>
      </w:pPr>
      <w:r w:rsidRPr="00AD4335">
        <w:rPr>
          <w:rStyle w:val="aff2"/>
          <w:rFonts w:hAnsi="標楷體"/>
        </w:rPr>
        <w:footnoteRef/>
      </w:r>
      <w:r w:rsidRPr="00AD4335">
        <w:rPr>
          <w:rFonts w:hAnsi="標楷體"/>
        </w:rPr>
        <w:t xml:space="preserve"> </w:t>
      </w:r>
      <w:r w:rsidRPr="00AD4335">
        <w:rPr>
          <w:rFonts w:hAnsi="標楷體" w:hint="eastAsia"/>
        </w:rPr>
        <w:t>18個水資源調度區分別為：</w:t>
      </w:r>
      <w:r w:rsidRPr="00AD4335">
        <w:rPr>
          <w:rFonts w:hAnsi="標楷體"/>
        </w:rPr>
        <w:t>分別為基隆、臺北、桃園、新竹、苗栗、臺中、彰雲投、嘉義、臺南、高雄、屏北、屏南、宜蘭、花蓮、臺東、澎湖、金門及馬祖等。</w:t>
      </w:r>
      <w:r>
        <w:rPr>
          <w:rFonts w:hAnsi="標楷體" w:hint="eastAsia"/>
        </w:rPr>
        <w:t>取自</w:t>
      </w:r>
      <w:r w:rsidRPr="00AD4335">
        <w:rPr>
          <w:rFonts w:hAnsi="標楷體"/>
        </w:rPr>
        <w:t>水利署</w:t>
      </w:r>
      <w:r w:rsidRPr="00AD4335">
        <w:rPr>
          <w:rFonts w:hAnsi="標楷體" w:hint="eastAsia"/>
        </w:rPr>
        <w:t>網站</w:t>
      </w:r>
      <w:r>
        <w:rPr>
          <w:rFonts w:hAnsi="標楷體" w:hint="eastAsia"/>
        </w:rPr>
        <w:t>，</w:t>
      </w:r>
      <w:r w:rsidRPr="00AD4335">
        <w:rPr>
          <w:rFonts w:hAnsi="標楷體"/>
        </w:rPr>
        <w:t>htt</w:t>
      </w:r>
      <w:r>
        <w:rPr>
          <w:rFonts w:hAnsi="標楷體"/>
        </w:rPr>
        <w:t>p:/</w:t>
      </w:r>
      <w:r w:rsidRPr="00AD4335">
        <w:rPr>
          <w:rFonts w:hAnsi="標楷體"/>
        </w:rPr>
        <w:t>/www.wra.gov.tw/</w:t>
      </w:r>
    </w:p>
  </w:footnote>
  <w:footnote w:id="9">
    <w:p w:rsidR="00586D6A" w:rsidRPr="00AD4335" w:rsidRDefault="00586D6A" w:rsidP="005C62F2">
      <w:pPr>
        <w:pStyle w:val="aff0"/>
        <w:topLinePunct/>
        <w:ind w:left="220" w:hangingChars="100" w:hanging="220"/>
        <w:rPr>
          <w:rFonts w:hAnsi="標楷體"/>
        </w:rPr>
      </w:pPr>
      <w:r w:rsidRPr="00AD4335">
        <w:rPr>
          <w:rStyle w:val="aff2"/>
          <w:rFonts w:hAnsi="標楷體"/>
        </w:rPr>
        <w:footnoteRef/>
      </w:r>
      <w:r w:rsidRPr="00AD4335">
        <w:rPr>
          <w:rFonts w:hAnsi="標楷體" w:hint="eastAsia"/>
        </w:rPr>
        <w:t xml:space="preserve"> 淡江大學</w:t>
      </w:r>
      <w:r>
        <w:rPr>
          <w:rFonts w:hAnsi="標楷體" w:hint="eastAsia"/>
        </w:rPr>
        <w:t>（民101年）。</w:t>
      </w:r>
      <w:r w:rsidRPr="00AD4335">
        <w:rPr>
          <w:rFonts w:hAnsi="標楷體"/>
        </w:rPr>
        <w:t>旱災災害防救業務與應變機制檢討之研究</w:t>
      </w:r>
      <w:r>
        <w:rPr>
          <w:rFonts w:hAnsi="標楷體" w:hint="eastAsia"/>
        </w:rPr>
        <w:t>。水利署委辦計畫。取自</w:t>
      </w:r>
      <w:r w:rsidRPr="00AD4335">
        <w:rPr>
          <w:rFonts w:hAnsi="標楷體"/>
        </w:rPr>
        <w:t>水利署</w:t>
      </w:r>
      <w:r w:rsidRPr="00AD4335">
        <w:rPr>
          <w:rFonts w:hAnsi="標楷體" w:hint="eastAsia"/>
        </w:rPr>
        <w:t>網站</w:t>
      </w:r>
      <w:r>
        <w:rPr>
          <w:rFonts w:hAnsi="標楷體" w:hint="eastAsia"/>
        </w:rPr>
        <w:t>，</w:t>
      </w:r>
      <w:r w:rsidRPr="00AD4335">
        <w:rPr>
          <w:rFonts w:hAnsi="標楷體"/>
        </w:rPr>
        <w:t>htt</w:t>
      </w:r>
      <w:r>
        <w:rPr>
          <w:rFonts w:hAnsi="標楷體"/>
        </w:rPr>
        <w:t>p:/</w:t>
      </w:r>
      <w:r w:rsidRPr="00AD4335">
        <w:rPr>
          <w:rFonts w:hAnsi="標楷體"/>
        </w:rPr>
        <w:t>/www.wra.gov.tw/</w:t>
      </w:r>
    </w:p>
  </w:footnote>
  <w:footnote w:id="10">
    <w:p w:rsidR="00586D6A" w:rsidRPr="00AD4335" w:rsidRDefault="00586D6A" w:rsidP="005C62F2">
      <w:pPr>
        <w:pStyle w:val="aff0"/>
        <w:topLinePunct/>
        <w:ind w:left="220" w:hangingChars="100" w:hanging="220"/>
        <w:rPr>
          <w:rFonts w:hAnsi="標楷體"/>
        </w:rPr>
      </w:pPr>
      <w:r w:rsidRPr="00AD4335">
        <w:rPr>
          <w:rStyle w:val="aff2"/>
          <w:rFonts w:hAnsi="標楷體"/>
        </w:rPr>
        <w:footnoteRef/>
      </w:r>
      <w:r w:rsidRPr="00AD4335">
        <w:rPr>
          <w:rFonts w:hAnsi="標楷體"/>
        </w:rPr>
        <w:t xml:space="preserve"> 水利署</w:t>
      </w:r>
      <w:r>
        <w:rPr>
          <w:rFonts w:hAnsi="標楷體" w:hint="eastAsia"/>
        </w:rPr>
        <w:t>（民</w:t>
      </w:r>
      <w:r w:rsidRPr="00AD4335">
        <w:rPr>
          <w:rFonts w:hAnsi="標楷體" w:hint="eastAsia"/>
        </w:rPr>
        <w:t>102年</w:t>
      </w:r>
      <w:r>
        <w:rPr>
          <w:rFonts w:hAnsi="標楷體" w:hint="eastAsia"/>
        </w:rPr>
        <w:t>）。</w:t>
      </w:r>
      <w:r w:rsidRPr="00AD4335">
        <w:rPr>
          <w:rFonts w:hAnsi="標楷體" w:hint="eastAsia"/>
        </w:rPr>
        <w:t>新紀元水利施政綱領</w:t>
      </w:r>
      <w:r w:rsidRPr="004A2C0C">
        <w:rPr>
          <w:rFonts w:hAnsi="標楷體" w:hint="eastAsia"/>
        </w:rPr>
        <w:t>（</w:t>
      </w:r>
      <w:r w:rsidRPr="004A2C0C">
        <w:rPr>
          <w:rFonts w:hAnsi="標楷體"/>
        </w:rPr>
        <w:t>102~111</w:t>
      </w:r>
      <w:r w:rsidRPr="004A2C0C">
        <w:rPr>
          <w:rFonts w:hAnsi="標楷體" w:hint="eastAsia"/>
        </w:rPr>
        <w:t>年）</w:t>
      </w:r>
      <w:r w:rsidRPr="00AD4335">
        <w:rPr>
          <w:rFonts w:hAnsi="標楷體" w:hint="eastAsia"/>
        </w:rPr>
        <w:t>。</w:t>
      </w:r>
    </w:p>
  </w:footnote>
  <w:footnote w:id="11">
    <w:p w:rsidR="00586D6A" w:rsidRPr="00AD4335" w:rsidRDefault="00586D6A" w:rsidP="005C62F2">
      <w:pPr>
        <w:pStyle w:val="aff0"/>
        <w:topLinePunct/>
        <w:ind w:left="220" w:hangingChars="100" w:hanging="220"/>
        <w:rPr>
          <w:rFonts w:hAnsi="標楷體"/>
        </w:rPr>
      </w:pPr>
      <w:r w:rsidRPr="00AD4335">
        <w:rPr>
          <w:rStyle w:val="aff2"/>
          <w:rFonts w:hAnsi="標楷體"/>
        </w:rPr>
        <w:footnoteRef/>
      </w:r>
      <w:r w:rsidRPr="00AD4335">
        <w:rPr>
          <w:rFonts w:hAnsi="標楷體" w:hint="eastAsia"/>
        </w:rPr>
        <w:t xml:space="preserve"> </w:t>
      </w:r>
      <w:r w:rsidRPr="00AD4335">
        <w:rPr>
          <w:rFonts w:hAnsi="標楷體"/>
        </w:rPr>
        <w:t>水利署</w:t>
      </w:r>
      <w:r>
        <w:rPr>
          <w:rFonts w:hAnsi="標楷體" w:hint="eastAsia"/>
        </w:rPr>
        <w:t>（民104</w:t>
      </w:r>
      <w:r w:rsidRPr="00AD4335">
        <w:rPr>
          <w:rFonts w:hAnsi="標楷體" w:hint="eastAsia"/>
        </w:rPr>
        <w:t>年</w:t>
      </w:r>
      <w:r>
        <w:rPr>
          <w:rFonts w:hAnsi="標楷體" w:hint="eastAsia"/>
        </w:rPr>
        <w:t>）。103年</w:t>
      </w:r>
      <w:r w:rsidRPr="00AD4335">
        <w:rPr>
          <w:rFonts w:hAnsi="標楷體"/>
        </w:rPr>
        <w:t>水利署</w:t>
      </w:r>
      <w:r w:rsidRPr="00AD4335">
        <w:rPr>
          <w:rFonts w:hAnsi="標楷體" w:hint="eastAsia"/>
        </w:rPr>
        <w:t>年報。</w:t>
      </w:r>
    </w:p>
  </w:footnote>
  <w:footnote w:id="12">
    <w:p w:rsidR="00586D6A" w:rsidRPr="00AD4335" w:rsidRDefault="00586D6A" w:rsidP="005C62F2">
      <w:pPr>
        <w:pStyle w:val="aff0"/>
        <w:topLinePunct/>
        <w:ind w:left="220" w:hangingChars="100" w:hanging="220"/>
        <w:rPr>
          <w:rFonts w:hAnsi="標楷體"/>
        </w:rPr>
      </w:pPr>
      <w:r w:rsidRPr="00AD4335">
        <w:rPr>
          <w:rStyle w:val="aff2"/>
          <w:rFonts w:hAnsi="標楷體"/>
        </w:rPr>
        <w:footnoteRef/>
      </w:r>
      <w:r w:rsidRPr="00AD4335">
        <w:rPr>
          <w:rFonts w:hAnsi="標楷體" w:hint="eastAsia"/>
        </w:rPr>
        <w:t xml:space="preserve"> </w:t>
      </w:r>
      <w:r w:rsidRPr="00AD4335">
        <w:rPr>
          <w:rFonts w:hAnsi="標楷體"/>
        </w:rPr>
        <w:t>水利署</w:t>
      </w:r>
      <w:r>
        <w:rPr>
          <w:rFonts w:hAnsi="標楷體" w:hint="eastAsia"/>
        </w:rPr>
        <w:t>（民98年）。</w:t>
      </w:r>
      <w:r w:rsidRPr="00AD4335">
        <w:rPr>
          <w:rFonts w:hAnsi="標楷體" w:hint="eastAsia"/>
        </w:rPr>
        <w:t>臺灣北部區域水資源經理基本計畫。</w:t>
      </w:r>
    </w:p>
  </w:footnote>
  <w:footnote w:id="13">
    <w:p w:rsidR="00586D6A" w:rsidRPr="00AD4335" w:rsidRDefault="00586D6A" w:rsidP="005C62F2">
      <w:pPr>
        <w:pStyle w:val="aff0"/>
        <w:topLinePunct/>
        <w:ind w:left="220" w:hangingChars="100" w:hanging="220"/>
        <w:jc w:val="both"/>
        <w:rPr>
          <w:rFonts w:hAnsi="標楷體"/>
        </w:rPr>
      </w:pPr>
      <w:r w:rsidRPr="00AD4335">
        <w:rPr>
          <w:rStyle w:val="aff2"/>
          <w:rFonts w:hAnsi="標楷體"/>
        </w:rPr>
        <w:footnoteRef/>
      </w:r>
      <w:r>
        <w:rPr>
          <w:rFonts w:hAnsi="標楷體" w:hint="eastAsia"/>
        </w:rPr>
        <w:t xml:space="preserve"> 取自</w:t>
      </w:r>
      <w:r w:rsidRPr="00AD4335">
        <w:rPr>
          <w:rFonts w:hAnsi="標楷體" w:hint="eastAsia"/>
        </w:rPr>
        <w:t>水利署南區水資源局網站</w:t>
      </w:r>
      <w:r>
        <w:rPr>
          <w:rFonts w:hAnsi="標楷體" w:hint="eastAsia"/>
        </w:rPr>
        <w:t>，</w:t>
      </w:r>
      <w:r w:rsidRPr="00AD4335">
        <w:rPr>
          <w:rFonts w:hAnsi="標楷體"/>
        </w:rPr>
        <w:t>htt</w:t>
      </w:r>
      <w:r>
        <w:rPr>
          <w:rFonts w:hAnsi="標楷體"/>
        </w:rPr>
        <w:t>p:/</w:t>
      </w:r>
      <w:r w:rsidRPr="00AD4335">
        <w:rPr>
          <w:rFonts w:hAnsi="標楷體"/>
        </w:rPr>
        <w:t>/www.wra.gov.tw/default.asp</w:t>
      </w:r>
      <w:r>
        <w:rPr>
          <w:rFonts w:hAnsi="標楷體" w:hint="eastAsia"/>
        </w:rPr>
        <w:t>/</w:t>
      </w:r>
    </w:p>
  </w:footnote>
  <w:footnote w:id="14">
    <w:p w:rsidR="00586D6A" w:rsidRPr="00AD4335" w:rsidRDefault="00586D6A" w:rsidP="005C62F2">
      <w:pPr>
        <w:pStyle w:val="aff0"/>
        <w:topLinePunct/>
        <w:ind w:left="220" w:hangingChars="100" w:hanging="220"/>
        <w:jc w:val="both"/>
        <w:rPr>
          <w:rFonts w:hAnsi="標楷體"/>
        </w:rPr>
      </w:pPr>
      <w:r w:rsidRPr="00AD4335">
        <w:rPr>
          <w:rStyle w:val="aff2"/>
          <w:rFonts w:hAnsi="標楷體"/>
        </w:rPr>
        <w:footnoteRef/>
      </w:r>
      <w:r w:rsidRPr="00AD4335">
        <w:rPr>
          <w:rFonts w:hAnsi="標楷體"/>
        </w:rPr>
        <w:t xml:space="preserve"> </w:t>
      </w:r>
      <w:r w:rsidRPr="001910E4">
        <w:rPr>
          <w:rFonts w:hAnsi="標楷體" w:hint="eastAsia"/>
        </w:rPr>
        <w:t>楊偉甫、</w:t>
      </w:r>
      <w:r w:rsidRPr="00A81D3A">
        <w:rPr>
          <w:rFonts w:hAnsi="標楷體" w:hint="eastAsia"/>
        </w:rPr>
        <w:t>葉純松、連上堯、侯秉承、黃崇仁、李民政、李怡德</w:t>
      </w:r>
      <w:r w:rsidRPr="00AD4335">
        <w:rPr>
          <w:rFonts w:hAnsi="標楷體"/>
        </w:rPr>
        <w:t>（</w:t>
      </w:r>
      <w:r>
        <w:rPr>
          <w:rFonts w:hAnsi="標楷體" w:hint="eastAsia"/>
        </w:rPr>
        <w:t>民99</w:t>
      </w:r>
      <w:r w:rsidRPr="00AD4335">
        <w:rPr>
          <w:rFonts w:hAnsi="標楷體" w:hint="eastAsia"/>
        </w:rPr>
        <w:t>年）</w:t>
      </w:r>
      <w:r>
        <w:rPr>
          <w:rFonts w:hAnsi="標楷體" w:hint="eastAsia"/>
        </w:rPr>
        <w:t>。</w:t>
      </w:r>
      <w:r w:rsidRPr="00AD4335">
        <w:rPr>
          <w:rFonts w:hAnsi="標楷體" w:hint="eastAsia"/>
        </w:rPr>
        <w:t>曾文水庫越域引水工程於莫拉克颱風後所面臨之課題</w:t>
      </w:r>
      <w:r>
        <w:rPr>
          <w:rFonts w:hAnsi="標楷體" w:hint="eastAsia"/>
        </w:rPr>
        <w:t>。</w:t>
      </w:r>
      <w:r w:rsidRPr="00AD4335">
        <w:rPr>
          <w:rFonts w:hAnsi="標楷體" w:hint="eastAsia"/>
        </w:rPr>
        <w:t>地工技術，</w:t>
      </w:r>
      <w:r w:rsidRPr="00AD4335">
        <w:rPr>
          <w:rFonts w:hAnsi="標楷體"/>
        </w:rPr>
        <w:t>126</w:t>
      </w:r>
      <w:r w:rsidRPr="00AD4335">
        <w:rPr>
          <w:rFonts w:hAnsi="標楷體" w:hint="eastAsia"/>
        </w:rPr>
        <w:t>，</w:t>
      </w:r>
      <w:r w:rsidRPr="00AD4335">
        <w:rPr>
          <w:rFonts w:hAnsi="標楷體"/>
        </w:rPr>
        <w:t>29-38</w:t>
      </w:r>
      <w:r>
        <w:rPr>
          <w:rFonts w:hAnsi="標楷體" w:hint="eastAsia"/>
        </w:rPr>
        <w:t>。</w:t>
      </w:r>
      <w:r>
        <w:rPr>
          <w:rFonts w:hAnsi="標楷體"/>
        </w:rPr>
        <w:br/>
      </w:r>
      <w:r w:rsidRPr="00AD4335">
        <w:rPr>
          <w:rFonts w:hAnsi="標楷體"/>
        </w:rPr>
        <w:t>水利署</w:t>
      </w:r>
      <w:r>
        <w:rPr>
          <w:rFonts w:hAnsi="標楷體" w:hint="eastAsia"/>
        </w:rPr>
        <w:t>（民104</w:t>
      </w:r>
      <w:r w:rsidRPr="00AD4335">
        <w:rPr>
          <w:rFonts w:hAnsi="標楷體" w:hint="eastAsia"/>
        </w:rPr>
        <w:t>年</w:t>
      </w:r>
      <w:r>
        <w:rPr>
          <w:rFonts w:hAnsi="標楷體" w:hint="eastAsia"/>
        </w:rPr>
        <w:t>）。103年</w:t>
      </w:r>
      <w:r w:rsidRPr="00AD4335">
        <w:rPr>
          <w:rFonts w:hAnsi="標楷體"/>
        </w:rPr>
        <w:t>水利署</w:t>
      </w:r>
      <w:r w:rsidRPr="00AD4335">
        <w:rPr>
          <w:rFonts w:hAnsi="標楷體" w:hint="eastAsia"/>
        </w:rPr>
        <w:t>年報。</w:t>
      </w:r>
    </w:p>
  </w:footnote>
  <w:footnote w:id="15">
    <w:p w:rsidR="00586D6A" w:rsidRPr="00AD4335" w:rsidRDefault="00586D6A" w:rsidP="005C62F2">
      <w:pPr>
        <w:pStyle w:val="aff0"/>
        <w:overflowPunct/>
        <w:topLinePunct/>
        <w:ind w:left="220" w:hangingChars="100" w:hanging="220"/>
        <w:jc w:val="both"/>
        <w:rPr>
          <w:rFonts w:hAnsi="標楷體"/>
        </w:rPr>
      </w:pPr>
      <w:r w:rsidRPr="00AD4335">
        <w:rPr>
          <w:rStyle w:val="aff2"/>
          <w:rFonts w:hAnsi="標楷體"/>
        </w:rPr>
        <w:footnoteRef/>
      </w:r>
      <w:r w:rsidRPr="00AD4335">
        <w:rPr>
          <w:rFonts w:hAnsi="標楷體"/>
        </w:rPr>
        <w:t xml:space="preserve"> </w:t>
      </w:r>
      <w:r>
        <w:rPr>
          <w:rFonts w:hAnsi="標楷體" w:hint="eastAsia"/>
          <w:spacing w:val="-10"/>
        </w:rPr>
        <w:t>取自</w:t>
      </w:r>
      <w:r w:rsidRPr="00AD4335">
        <w:rPr>
          <w:rFonts w:hAnsi="標楷體"/>
          <w:spacing w:val="-10"/>
        </w:rPr>
        <w:t>桃園市政府網站，</w:t>
      </w:r>
      <w:r w:rsidRPr="00A81D3A">
        <w:rPr>
          <w:rFonts w:hAnsi="標楷體"/>
          <w:spacing w:val="-10"/>
        </w:rPr>
        <w:t>http://www.tycg.gov.tw/ch/home.jsp?id=64&amp;parentpath=0,6,58</w:t>
      </w:r>
    </w:p>
  </w:footnote>
  <w:footnote w:id="16">
    <w:p w:rsidR="00586D6A" w:rsidRPr="00AD4335" w:rsidRDefault="00586D6A" w:rsidP="005C62F2">
      <w:pPr>
        <w:pStyle w:val="aff0"/>
        <w:topLinePunct/>
        <w:ind w:left="220" w:hangingChars="100" w:hanging="220"/>
        <w:jc w:val="both"/>
        <w:rPr>
          <w:rFonts w:hAnsi="標楷體"/>
        </w:rPr>
      </w:pPr>
      <w:r w:rsidRPr="00AD4335">
        <w:rPr>
          <w:rStyle w:val="aff2"/>
          <w:rFonts w:hAnsi="標楷體"/>
        </w:rPr>
        <w:footnoteRef/>
      </w:r>
      <w:r w:rsidRPr="00AD4335">
        <w:rPr>
          <w:rFonts w:hAnsi="標楷體"/>
        </w:rPr>
        <w:t xml:space="preserve"> </w:t>
      </w:r>
      <w:r w:rsidRPr="00AD4335">
        <w:rPr>
          <w:rFonts w:hAnsi="標楷體"/>
          <w:lang w:val="zh-TW"/>
        </w:rPr>
        <w:t>水利署為調蓄大漢溪剩餘水源，提升桃園及板新地區常態供水能力及強化水源備援能力，提出整治桃園縣大溪鎮（瑞興里、中新里）大漢溪旁之中庄廢河道成為調整池之「中庄調整池工程計畫」。行政院於98年12月間核定該計畫，執行期程自</w:t>
      </w:r>
      <w:r w:rsidRPr="00AD4335">
        <w:rPr>
          <w:rFonts w:hAnsi="標楷體"/>
          <w:lang w:val="x-none"/>
        </w:rPr>
        <w:t>99年1月至105年12月止，計畫經費共計</w:t>
      </w:r>
      <w:r w:rsidRPr="00AD4335">
        <w:rPr>
          <w:rFonts w:hAnsi="標楷體"/>
          <w:lang w:val="zh-TW"/>
        </w:rPr>
        <w:t>42億3,325.7萬元，總用地面積約121.4公頃，調整池</w:t>
      </w:r>
      <w:r w:rsidRPr="00AD4335">
        <w:rPr>
          <w:rFonts w:hAnsi="標楷體"/>
          <w:lang w:val="x-none"/>
        </w:rPr>
        <w:t>面積約87公頃，</w:t>
      </w:r>
      <w:r w:rsidRPr="00AD4335">
        <w:rPr>
          <w:rFonts w:hAnsi="標楷體"/>
          <w:lang w:val="zh-TW"/>
        </w:rPr>
        <w:t>蓄水量為492萬立方公尺，可供應大湳及板新淨水場備援水量6.2日（約80萬</w:t>
      </w:r>
      <w:r w:rsidRPr="00AD4335">
        <w:rPr>
          <w:rFonts w:hAnsi="標楷體" w:hint="eastAsia"/>
          <w:lang w:val="zh-TW"/>
        </w:rPr>
        <w:t>CMD</w:t>
      </w:r>
      <w:r w:rsidRPr="00AD4335">
        <w:rPr>
          <w:rFonts w:hAnsi="標楷體"/>
          <w:lang w:val="zh-TW"/>
        </w:rPr>
        <w:t>），常態供水量約為每年835萬立方公尺。</w:t>
      </w:r>
    </w:p>
  </w:footnote>
  <w:footnote w:id="17">
    <w:p w:rsidR="00586D6A" w:rsidRPr="00A86BE4" w:rsidRDefault="00586D6A" w:rsidP="005C62F2">
      <w:pPr>
        <w:pStyle w:val="aff0"/>
        <w:topLinePunct/>
        <w:ind w:left="220" w:hangingChars="100" w:hanging="220"/>
        <w:rPr>
          <w:rFonts w:hAnsi="標楷體"/>
        </w:rPr>
      </w:pPr>
      <w:r w:rsidRPr="00AD4335">
        <w:rPr>
          <w:rStyle w:val="aff2"/>
          <w:rFonts w:hAnsi="標楷體"/>
        </w:rPr>
        <w:footnoteRef/>
      </w:r>
      <w:r w:rsidRPr="00AD4335">
        <w:rPr>
          <w:rFonts w:hAnsi="標楷體"/>
        </w:rPr>
        <w:t xml:space="preserve"> </w:t>
      </w:r>
      <w:r>
        <w:rPr>
          <w:rFonts w:hAnsi="標楷體" w:hint="eastAsia"/>
        </w:rPr>
        <w:t>取自水利署南區水資源局網站</w:t>
      </w:r>
      <w:r w:rsidRPr="00AD4335">
        <w:rPr>
          <w:rFonts w:hAnsi="標楷體" w:hint="eastAsia"/>
        </w:rPr>
        <w:t>，</w:t>
      </w:r>
      <w:hyperlink r:id="rId1" w:history="1">
        <w:r w:rsidRPr="00AD4335">
          <w:rPr>
            <w:rStyle w:val="af1"/>
            <w:rFonts w:hAnsi="標楷體"/>
            <w:color w:val="000000" w:themeColor="text1"/>
            <w:u w:val="none"/>
          </w:rPr>
          <w:t>http://www.wrasb.gov.tw/CustomPage/WaterCollect.aspx</w:t>
        </w:r>
      </w:hyperlink>
    </w:p>
  </w:footnote>
  <w:footnote w:id="18">
    <w:p w:rsidR="00586D6A" w:rsidRPr="00AD4335" w:rsidRDefault="00586D6A" w:rsidP="005C62F2">
      <w:pPr>
        <w:pStyle w:val="aff0"/>
        <w:topLinePunct/>
        <w:ind w:left="220" w:hangingChars="100" w:hanging="220"/>
        <w:rPr>
          <w:rFonts w:hAnsi="標楷體"/>
        </w:rPr>
      </w:pPr>
      <w:r w:rsidRPr="00AD4335">
        <w:rPr>
          <w:rStyle w:val="aff2"/>
          <w:rFonts w:hAnsi="標楷體"/>
        </w:rPr>
        <w:footnoteRef/>
      </w:r>
      <w:r w:rsidRPr="00AD4335">
        <w:rPr>
          <w:rFonts w:hAnsi="標楷體"/>
        </w:rPr>
        <w:t xml:space="preserve"> 劉聰桂</w:t>
      </w:r>
      <w:r>
        <w:rPr>
          <w:rFonts w:hAnsi="標楷體" w:hint="eastAsia"/>
        </w:rPr>
        <w:t>(民104年4月1日)。</w:t>
      </w:r>
      <w:r w:rsidRPr="00AD4335">
        <w:rPr>
          <w:rFonts w:hAnsi="標楷體"/>
        </w:rPr>
        <w:t>腳下就有水庫</w:t>
      </w:r>
      <w:r>
        <w:rPr>
          <w:rFonts w:hAnsi="標楷體" w:hint="eastAsia"/>
        </w:rPr>
        <w:t>。</w:t>
      </w:r>
      <w:r w:rsidRPr="00AD4335">
        <w:rPr>
          <w:rFonts w:hAnsi="標楷體"/>
        </w:rPr>
        <w:t>中國時報</w:t>
      </w:r>
      <w:r>
        <w:rPr>
          <w:rFonts w:hAnsi="標楷體" w:hint="eastAsia"/>
        </w:rPr>
        <w:t>，</w:t>
      </w:r>
      <w:r w:rsidRPr="00AD4335">
        <w:rPr>
          <w:rFonts w:hAnsi="標楷體"/>
        </w:rPr>
        <w:t>A16版。</w:t>
      </w:r>
    </w:p>
  </w:footnote>
  <w:footnote w:id="19">
    <w:p w:rsidR="00586D6A" w:rsidRPr="00AD4335" w:rsidRDefault="00586D6A" w:rsidP="005C62F2">
      <w:pPr>
        <w:pStyle w:val="aff0"/>
        <w:topLinePunct/>
        <w:ind w:left="220" w:hangingChars="100" w:hanging="220"/>
        <w:jc w:val="both"/>
        <w:rPr>
          <w:rFonts w:hAnsi="標楷體"/>
        </w:rPr>
      </w:pPr>
      <w:r w:rsidRPr="00AD4335">
        <w:rPr>
          <w:rStyle w:val="aff2"/>
          <w:rFonts w:hAnsi="標楷體"/>
        </w:rPr>
        <w:footnoteRef/>
      </w:r>
      <w:r w:rsidRPr="00AD4335">
        <w:rPr>
          <w:rFonts w:hAnsi="標楷體"/>
        </w:rPr>
        <w:t xml:space="preserve"> </w:t>
      </w:r>
      <w:r w:rsidRPr="00AD4335">
        <w:rPr>
          <w:rFonts w:hAnsi="標楷體" w:hint="eastAsia"/>
        </w:rPr>
        <w:t>此為農委會於104年10月30日查復本院之意見，惟該會亦表示，農業灌溉用水具有</w:t>
      </w:r>
      <w:r w:rsidRPr="00AD4335">
        <w:rPr>
          <w:rFonts w:hAnsi="標楷體"/>
        </w:rPr>
        <w:t>生產、生態與生活三方面的價值與效益</w:t>
      </w:r>
      <w:r w:rsidRPr="00AD4335">
        <w:rPr>
          <w:rFonts w:hAnsi="標楷體" w:hint="eastAsia"/>
        </w:rPr>
        <w:t>，除農作物生產之直接經濟價值外，在生態層面尚包含調洪減災、補助涵養地下水（每年約20億立方公尺）、減緩地層下陷、防止土壤沖蝕及維護生物多樣性等間接功能，而在生活層面，則具有調節微氣候、二氧化碳減排、水質淨化、改善地區排水衛生、自然生態教育、景觀與傳統文化保存及休閒遊憩等外部效益。</w:t>
      </w:r>
    </w:p>
  </w:footnote>
  <w:footnote w:id="20">
    <w:p w:rsidR="00586D6A" w:rsidRPr="00AD4335" w:rsidRDefault="00586D6A" w:rsidP="005C62F2">
      <w:pPr>
        <w:pStyle w:val="aff0"/>
        <w:topLinePunct/>
        <w:ind w:left="220" w:hangingChars="100" w:hanging="220"/>
        <w:rPr>
          <w:rFonts w:hAnsi="標楷體"/>
        </w:rPr>
      </w:pPr>
      <w:r w:rsidRPr="00AD4335">
        <w:rPr>
          <w:rStyle w:val="aff2"/>
          <w:rFonts w:hAnsi="標楷體"/>
        </w:rPr>
        <w:footnoteRef/>
      </w:r>
      <w:r>
        <w:rPr>
          <w:rFonts w:hAnsi="標楷體" w:hint="eastAsia"/>
          <w:color w:val="000000" w:themeColor="text1"/>
        </w:rPr>
        <w:t xml:space="preserve"> </w:t>
      </w:r>
      <w:r w:rsidRPr="00AD4335">
        <w:rPr>
          <w:rFonts w:hAnsi="標楷體"/>
          <w:color w:val="000000" w:themeColor="text1"/>
        </w:rPr>
        <w:t>莊順興</w:t>
      </w:r>
      <w:r>
        <w:rPr>
          <w:rFonts w:hAnsi="標楷體" w:hint="eastAsia"/>
          <w:color w:val="000000" w:themeColor="text1"/>
        </w:rPr>
        <w:t>（民</w:t>
      </w:r>
      <w:r w:rsidRPr="00AD4335">
        <w:rPr>
          <w:rFonts w:hAnsi="標楷體"/>
          <w:color w:val="000000" w:themeColor="text1"/>
        </w:rPr>
        <w:t>1</w:t>
      </w:r>
      <w:r>
        <w:rPr>
          <w:rFonts w:hAnsi="標楷體" w:hint="eastAsia"/>
          <w:color w:val="000000" w:themeColor="text1"/>
        </w:rPr>
        <w:t>00年</w:t>
      </w:r>
      <w:r>
        <w:rPr>
          <w:rFonts w:hAnsi="標楷體"/>
          <w:color w:val="000000" w:themeColor="text1"/>
        </w:rPr>
        <w:t>8</w:t>
      </w:r>
      <w:r>
        <w:rPr>
          <w:rFonts w:hAnsi="標楷體" w:hint="eastAsia"/>
          <w:color w:val="000000" w:themeColor="text1"/>
        </w:rPr>
        <w:t>月</w:t>
      </w:r>
      <w:r w:rsidRPr="00AD4335">
        <w:rPr>
          <w:rFonts w:hAnsi="標楷體"/>
          <w:color w:val="000000" w:themeColor="text1"/>
        </w:rPr>
        <w:t>26</w:t>
      </w:r>
      <w:r>
        <w:rPr>
          <w:rFonts w:hAnsi="標楷體" w:hint="eastAsia"/>
          <w:color w:val="000000" w:themeColor="text1"/>
        </w:rPr>
        <w:t>日）。</w:t>
      </w:r>
      <w:r w:rsidRPr="00AD4335">
        <w:rPr>
          <w:rFonts w:hAnsi="標楷體"/>
          <w:color w:val="000000" w:themeColor="text1"/>
        </w:rPr>
        <w:t xml:space="preserve">建立法規制度 </w:t>
      </w:r>
      <w:r>
        <w:rPr>
          <w:rFonts w:hAnsi="標楷體"/>
          <w:color w:val="000000" w:themeColor="text1"/>
        </w:rPr>
        <w:t>有助推動再生水</w:t>
      </w:r>
      <w:r>
        <w:rPr>
          <w:rFonts w:hAnsi="標楷體" w:hint="eastAsia"/>
          <w:color w:val="000000" w:themeColor="text1"/>
        </w:rPr>
        <w:t>。</w:t>
      </w:r>
      <w:r w:rsidRPr="00AD4335">
        <w:rPr>
          <w:rFonts w:hAnsi="標楷體"/>
          <w:color w:val="000000" w:themeColor="text1"/>
        </w:rPr>
        <w:t>經濟日報</w:t>
      </w:r>
      <w:r>
        <w:rPr>
          <w:rFonts w:hAnsi="標楷體" w:hint="eastAsia"/>
          <w:color w:val="000000" w:themeColor="text1"/>
        </w:rPr>
        <w:t>，</w:t>
      </w:r>
      <w:r w:rsidRPr="00AD4335">
        <w:rPr>
          <w:rFonts w:hAnsi="標楷體"/>
          <w:color w:val="000000" w:themeColor="text1"/>
        </w:rPr>
        <w:t>AA3</w:t>
      </w:r>
      <w:r>
        <w:rPr>
          <w:rFonts w:hAnsi="標楷體"/>
          <w:color w:val="000000" w:themeColor="text1"/>
        </w:rPr>
        <w:t>版</w:t>
      </w:r>
      <w:r w:rsidRPr="00AD4335">
        <w:rPr>
          <w:rFonts w:hAnsi="標楷體"/>
          <w:color w:val="000000" w:themeColor="text1"/>
        </w:rPr>
        <w:t>。</w:t>
      </w:r>
    </w:p>
  </w:footnote>
  <w:footnote w:id="21">
    <w:p w:rsidR="00586D6A" w:rsidRPr="00AD4335" w:rsidRDefault="00586D6A" w:rsidP="005C62F2">
      <w:pPr>
        <w:pStyle w:val="aff0"/>
        <w:topLinePunct/>
        <w:ind w:left="220" w:hangingChars="100" w:hanging="220"/>
        <w:jc w:val="both"/>
        <w:rPr>
          <w:rFonts w:hAnsi="標楷體"/>
        </w:rPr>
      </w:pPr>
      <w:r w:rsidRPr="00AD4335">
        <w:rPr>
          <w:rStyle w:val="aff2"/>
          <w:rFonts w:hAnsi="標楷體"/>
        </w:rPr>
        <w:footnoteRef/>
      </w:r>
      <w:r w:rsidRPr="00AD4335">
        <w:rPr>
          <w:rFonts w:hAnsi="標楷體"/>
        </w:rPr>
        <w:t xml:space="preserve"> </w:t>
      </w:r>
      <w:r w:rsidRPr="00AD4335">
        <w:rPr>
          <w:rFonts w:hAnsi="標楷體" w:hint="eastAsia"/>
        </w:rPr>
        <w:t>本院於104年8月25日至南勢溪上游集水區現場履勘，與會學者專家發言內容。</w:t>
      </w:r>
    </w:p>
  </w:footnote>
  <w:footnote w:id="22">
    <w:p w:rsidR="00586D6A" w:rsidRPr="00AD4335" w:rsidRDefault="00586D6A" w:rsidP="005C62F2">
      <w:pPr>
        <w:pStyle w:val="aff0"/>
        <w:topLinePunct/>
        <w:ind w:left="220" w:hangingChars="100" w:hanging="220"/>
        <w:jc w:val="both"/>
        <w:rPr>
          <w:rFonts w:hAnsi="標楷體"/>
        </w:rPr>
      </w:pPr>
      <w:r w:rsidRPr="00AD4335">
        <w:rPr>
          <w:rStyle w:val="aff2"/>
          <w:rFonts w:hAnsi="標楷體"/>
        </w:rPr>
        <w:footnoteRef/>
      </w:r>
      <w:r w:rsidRPr="00AD4335">
        <w:rPr>
          <w:rFonts w:hAnsi="標楷體"/>
        </w:rPr>
        <w:t xml:space="preserve"> </w:t>
      </w:r>
      <w:r w:rsidRPr="00AD4335">
        <w:rPr>
          <w:rFonts w:hAnsi="標楷體" w:hint="eastAsia"/>
        </w:rPr>
        <w:t>本案於本院提出調查報告後，經持續以核簽意見追蹤後續改善進度，新北市政府於103年7月17日函復辦理情形指稱，截至103年6月30日止，烏來地區共計48家溫泉業者，仍有28家為未合法之溫泉業者，因其建物多數位於都市計畫河川區及保安保護區，該府持續協助及輔導其合法登記中。</w:t>
      </w:r>
    </w:p>
  </w:footnote>
  <w:footnote w:id="23">
    <w:p w:rsidR="00586D6A" w:rsidRPr="00AD4335" w:rsidRDefault="00586D6A" w:rsidP="005C62F2">
      <w:pPr>
        <w:pStyle w:val="aff0"/>
        <w:topLinePunct/>
        <w:ind w:left="220" w:hangingChars="100" w:hanging="220"/>
        <w:rPr>
          <w:rFonts w:hAnsi="標楷體"/>
        </w:rPr>
      </w:pPr>
      <w:r w:rsidRPr="00AD4335">
        <w:rPr>
          <w:rStyle w:val="aff2"/>
          <w:rFonts w:hAnsi="標楷體"/>
        </w:rPr>
        <w:footnoteRef/>
      </w:r>
      <w:r w:rsidRPr="00AD4335">
        <w:rPr>
          <w:rFonts w:hAnsi="標楷體"/>
        </w:rPr>
        <w:t xml:space="preserve"> </w:t>
      </w:r>
      <w:r w:rsidRPr="00AD4335">
        <w:rPr>
          <w:rFonts w:hAnsi="標楷體" w:hint="eastAsia"/>
        </w:rPr>
        <w:t>黃金山</w:t>
      </w:r>
      <w:r>
        <w:rPr>
          <w:rFonts w:hAnsi="標楷體" w:hint="eastAsia"/>
        </w:rPr>
        <w:t>（民104年）</w:t>
      </w:r>
      <w:r w:rsidRPr="00AD4335">
        <w:rPr>
          <w:rFonts w:hAnsi="標楷體" w:hint="eastAsia"/>
        </w:rPr>
        <w:t>，臺灣水資源及其環境的永續經營。</w:t>
      </w:r>
      <w:r>
        <w:rPr>
          <w:rFonts w:hAnsi="標楷體" w:hint="eastAsia"/>
        </w:rPr>
        <w:t>土木水利，42（3），12-19。</w:t>
      </w:r>
    </w:p>
  </w:footnote>
  <w:footnote w:id="24">
    <w:p w:rsidR="00586D6A" w:rsidRPr="00AD4335" w:rsidRDefault="00586D6A" w:rsidP="005C62F2">
      <w:pPr>
        <w:pStyle w:val="aff0"/>
        <w:topLinePunct/>
        <w:ind w:left="220" w:hangingChars="100" w:hanging="220"/>
        <w:jc w:val="both"/>
        <w:rPr>
          <w:rFonts w:hAnsi="標楷體"/>
        </w:rPr>
      </w:pPr>
      <w:r w:rsidRPr="00AD4335">
        <w:rPr>
          <w:rStyle w:val="aff2"/>
          <w:rFonts w:hAnsi="標楷體"/>
        </w:rPr>
        <w:footnoteRef/>
      </w:r>
      <w:r w:rsidRPr="00AD4335">
        <w:rPr>
          <w:rFonts w:hAnsi="標楷體" w:hint="eastAsia"/>
        </w:rPr>
        <w:t xml:space="preserve"> 卡爾森指數用以表示水庫水質優養化程度，係依據水中的總磷、透明度及葉綠素a等</w:t>
      </w:r>
      <w:r>
        <w:rPr>
          <w:rFonts w:hAnsi="標楷體" w:hint="eastAsia"/>
        </w:rPr>
        <w:t>3</w:t>
      </w:r>
      <w:r w:rsidRPr="00AD4335">
        <w:rPr>
          <w:rFonts w:hAnsi="標楷體" w:hint="eastAsia"/>
        </w:rPr>
        <w:t>項因子，依據計算結果，指數在40以下為貧養，40至50為普養，超過50以上則為優養。</w:t>
      </w:r>
      <w:r>
        <w:rPr>
          <w:rFonts w:hAnsi="標楷體" w:hint="eastAsia"/>
        </w:rPr>
        <w:t>取自</w:t>
      </w:r>
      <w:r w:rsidRPr="00AD4335">
        <w:rPr>
          <w:rFonts w:hAnsi="標楷體" w:hint="eastAsia"/>
        </w:rPr>
        <w:t>環保署104年環境水質監測年報。</w:t>
      </w:r>
    </w:p>
  </w:footnote>
  <w:footnote w:id="25">
    <w:p w:rsidR="00586D6A" w:rsidRPr="00ED0649" w:rsidRDefault="00586D6A" w:rsidP="005C62F2">
      <w:pPr>
        <w:pStyle w:val="aff0"/>
        <w:topLinePunct/>
        <w:ind w:left="220" w:hangingChars="100" w:hanging="220"/>
        <w:jc w:val="both"/>
      </w:pPr>
      <w:r>
        <w:rPr>
          <w:rStyle w:val="aff2"/>
        </w:rPr>
        <w:footnoteRef/>
      </w:r>
      <w:r>
        <w:t xml:space="preserve"> </w:t>
      </w:r>
      <w:r>
        <w:rPr>
          <w:sz w:val="19"/>
          <w:szCs w:val="19"/>
        </w:rPr>
        <w:t xml:space="preserve">濁度之測定是藉由光線散射原理，量測工具為濁度計，濁度的單位一般為標準濁度單位(Nephelometric </w:t>
      </w:r>
      <w:r w:rsidRPr="00ED0649">
        <w:rPr>
          <w:rFonts w:hAnsi="標楷體"/>
        </w:rPr>
        <w:t>Turbidity</w:t>
      </w:r>
      <w:r>
        <w:rPr>
          <w:sz w:val="19"/>
          <w:szCs w:val="19"/>
        </w:rPr>
        <w:t xml:space="preserve"> UnitU</w:t>
      </w:r>
      <w:r>
        <w:rPr>
          <w:rFonts w:hint="eastAsia"/>
          <w:sz w:val="19"/>
          <w:szCs w:val="19"/>
        </w:rPr>
        <w:t>, NTU</w:t>
      </w:r>
      <w:r>
        <w:rPr>
          <w:sz w:val="19"/>
          <w:szCs w:val="19"/>
        </w:rPr>
        <w:t>)。</w:t>
      </w:r>
      <w:r>
        <w:rPr>
          <w:rFonts w:hint="eastAsia"/>
          <w:sz w:val="19"/>
          <w:szCs w:val="19"/>
        </w:rPr>
        <w:t>取自環保署全國環境水質監測資訊網，</w:t>
      </w:r>
      <w:r w:rsidRPr="00ED0649">
        <w:t>http://wq.epa.gov.tw/Code/Business/Vocabulary.aspx</w:t>
      </w:r>
    </w:p>
  </w:footnote>
  <w:footnote w:id="26">
    <w:p w:rsidR="00586D6A" w:rsidRPr="00AD4335" w:rsidRDefault="00586D6A" w:rsidP="005C62F2">
      <w:pPr>
        <w:pStyle w:val="aff0"/>
        <w:topLinePunct/>
        <w:ind w:left="220" w:hangingChars="100" w:hanging="220"/>
        <w:jc w:val="both"/>
        <w:rPr>
          <w:rFonts w:hAnsi="標楷體"/>
        </w:rPr>
      </w:pPr>
      <w:r w:rsidRPr="00AD4335">
        <w:rPr>
          <w:rStyle w:val="aff2"/>
          <w:rFonts w:hAnsi="標楷體"/>
        </w:rPr>
        <w:footnoteRef/>
      </w:r>
      <w:r w:rsidRPr="00AD4335">
        <w:rPr>
          <w:rFonts w:hAnsi="標楷體"/>
        </w:rPr>
        <w:t xml:space="preserve"> </w:t>
      </w:r>
      <w:r w:rsidRPr="00AD4335">
        <w:rPr>
          <w:rFonts w:hAnsi="標楷體" w:hint="eastAsia"/>
        </w:rPr>
        <w:t>行政院102年5月22日院臺經字第1020017737號函。</w:t>
      </w:r>
    </w:p>
  </w:footnote>
  <w:footnote w:id="27">
    <w:p w:rsidR="00586D6A" w:rsidRPr="00AD4335" w:rsidRDefault="00586D6A" w:rsidP="005C62F2">
      <w:pPr>
        <w:pStyle w:val="aff0"/>
        <w:topLinePunct/>
        <w:ind w:left="220" w:hangingChars="100" w:hanging="220"/>
        <w:rPr>
          <w:rFonts w:hAnsi="標楷體"/>
        </w:rPr>
      </w:pPr>
      <w:r w:rsidRPr="00AD4335">
        <w:rPr>
          <w:rStyle w:val="aff2"/>
          <w:rFonts w:hAnsi="標楷體"/>
        </w:rPr>
        <w:footnoteRef/>
      </w:r>
      <w:r w:rsidRPr="00AD4335">
        <w:rPr>
          <w:rFonts w:hAnsi="標楷體"/>
        </w:rPr>
        <w:t xml:space="preserve"> </w:t>
      </w:r>
      <w:r>
        <w:rPr>
          <w:rFonts w:hAnsi="標楷體" w:hint="eastAsia"/>
        </w:rPr>
        <w:t>取自</w:t>
      </w:r>
      <w:r w:rsidRPr="00AD4335">
        <w:rPr>
          <w:rFonts w:hAnsi="標楷體" w:hint="eastAsia"/>
        </w:rPr>
        <w:t>農委會水保局石門水庫集水區保育治理網</w:t>
      </w:r>
      <w:r>
        <w:rPr>
          <w:rFonts w:hAnsi="標楷體" w:hint="eastAsia"/>
        </w:rPr>
        <w:t>站，</w:t>
      </w:r>
      <w:r w:rsidRPr="00AD4335">
        <w:rPr>
          <w:rFonts w:hAnsi="標楷體"/>
        </w:rPr>
        <w:t>http://smr.swcb.gov.tw/academia/academia03.asp</w:t>
      </w:r>
    </w:p>
  </w:footnote>
  <w:footnote w:id="28">
    <w:p w:rsidR="00586D6A" w:rsidRPr="00AD4335" w:rsidRDefault="00586D6A" w:rsidP="005C62F2">
      <w:pPr>
        <w:pStyle w:val="aff0"/>
        <w:topLinePunct/>
        <w:ind w:left="220" w:hangingChars="100" w:hanging="220"/>
        <w:rPr>
          <w:rFonts w:hAnsi="標楷體"/>
        </w:rPr>
      </w:pPr>
      <w:r w:rsidRPr="00AD4335">
        <w:rPr>
          <w:rStyle w:val="aff2"/>
          <w:rFonts w:hAnsi="標楷體"/>
        </w:rPr>
        <w:footnoteRef/>
      </w:r>
      <w:r w:rsidRPr="00AD4335">
        <w:rPr>
          <w:rFonts w:hAnsi="標楷體" w:hint="eastAsia"/>
        </w:rPr>
        <w:t xml:space="preserve"> 本院於104年8月25日至南勢溪上游集水區現場履勘，與會學者專家發言內容。</w:t>
      </w:r>
    </w:p>
  </w:footnote>
  <w:footnote w:id="29">
    <w:p w:rsidR="00586D6A" w:rsidRPr="00AD4335" w:rsidRDefault="00586D6A" w:rsidP="00B32CFD">
      <w:pPr>
        <w:pStyle w:val="aff0"/>
        <w:topLinePunct/>
        <w:autoSpaceDE/>
        <w:autoSpaceDN/>
        <w:ind w:left="220" w:hangingChars="100" w:hanging="220"/>
        <w:rPr>
          <w:rFonts w:hAnsi="標楷體"/>
          <w:sz w:val="24"/>
          <w:szCs w:val="24"/>
        </w:rPr>
      </w:pPr>
      <w:r w:rsidRPr="00AD4335">
        <w:rPr>
          <w:rStyle w:val="aff2"/>
          <w:rFonts w:hAnsi="標楷體"/>
        </w:rPr>
        <w:footnoteRef/>
      </w:r>
      <w:r w:rsidRPr="00AD4335">
        <w:rPr>
          <w:rFonts w:hAnsi="標楷體"/>
        </w:rPr>
        <w:t xml:space="preserve"> </w:t>
      </w:r>
      <w:r w:rsidRPr="00AD4335">
        <w:rPr>
          <w:rFonts w:hAnsi="標楷體"/>
          <w:lang w:val="zh-TW"/>
        </w:rPr>
        <w:t>103年平均</w:t>
      </w:r>
      <w:r w:rsidRPr="00AD4335">
        <w:rPr>
          <w:rFonts w:hAnsi="標楷體"/>
        </w:rPr>
        <w:t>消費</w:t>
      </w:r>
      <w:r w:rsidRPr="00AD4335">
        <w:rPr>
          <w:rFonts w:hAnsi="標楷體"/>
          <w:lang w:val="zh-TW"/>
        </w:rPr>
        <w:t>支出239,736元/人、平均自來水費1,027元/人，故每人水費支出占總消費支出之比率＝1,027元÷239,736元＝0.43%。</w:t>
      </w:r>
    </w:p>
  </w:footnote>
  <w:footnote w:id="30">
    <w:p w:rsidR="00586D6A" w:rsidRPr="00AD4335" w:rsidRDefault="00586D6A" w:rsidP="0052431A">
      <w:pPr>
        <w:pStyle w:val="aff0"/>
        <w:wordWrap w:val="0"/>
        <w:topLinePunct/>
        <w:autoSpaceDE/>
        <w:autoSpaceDN/>
        <w:ind w:left="220" w:hangingChars="100" w:hanging="220"/>
        <w:rPr>
          <w:rFonts w:hAnsi="標楷體"/>
        </w:rPr>
      </w:pPr>
      <w:r w:rsidRPr="00AD4335">
        <w:rPr>
          <w:rStyle w:val="aff2"/>
          <w:rFonts w:hAnsi="標楷體"/>
        </w:rPr>
        <w:footnoteRef/>
      </w:r>
      <w:r w:rsidRPr="00AD4335">
        <w:rPr>
          <w:rFonts w:hAnsi="標楷體"/>
        </w:rPr>
        <w:t xml:space="preserve"> International Water Association</w:t>
      </w:r>
      <w:r>
        <w:rPr>
          <w:rFonts w:hAnsi="標楷體" w:hint="eastAsia"/>
        </w:rPr>
        <w:t>(</w:t>
      </w:r>
      <w:r w:rsidRPr="00AD4335">
        <w:rPr>
          <w:rFonts w:hAnsi="標楷體"/>
        </w:rPr>
        <w:t>2014</w:t>
      </w:r>
      <w:r>
        <w:rPr>
          <w:rFonts w:hAnsi="標楷體" w:hint="eastAsia"/>
        </w:rPr>
        <w:t xml:space="preserve">). </w:t>
      </w:r>
      <w:r w:rsidRPr="00AD4335">
        <w:rPr>
          <w:rFonts w:hAnsi="標楷體"/>
        </w:rPr>
        <w:t>International Statistics for Water Services</w:t>
      </w:r>
      <w:r>
        <w:rPr>
          <w:rFonts w:hAnsi="標楷體" w:hint="eastAsia"/>
        </w:rPr>
        <w:t xml:space="preserve">. </w:t>
      </w:r>
      <w:r w:rsidRPr="00D65FD6">
        <w:rPr>
          <w:rFonts w:hAnsi="標楷體"/>
        </w:rPr>
        <w:t>Retrieved</w:t>
      </w:r>
      <w:r w:rsidRPr="00D65FD6">
        <w:rPr>
          <w:rFonts w:hAnsi="標楷體" w:hint="eastAsia"/>
        </w:rPr>
        <w:t xml:space="preserve"> </w:t>
      </w:r>
      <w:r w:rsidRPr="00D65FD6">
        <w:rPr>
          <w:rFonts w:hAnsi="標楷體"/>
        </w:rPr>
        <w:t>From</w:t>
      </w:r>
      <w:r w:rsidRPr="00D65FD6">
        <w:rPr>
          <w:rFonts w:hAnsi="標楷體" w:hint="eastAsia"/>
        </w:rPr>
        <w:t xml:space="preserve"> </w:t>
      </w:r>
      <w:r w:rsidRPr="00D65FD6">
        <w:rPr>
          <w:rFonts w:hAnsi="標楷體"/>
        </w:rPr>
        <w:t>http://www.iwa-network.org/publications/international-statistics-for-water-services-2014/</w:t>
      </w:r>
    </w:p>
  </w:footnote>
  <w:footnote w:id="31">
    <w:p w:rsidR="00586D6A" w:rsidRPr="00AD4335" w:rsidRDefault="00586D6A" w:rsidP="0052431A">
      <w:pPr>
        <w:pStyle w:val="aff0"/>
        <w:topLinePunct/>
        <w:autoSpaceDE/>
        <w:autoSpaceDN/>
        <w:ind w:left="220" w:hangingChars="100" w:hanging="220"/>
        <w:rPr>
          <w:rFonts w:hAnsi="標楷體"/>
        </w:rPr>
      </w:pPr>
      <w:r w:rsidRPr="00AD4335">
        <w:rPr>
          <w:rStyle w:val="aff2"/>
          <w:rFonts w:hAnsi="標楷體"/>
        </w:rPr>
        <w:footnoteRef/>
      </w:r>
      <w:r w:rsidRPr="00AD4335">
        <w:rPr>
          <w:rFonts w:hAnsi="標楷體"/>
        </w:rPr>
        <w:t xml:space="preserve"> 周國鼎（民104）。2014國際水價現況解析。</w:t>
      </w:r>
      <w:r w:rsidRPr="00F9791F">
        <w:rPr>
          <w:rFonts w:hAnsi="標楷體"/>
        </w:rPr>
        <w:t>中華民國自來水協會</w:t>
      </w:r>
      <w:r w:rsidRPr="00AD4335">
        <w:rPr>
          <w:rFonts w:hAnsi="標楷體"/>
        </w:rPr>
        <w:t>，34（2），73-79</w:t>
      </w:r>
      <w:r w:rsidRPr="00AD4335">
        <w:rPr>
          <w:rFonts w:hAnsi="標楷體"/>
          <w:lang w:val="zh-TW"/>
        </w:rPr>
        <w:t>。</w:t>
      </w:r>
    </w:p>
  </w:footnote>
  <w:footnote w:id="32">
    <w:p w:rsidR="00586D6A" w:rsidRPr="00AD4335" w:rsidRDefault="00586D6A" w:rsidP="0052431A">
      <w:pPr>
        <w:pStyle w:val="aff0"/>
        <w:topLinePunct/>
        <w:autoSpaceDE/>
        <w:autoSpaceDN/>
        <w:ind w:left="220" w:hangingChars="100" w:hanging="220"/>
        <w:rPr>
          <w:rFonts w:hAnsi="標楷體"/>
        </w:rPr>
      </w:pPr>
      <w:r w:rsidRPr="00AD4335">
        <w:rPr>
          <w:rStyle w:val="aff2"/>
          <w:rFonts w:hAnsi="標楷體"/>
        </w:rPr>
        <w:footnoteRef/>
      </w:r>
      <w:r w:rsidRPr="00AD4335">
        <w:rPr>
          <w:rFonts w:hAnsi="標楷體"/>
        </w:rPr>
        <w:t xml:space="preserve"> 各城市</w:t>
      </w:r>
      <w:r w:rsidRPr="00AD4335">
        <w:rPr>
          <w:rFonts w:hAnsi="標楷體"/>
          <w:bCs/>
        </w:rPr>
        <w:t>「水費負擔率」係以</w:t>
      </w:r>
      <w:r w:rsidRPr="00AD4335">
        <w:rPr>
          <w:rFonts w:hAnsi="標楷體"/>
        </w:rPr>
        <w:t>國際水協會</w:t>
      </w:r>
      <w:r w:rsidRPr="00AD4335">
        <w:rPr>
          <w:rFonts w:hAnsi="標楷體"/>
          <w:bCs/>
        </w:rPr>
        <w:t>所公布用水</w:t>
      </w:r>
      <w:smartTag w:uri="urn:schemas-microsoft-com:office:smarttags" w:element="chmetcnv">
        <w:smartTagPr>
          <w:attr w:name="UnitName" w:val="立方公尺"/>
          <w:attr w:name="SourceValue" w:val="200"/>
          <w:attr w:name="HasSpace" w:val="False"/>
          <w:attr w:name="Negative" w:val="False"/>
          <w:attr w:name="NumberType" w:val="1"/>
          <w:attr w:name="TCSC" w:val="0"/>
        </w:smartTagPr>
        <w:r w:rsidRPr="00AD4335">
          <w:rPr>
            <w:rFonts w:hAnsi="標楷體"/>
            <w:bCs/>
          </w:rPr>
          <w:t>200立方公尺</w:t>
        </w:r>
      </w:smartTag>
      <w:r w:rsidRPr="00AD4335">
        <w:rPr>
          <w:rFonts w:hAnsi="標楷體"/>
          <w:bCs/>
        </w:rPr>
        <w:t>（度）之自來水</w:t>
      </w:r>
      <w:r w:rsidRPr="00AD4335">
        <w:rPr>
          <w:rFonts w:hAnsi="標楷體"/>
        </w:rPr>
        <w:t>費用，代表每年家戶平均自來水費用，再以該費用除以「人均GDP」來衡量之</w:t>
      </w:r>
      <w:r w:rsidRPr="00AD4335">
        <w:rPr>
          <w:rFonts w:hAnsi="標楷體"/>
          <w:bCs/>
        </w:rPr>
        <w:t>。</w:t>
      </w:r>
    </w:p>
  </w:footnote>
  <w:footnote w:id="33">
    <w:p w:rsidR="00586D6A" w:rsidRPr="00AD4335" w:rsidRDefault="00586D6A" w:rsidP="0052431A">
      <w:pPr>
        <w:pStyle w:val="aff0"/>
        <w:topLinePunct/>
        <w:autoSpaceDE/>
        <w:autoSpaceDN/>
        <w:ind w:left="220" w:hangingChars="100" w:hanging="220"/>
        <w:jc w:val="both"/>
        <w:rPr>
          <w:rFonts w:hAnsi="標楷體"/>
        </w:rPr>
      </w:pPr>
      <w:r w:rsidRPr="00AD4335">
        <w:rPr>
          <w:rStyle w:val="aff2"/>
          <w:rFonts w:hAnsi="標楷體"/>
        </w:rPr>
        <w:footnoteRef/>
      </w:r>
      <w:r w:rsidRPr="00AD4335">
        <w:rPr>
          <w:rFonts w:hAnsi="標楷體"/>
        </w:rPr>
        <w:t xml:space="preserve"> 文意：行政院評估政策影響盈餘金額達16.9億元。依經濟部100年10月14日「經濟部所屬事業績效獎金審議委員會議」決議，自審議100年度政策因素起，本項政策因素認列公式為：（95年至99年本項政策因素所申算之影響金額平均數÷95年至99年審定決算售水量平均數）×該年度售水量。105年6月8</w:t>
      </w:r>
      <w:r>
        <w:rPr>
          <w:rFonts w:hAnsi="標楷體"/>
        </w:rPr>
        <w:t>日</w:t>
      </w:r>
      <w:r>
        <w:rPr>
          <w:rFonts w:hAnsi="標楷體" w:hint="eastAsia"/>
        </w:rPr>
        <w:t>取自</w:t>
      </w:r>
      <w:r w:rsidRPr="00AD4335">
        <w:rPr>
          <w:rFonts w:hAnsi="標楷體"/>
        </w:rPr>
        <w:t>台水公司</w:t>
      </w:r>
      <w:r>
        <w:rPr>
          <w:rFonts w:hAnsi="標楷體" w:hint="eastAsia"/>
        </w:rPr>
        <w:t>網站，</w:t>
      </w:r>
      <w:r w:rsidRPr="00F9791F">
        <w:rPr>
          <w:rFonts w:hAnsi="標楷體"/>
        </w:rPr>
        <w:t>http://www.water.gov.tw/07official/administration_01.asp?cat=6</w:t>
      </w:r>
    </w:p>
  </w:footnote>
  <w:footnote w:id="34">
    <w:p w:rsidR="00586D6A" w:rsidRPr="00AD4335" w:rsidRDefault="00586D6A" w:rsidP="0052431A">
      <w:pPr>
        <w:pStyle w:val="aff0"/>
        <w:topLinePunct/>
        <w:autoSpaceDE/>
        <w:autoSpaceDN/>
        <w:ind w:left="220" w:hangingChars="100" w:hanging="220"/>
        <w:rPr>
          <w:rFonts w:hAnsi="標楷體"/>
        </w:rPr>
      </w:pPr>
      <w:r w:rsidRPr="00AD4335">
        <w:rPr>
          <w:rStyle w:val="aff2"/>
          <w:rFonts w:hAnsi="標楷體"/>
        </w:rPr>
        <w:footnoteRef/>
      </w:r>
      <w:r w:rsidRPr="00AD4335">
        <w:rPr>
          <w:rFonts w:hAnsi="標楷體"/>
        </w:rPr>
        <w:t xml:space="preserve"> 原清水成本×預估水價平均調幅×8折＝30.54億元×30%調幅×0.8=增加之原清水成本7.33億元。</w:t>
      </w:r>
    </w:p>
  </w:footnote>
  <w:footnote w:id="35">
    <w:p w:rsidR="00586D6A" w:rsidRPr="00AD4335" w:rsidRDefault="00586D6A" w:rsidP="0052431A">
      <w:pPr>
        <w:pStyle w:val="aff0"/>
        <w:topLinePunct/>
        <w:autoSpaceDE/>
        <w:autoSpaceDN/>
        <w:ind w:left="220" w:hangingChars="100" w:hanging="220"/>
        <w:jc w:val="both"/>
        <w:rPr>
          <w:rFonts w:hAnsi="標楷體"/>
        </w:rPr>
      </w:pPr>
      <w:r w:rsidRPr="00AD4335">
        <w:rPr>
          <w:rStyle w:val="aff2"/>
          <w:rFonts w:hAnsi="標楷體"/>
        </w:rPr>
        <w:footnoteRef/>
      </w:r>
      <w:r w:rsidRPr="00AD4335">
        <w:rPr>
          <w:rFonts w:hAnsi="標楷體"/>
        </w:rPr>
        <w:t xml:space="preserve"> 台水公司表示，所屬水庫、攔河堰計21座，建造總經費約計170億元，依政府往例以建造費用6‰估算重要水利設施後續維護修繕等費用計需約1.02億元，又103年度水庫清淤費用約需1.2億元及水庫集水區水土保持、水源涵養等治理工程約需0.6億元，合計103年度水庫營運及維護修繕費用需2.82億元。</w:t>
      </w:r>
    </w:p>
  </w:footnote>
  <w:footnote w:id="36">
    <w:p w:rsidR="00586D6A" w:rsidRPr="00AD4335" w:rsidRDefault="00586D6A" w:rsidP="0052431A">
      <w:pPr>
        <w:pStyle w:val="aff0"/>
        <w:topLinePunct/>
        <w:autoSpaceDE/>
        <w:autoSpaceDN/>
        <w:ind w:left="220" w:hangingChars="100" w:hanging="220"/>
        <w:rPr>
          <w:rFonts w:hAnsi="標楷體"/>
        </w:rPr>
      </w:pPr>
      <w:r w:rsidRPr="00AD4335">
        <w:rPr>
          <w:rStyle w:val="aff2"/>
          <w:rFonts w:hAnsi="標楷體"/>
        </w:rPr>
        <w:footnoteRef/>
      </w:r>
      <w:r w:rsidRPr="00AD4335">
        <w:rPr>
          <w:rFonts w:hAnsi="標楷體"/>
        </w:rPr>
        <w:t xml:space="preserve"> 營造工程物價指數係反映營造工程投入材料及勞務之價格變化。</w:t>
      </w:r>
    </w:p>
  </w:footnote>
  <w:footnote w:id="37">
    <w:p w:rsidR="00586D6A" w:rsidRPr="00E128DE" w:rsidRDefault="00586D6A" w:rsidP="002D1CB3">
      <w:pPr>
        <w:pStyle w:val="aff0"/>
        <w:wordWrap w:val="0"/>
        <w:topLinePunct/>
        <w:autoSpaceDE/>
        <w:autoSpaceDN/>
        <w:ind w:left="242" w:hangingChars="110" w:hanging="242"/>
        <w:jc w:val="both"/>
      </w:pPr>
      <w:r>
        <w:rPr>
          <w:rStyle w:val="aff2"/>
        </w:rPr>
        <w:footnoteRef/>
      </w:r>
      <w:r>
        <w:t xml:space="preserve"> </w:t>
      </w:r>
      <w:r>
        <w:rPr>
          <w:rFonts w:hint="eastAsia"/>
        </w:rPr>
        <w:t>依照水利署編報</w:t>
      </w:r>
      <w:r w:rsidRPr="0084541D">
        <w:rPr>
          <w:rFonts w:hint="eastAsia"/>
        </w:rPr>
        <w:t>之</w:t>
      </w:r>
      <w:r>
        <w:t>10</w:t>
      </w:r>
      <w:r>
        <w:rPr>
          <w:rFonts w:hint="eastAsia"/>
        </w:rPr>
        <w:t>4</w:t>
      </w:r>
      <w:r w:rsidRPr="0084541D">
        <w:t>年</w:t>
      </w:r>
      <w:r w:rsidRPr="00A87354">
        <w:rPr>
          <w:rFonts w:hint="eastAsia"/>
        </w:rPr>
        <w:t>自來水生活用水量統計</w:t>
      </w:r>
      <w:r>
        <w:rPr>
          <w:rFonts w:hint="eastAsia"/>
        </w:rPr>
        <w:t>顯示</w:t>
      </w:r>
      <w:r w:rsidRPr="0084541D">
        <w:rPr>
          <w:rFonts w:hint="eastAsia"/>
        </w:rPr>
        <w:t>，</w:t>
      </w:r>
      <w:r>
        <w:t>10</w:t>
      </w:r>
      <w:r>
        <w:rPr>
          <w:rFonts w:hint="eastAsia"/>
        </w:rPr>
        <w:t>4</w:t>
      </w:r>
      <w:r w:rsidRPr="0084541D">
        <w:rPr>
          <w:rFonts w:hint="eastAsia"/>
        </w:rPr>
        <w:t>年</w:t>
      </w:r>
      <w:r>
        <w:rPr>
          <w:rFonts w:hint="eastAsia"/>
        </w:rPr>
        <w:t>中部地區（苗栗縣、臺中市、南投縣、彰化縣、雲林縣）</w:t>
      </w:r>
      <w:r w:rsidRPr="0084541D">
        <w:rPr>
          <w:rFonts w:hint="eastAsia"/>
        </w:rPr>
        <w:t>生活用水量</w:t>
      </w:r>
      <w:r>
        <w:rPr>
          <w:rFonts w:hint="eastAsia"/>
        </w:rPr>
        <w:t>約4.85</w:t>
      </w:r>
      <w:r w:rsidRPr="0084541D">
        <w:rPr>
          <w:rFonts w:hint="eastAsia"/>
        </w:rPr>
        <w:t>億立方公尺</w:t>
      </w:r>
      <w:r>
        <w:rPr>
          <w:rFonts w:hint="eastAsia"/>
        </w:rPr>
        <w:t>，離島地區（</w:t>
      </w:r>
      <w:r w:rsidRPr="002D1CB3">
        <w:t>澎湖縣、金門縣、連江縣</w:t>
      </w:r>
      <w:r>
        <w:rPr>
          <w:rFonts w:hint="eastAsia"/>
        </w:rPr>
        <w:t>）約0.13</w:t>
      </w:r>
      <w:r w:rsidRPr="0084541D">
        <w:rPr>
          <w:rFonts w:hint="eastAsia"/>
        </w:rPr>
        <w:t>億立方公尺</w:t>
      </w:r>
      <w:r>
        <w:rPr>
          <w:rFonts w:hint="eastAsia"/>
        </w:rPr>
        <w:t>，</w:t>
      </w:r>
      <w:r w:rsidRPr="0084541D">
        <w:rPr>
          <w:rFonts w:hint="eastAsia"/>
        </w:rPr>
        <w:t>南部地區</w:t>
      </w:r>
      <w:r>
        <w:rPr>
          <w:rFonts w:hint="eastAsia"/>
        </w:rPr>
        <w:t>（</w:t>
      </w:r>
      <w:r w:rsidRPr="0084541D">
        <w:rPr>
          <w:rFonts w:hint="eastAsia"/>
        </w:rPr>
        <w:t>嘉義市、嘉義縣、臺南市、高雄市、屏東縣</w:t>
      </w:r>
      <w:r>
        <w:rPr>
          <w:rFonts w:hint="eastAsia"/>
        </w:rPr>
        <w:t>）約</w:t>
      </w:r>
      <w:r w:rsidRPr="0084541D">
        <w:t>5</w:t>
      </w:r>
      <w:r>
        <w:rPr>
          <w:rFonts w:hint="eastAsia"/>
        </w:rPr>
        <w:t>.39</w:t>
      </w:r>
      <w:r w:rsidRPr="0084541D">
        <w:rPr>
          <w:rFonts w:hint="eastAsia"/>
        </w:rPr>
        <w:t>億立方公尺。</w:t>
      </w:r>
      <w:r w:rsidRPr="00EC042A">
        <w:t>生活用水量</w:t>
      </w:r>
      <w:r>
        <w:t>指</w:t>
      </w:r>
      <w:r>
        <w:rPr>
          <w:rFonts w:hint="eastAsia"/>
        </w:rPr>
        <w:t>民眾</w:t>
      </w:r>
      <w:r w:rsidRPr="00EC042A">
        <w:t>一般日常活動所需水量，不含工業製造、生產等用水</w:t>
      </w:r>
      <w:r w:rsidRPr="00EC042A">
        <w:rPr>
          <w:rFonts w:hint="eastAsia"/>
        </w:rPr>
        <w:t>。</w:t>
      </w:r>
      <w:r>
        <w:rPr>
          <w:rFonts w:hint="eastAsia"/>
        </w:rPr>
        <w:t>取自</w:t>
      </w:r>
      <w:r w:rsidRPr="002D1CB3">
        <w:rPr>
          <w:rFonts w:hint="eastAsia"/>
        </w:rPr>
        <w:t>水利署公務統計報表，</w:t>
      </w:r>
      <w:r w:rsidRPr="00A87354">
        <w:t>http://www.wra.gov.tw/ct.asp?xItem=42091&amp;ctNode=4561&amp;comefrom=lp</w:t>
      </w:r>
    </w:p>
  </w:footnote>
  <w:footnote w:id="38">
    <w:p w:rsidR="00586D6A" w:rsidRPr="00AD4335" w:rsidRDefault="00586D6A" w:rsidP="005C62F2">
      <w:pPr>
        <w:pStyle w:val="aff0"/>
        <w:topLinePunct/>
        <w:ind w:left="220" w:hangingChars="100" w:hanging="220"/>
        <w:rPr>
          <w:rFonts w:hAnsi="標楷體"/>
        </w:rPr>
      </w:pPr>
      <w:r w:rsidRPr="00AD4335">
        <w:rPr>
          <w:rStyle w:val="aff2"/>
          <w:rFonts w:hAnsi="標楷體"/>
        </w:rPr>
        <w:footnoteRef/>
      </w:r>
      <w:r w:rsidRPr="00AD4335">
        <w:rPr>
          <w:rFonts w:hAnsi="標楷體"/>
        </w:rPr>
        <w:t xml:space="preserve"> 本院104年10月19日詢問時，台水公司提供之書面說明資料。</w:t>
      </w:r>
    </w:p>
  </w:footnote>
  <w:footnote w:id="39">
    <w:p w:rsidR="00586D6A" w:rsidRPr="00AD4335" w:rsidRDefault="00586D6A" w:rsidP="005C62F2">
      <w:pPr>
        <w:pStyle w:val="aff0"/>
        <w:topLinePunct/>
        <w:ind w:left="220" w:hangingChars="100" w:hanging="220"/>
        <w:rPr>
          <w:rFonts w:hAnsi="標楷體"/>
        </w:rPr>
      </w:pPr>
      <w:r w:rsidRPr="00AD4335">
        <w:rPr>
          <w:rStyle w:val="aff2"/>
          <w:rFonts w:hAnsi="標楷體"/>
        </w:rPr>
        <w:footnoteRef/>
      </w:r>
      <w:r w:rsidRPr="00AD4335">
        <w:rPr>
          <w:rFonts w:hAnsi="標楷體"/>
        </w:rPr>
        <w:t xml:space="preserve"> 同註</w:t>
      </w:r>
      <w:r w:rsidR="00C70DBC">
        <w:rPr>
          <w:rFonts w:hAnsi="標楷體" w:hint="eastAsia"/>
        </w:rPr>
        <w:t>38</w:t>
      </w:r>
      <w:r w:rsidRPr="00AD4335">
        <w:rPr>
          <w:rFonts w:hAnsi="標楷體"/>
        </w:rPr>
        <w:t>。</w:t>
      </w:r>
    </w:p>
  </w:footnote>
  <w:footnote w:id="40">
    <w:p w:rsidR="00586D6A" w:rsidRPr="00AD4335" w:rsidRDefault="00586D6A" w:rsidP="005C62F2">
      <w:pPr>
        <w:pStyle w:val="aff0"/>
        <w:topLinePunct/>
        <w:ind w:left="220" w:hangingChars="100" w:hanging="220"/>
        <w:rPr>
          <w:rFonts w:hAnsi="標楷體"/>
        </w:rPr>
      </w:pPr>
      <w:r w:rsidRPr="00AD4335">
        <w:rPr>
          <w:rStyle w:val="aff2"/>
          <w:rFonts w:hAnsi="標楷體"/>
        </w:rPr>
        <w:footnoteRef/>
      </w:r>
      <w:r w:rsidRPr="00AD4335">
        <w:rPr>
          <w:rFonts w:hAnsi="標楷體"/>
        </w:rPr>
        <w:t xml:space="preserve"> </w:t>
      </w:r>
      <w:r w:rsidRPr="00AD4335">
        <w:rPr>
          <w:rFonts w:hAnsi="標楷體" w:hint="eastAsia"/>
        </w:rPr>
        <w:t>引述自</w:t>
      </w:r>
      <w:r w:rsidRPr="00AD4335">
        <w:rPr>
          <w:rFonts w:hAnsi="標楷體"/>
        </w:rPr>
        <w:t>本院104年</w:t>
      </w:r>
      <w:r w:rsidRPr="00AD4335">
        <w:rPr>
          <w:rFonts w:hAnsi="標楷體" w:hint="eastAsia"/>
        </w:rPr>
        <w:t>9</w:t>
      </w:r>
      <w:r w:rsidRPr="00AD4335">
        <w:rPr>
          <w:rFonts w:hAnsi="標楷體"/>
        </w:rPr>
        <w:t>月</w:t>
      </w:r>
      <w:r w:rsidRPr="00AD4335">
        <w:rPr>
          <w:rFonts w:hAnsi="標楷體" w:hint="eastAsia"/>
        </w:rPr>
        <w:t>4</w:t>
      </w:r>
      <w:r w:rsidRPr="00AD4335">
        <w:rPr>
          <w:rFonts w:hAnsi="標楷體"/>
        </w:rPr>
        <w:t>日</w:t>
      </w:r>
      <w:r w:rsidRPr="00AD4335">
        <w:rPr>
          <w:rFonts w:hAnsi="標楷體" w:hint="eastAsia"/>
        </w:rPr>
        <w:t>召開本案諮</w:t>
      </w:r>
      <w:r w:rsidRPr="00AD4335">
        <w:rPr>
          <w:rFonts w:hAnsi="標楷體"/>
        </w:rPr>
        <w:t>詢</w:t>
      </w:r>
      <w:r>
        <w:rPr>
          <w:rFonts w:hAnsi="標楷體" w:hint="eastAsia"/>
        </w:rPr>
        <w:t>會議</w:t>
      </w:r>
      <w:r w:rsidRPr="00AD4335">
        <w:rPr>
          <w:rFonts w:hAnsi="標楷體"/>
        </w:rPr>
        <w:t>時，</w:t>
      </w:r>
      <w:r w:rsidRPr="00AD4335">
        <w:rPr>
          <w:rFonts w:hAnsi="標楷體" w:hint="eastAsia"/>
        </w:rPr>
        <w:t>專家學者台灣經濟研究院洪前院長德生發言紀要</w:t>
      </w:r>
      <w:r w:rsidRPr="00AD4335">
        <w:rPr>
          <w:rFonts w:hAnsi="標楷體"/>
        </w:rPr>
        <w:t>。</w:t>
      </w:r>
    </w:p>
  </w:footnote>
  <w:footnote w:id="41">
    <w:p w:rsidR="00586D6A" w:rsidRPr="00AD4335" w:rsidRDefault="00586D6A" w:rsidP="005C62F2">
      <w:pPr>
        <w:pStyle w:val="aff0"/>
        <w:topLinePunct/>
        <w:adjustRightInd w:val="0"/>
        <w:ind w:left="286" w:hangingChars="130" w:hanging="286"/>
        <w:jc w:val="both"/>
        <w:rPr>
          <w:rFonts w:hAnsi="標楷體"/>
        </w:rPr>
      </w:pPr>
      <w:r w:rsidRPr="00AD4335">
        <w:rPr>
          <w:rStyle w:val="aff2"/>
          <w:rFonts w:hAnsi="標楷體"/>
        </w:rPr>
        <w:footnoteRef/>
      </w:r>
      <w:r w:rsidRPr="00AD4335">
        <w:rPr>
          <w:rStyle w:val="aff2"/>
          <w:rFonts w:hAnsi="標楷體"/>
        </w:rPr>
        <w:t xml:space="preserve"> </w:t>
      </w:r>
      <w:r>
        <w:rPr>
          <w:rFonts w:hAnsi="標楷體" w:hint="eastAsia"/>
        </w:rPr>
        <w:t xml:space="preserve"> </w:t>
      </w:r>
      <w:r w:rsidRPr="00AD4335">
        <w:rPr>
          <w:rFonts w:hAnsi="標楷體"/>
        </w:rPr>
        <w:t>北水處依83年臺北市議會議決同意之水價調整案及臺北市議會財建小組核定臺北自來水水價調整案計算表所示，購買原水成本3億元，售水量5億7,343萬立方公尺，核算原水成本0.52元/度（臺北市議會83年2月8日議財字第0774號函）。</w:t>
      </w:r>
    </w:p>
  </w:footnote>
  <w:footnote w:id="42">
    <w:p w:rsidR="00586D6A" w:rsidRPr="00AD4335" w:rsidRDefault="00586D6A" w:rsidP="005C62F2">
      <w:pPr>
        <w:pStyle w:val="aff0"/>
        <w:topLinePunct/>
        <w:adjustRightInd w:val="0"/>
        <w:ind w:left="286" w:hangingChars="130" w:hanging="286"/>
        <w:jc w:val="both"/>
        <w:rPr>
          <w:rFonts w:hAnsi="標楷體"/>
        </w:rPr>
      </w:pPr>
      <w:r w:rsidRPr="00AD4335">
        <w:rPr>
          <w:rStyle w:val="aff2"/>
          <w:rFonts w:hAnsi="標楷體"/>
        </w:rPr>
        <w:footnoteRef/>
      </w:r>
      <w:r w:rsidRPr="00AD4335">
        <w:rPr>
          <w:rFonts w:hAnsi="標楷體"/>
        </w:rPr>
        <w:t xml:space="preserve"> （原水合理價格-原水支付價格）×歷年平均購水量=（2.655元-0.52元）×3億348萬立方公尺=6億4,793萬元。</w:t>
      </w:r>
    </w:p>
  </w:footnote>
  <w:footnote w:id="43">
    <w:p w:rsidR="005F778A" w:rsidRPr="005F778A" w:rsidRDefault="005F778A" w:rsidP="00C92CB2">
      <w:pPr>
        <w:pStyle w:val="aff0"/>
        <w:wordWrap w:val="0"/>
        <w:topLinePunct/>
        <w:ind w:left="220" w:hangingChars="100" w:hanging="220"/>
        <w:jc w:val="both"/>
      </w:pPr>
      <w:r>
        <w:rPr>
          <w:rStyle w:val="aff2"/>
        </w:rPr>
        <w:footnoteRef/>
      </w:r>
      <w:r w:rsidRPr="00C92CB2">
        <w:rPr>
          <w:rFonts w:hAnsi="標楷體"/>
        </w:rPr>
        <w:t xml:space="preserve"> </w:t>
      </w:r>
      <w:r w:rsidRPr="00C92CB2">
        <w:rPr>
          <w:rFonts w:hAnsi="標楷體" w:hint="eastAsia"/>
        </w:rPr>
        <w:t>國家災害防救科技中心（NCDR）參考過去淹水災害的降雨特性，定義3小時累積降雨量達130毫米稱為「短延時致災降雨」</w:t>
      </w:r>
      <w:r w:rsidR="0055404C" w:rsidRPr="00C92CB2">
        <w:rPr>
          <w:rFonts w:hAnsi="標楷體" w:hint="eastAsia"/>
        </w:rPr>
        <w:t>。</w:t>
      </w:r>
      <w:r w:rsidR="00381439" w:rsidRPr="00C92CB2">
        <w:rPr>
          <w:rFonts w:hAnsi="標楷體" w:hint="eastAsia"/>
        </w:rPr>
        <w:t>取自</w:t>
      </w:r>
      <w:hyperlink r:id="rId2" w:history="1">
        <w:r w:rsidR="00C92CB2" w:rsidRPr="00C92CB2">
          <w:rPr>
            <w:rFonts w:hAnsi="標楷體" w:cs="Arial"/>
          </w:rPr>
          <w:t>http://www.ncdr.nat.gov.tw/upload/epaper/091.pdf</w:t>
        </w:r>
      </w:hyperlink>
      <w:r w:rsidR="00C92CB2">
        <w:rPr>
          <w:rFonts w:hAnsi="標楷體" w:cs="Arial" w:hint="eastAsia"/>
        </w:rPr>
        <w:t>。</w:t>
      </w:r>
      <w:r w:rsidR="00C92CB2" w:rsidRPr="00C92CB2">
        <w:rPr>
          <w:rFonts w:hAnsi="標楷體" w:hint="eastAsia"/>
        </w:rPr>
        <w:t>龔楚媖、于宜強、李宗融、林李耀（民101年4月）。短延時致災降雨事件分析。NCDR災害防救電子報，第81期</w:t>
      </w:r>
    </w:p>
  </w:footnote>
  <w:footnote w:id="44">
    <w:p w:rsidR="00586D6A" w:rsidRPr="00AD4335" w:rsidRDefault="00586D6A" w:rsidP="005C62F2">
      <w:pPr>
        <w:pStyle w:val="aff0"/>
        <w:topLinePunct/>
        <w:ind w:left="220" w:hangingChars="100" w:hanging="220"/>
        <w:rPr>
          <w:rFonts w:hAnsi="標楷體"/>
        </w:rPr>
      </w:pPr>
      <w:r w:rsidRPr="00AD4335">
        <w:rPr>
          <w:rStyle w:val="aff2"/>
          <w:rFonts w:hAnsi="標楷體"/>
        </w:rPr>
        <w:footnoteRef/>
      </w:r>
      <w:r w:rsidRPr="00AD4335">
        <w:rPr>
          <w:rFonts w:hAnsi="標楷體"/>
        </w:rPr>
        <w:t xml:space="preserve"> </w:t>
      </w:r>
      <w:r w:rsidRPr="00AD4335">
        <w:rPr>
          <w:rFonts w:hAnsi="標楷體" w:hint="eastAsia"/>
        </w:rPr>
        <w:t>據北水處回復資料，該處直潭、長興及公館淨水場依「超高濁度原水應變計畫」作業原則，於原水濁度小於6,000NTU時，將正常取水、供水；原水濁度介於6,000NTU至12,000NTU時，將減量取水與供水；原水濁度如大於12,000NTU時，則停止取水與供水。</w:t>
      </w:r>
    </w:p>
  </w:footnote>
  <w:footnote w:id="45">
    <w:p w:rsidR="00586D6A" w:rsidRPr="00AD4335" w:rsidRDefault="00586D6A" w:rsidP="005C62F2">
      <w:pPr>
        <w:pStyle w:val="aff0"/>
        <w:topLinePunct/>
        <w:ind w:left="220" w:hangingChars="100" w:hanging="220"/>
        <w:rPr>
          <w:rFonts w:hAnsi="標楷體"/>
        </w:rPr>
      </w:pPr>
      <w:r w:rsidRPr="00AD4335">
        <w:rPr>
          <w:rStyle w:val="aff2"/>
          <w:rFonts w:hAnsi="標楷體"/>
        </w:rPr>
        <w:footnoteRef/>
      </w:r>
      <w:r w:rsidRPr="00AD4335">
        <w:rPr>
          <w:rFonts w:hAnsi="標楷體"/>
        </w:rPr>
        <w:t xml:space="preserve"> </w:t>
      </w:r>
      <w:r w:rsidRPr="00AD4335">
        <w:rPr>
          <w:rFonts w:hAnsi="標楷體" w:hint="eastAsia"/>
        </w:rPr>
        <w:t>本院104年8月25日南勢溪上游集水區現場履勘時，經濟部中央地質調查所與會人員發言內容。</w:t>
      </w:r>
    </w:p>
  </w:footnote>
  <w:footnote w:id="46">
    <w:p w:rsidR="00586D6A" w:rsidRPr="0001718F" w:rsidRDefault="00586D6A" w:rsidP="005C62F2">
      <w:pPr>
        <w:pStyle w:val="aff0"/>
        <w:wordWrap w:val="0"/>
        <w:topLinePunct/>
        <w:ind w:left="220" w:hangingChars="100" w:hanging="220"/>
        <w:jc w:val="both"/>
      </w:pPr>
      <w:r>
        <w:rPr>
          <w:rStyle w:val="aff2"/>
        </w:rPr>
        <w:footnoteRef/>
      </w:r>
      <w:r>
        <w:t xml:space="preserve"> </w:t>
      </w:r>
      <w:r>
        <w:rPr>
          <w:rFonts w:hint="eastAsia"/>
        </w:rPr>
        <w:t>依照</w:t>
      </w:r>
      <w:r w:rsidRPr="0001718F">
        <w:rPr>
          <w:rFonts w:hAnsi="標楷體" w:hint="eastAsia"/>
        </w:rPr>
        <w:t>水利署用水統計年報統計</w:t>
      </w:r>
      <w:r>
        <w:rPr>
          <w:rFonts w:hAnsi="標楷體" w:hint="eastAsia"/>
        </w:rPr>
        <w:t>，</w:t>
      </w:r>
      <w:r w:rsidRPr="0001718F">
        <w:rPr>
          <w:rFonts w:hAnsi="標楷體" w:hint="eastAsia"/>
        </w:rPr>
        <w:t>近</w:t>
      </w:r>
      <w:r w:rsidRPr="0001718F">
        <w:rPr>
          <w:rFonts w:hAnsi="標楷體"/>
        </w:rPr>
        <w:t>10</w:t>
      </w:r>
      <w:r w:rsidRPr="0001718F">
        <w:rPr>
          <w:rFonts w:hAnsi="標楷體" w:hint="eastAsia"/>
        </w:rPr>
        <w:t>年（</w:t>
      </w:r>
      <w:r>
        <w:rPr>
          <w:rFonts w:hAnsi="標楷體"/>
        </w:rPr>
        <w:t>94</w:t>
      </w:r>
      <w:r>
        <w:rPr>
          <w:rFonts w:hAnsi="標楷體" w:hint="eastAsia"/>
        </w:rPr>
        <w:t>至</w:t>
      </w:r>
      <w:r w:rsidRPr="0001718F">
        <w:rPr>
          <w:rFonts w:hAnsi="標楷體"/>
        </w:rPr>
        <w:t>103</w:t>
      </w:r>
      <w:r w:rsidRPr="0001718F">
        <w:rPr>
          <w:rFonts w:hAnsi="標楷體" w:hint="eastAsia"/>
        </w:rPr>
        <w:t>年）農業用水之平均值約</w:t>
      </w:r>
      <w:r w:rsidRPr="0001718F">
        <w:rPr>
          <w:rFonts w:hAnsi="標楷體"/>
        </w:rPr>
        <w:t>128</w:t>
      </w:r>
      <w:r>
        <w:rPr>
          <w:rFonts w:hAnsi="標楷體" w:hint="eastAsia"/>
        </w:rPr>
        <w:t>億立方公尺，占</w:t>
      </w:r>
      <w:r w:rsidRPr="0001718F">
        <w:rPr>
          <w:rFonts w:hAnsi="標楷體" w:hint="eastAsia"/>
        </w:rPr>
        <w:t>總用水量</w:t>
      </w:r>
      <w:r w:rsidRPr="0001718F">
        <w:rPr>
          <w:rFonts w:hAnsi="標楷體"/>
        </w:rPr>
        <w:t>178</w:t>
      </w:r>
      <w:r>
        <w:rPr>
          <w:rFonts w:hAnsi="標楷體" w:hint="eastAsia"/>
        </w:rPr>
        <w:t>億立方公尺之</w:t>
      </w:r>
      <w:r w:rsidRPr="0001718F">
        <w:rPr>
          <w:rFonts w:hAnsi="標楷體"/>
        </w:rPr>
        <w:t>72%</w:t>
      </w:r>
      <w:r>
        <w:rPr>
          <w:rFonts w:hAnsi="標楷體" w:hint="eastAsia"/>
        </w:rPr>
        <w:t>，民生用水占</w:t>
      </w:r>
      <w:r w:rsidRPr="0001718F">
        <w:rPr>
          <w:rFonts w:hAnsi="標楷體"/>
        </w:rPr>
        <w:t>19%</w:t>
      </w:r>
      <w:r>
        <w:rPr>
          <w:rFonts w:hAnsi="標楷體" w:hint="eastAsia"/>
        </w:rPr>
        <w:t>、工業用水占</w:t>
      </w:r>
      <w:r w:rsidRPr="0001718F">
        <w:rPr>
          <w:rFonts w:hAnsi="標楷體"/>
        </w:rPr>
        <w:t>9%</w:t>
      </w:r>
      <w:r>
        <w:rPr>
          <w:rFonts w:hAnsi="標楷體" w:hint="eastAsia"/>
        </w:rPr>
        <w:t>。</w:t>
      </w:r>
    </w:p>
  </w:footnote>
  <w:footnote w:id="47">
    <w:p w:rsidR="00586D6A" w:rsidRPr="00AD4335" w:rsidRDefault="00586D6A" w:rsidP="005C62F2">
      <w:pPr>
        <w:pStyle w:val="aff0"/>
        <w:wordWrap w:val="0"/>
        <w:topLinePunct/>
        <w:ind w:left="220" w:hangingChars="100" w:hanging="220"/>
        <w:jc w:val="both"/>
        <w:rPr>
          <w:rFonts w:hAnsi="標楷體"/>
        </w:rPr>
      </w:pPr>
      <w:r w:rsidRPr="00AD4335">
        <w:rPr>
          <w:rStyle w:val="aff2"/>
          <w:rFonts w:hAnsi="標楷體"/>
        </w:rPr>
        <w:footnoteRef/>
      </w:r>
      <w:r w:rsidRPr="00AD4335">
        <w:rPr>
          <w:rFonts w:hAnsi="標楷體"/>
        </w:rPr>
        <w:t xml:space="preserve"> </w:t>
      </w:r>
      <w:r w:rsidRPr="00AD4335">
        <w:rPr>
          <w:rFonts w:hAnsi="標楷體" w:hint="eastAsia"/>
        </w:rPr>
        <w:t>農委會104年8月6日農水字第1040082868號函</w:t>
      </w:r>
      <w:r>
        <w:rPr>
          <w:rFonts w:hAnsi="標楷體" w:hint="eastAsia"/>
        </w:rPr>
        <w:t>，</w:t>
      </w:r>
      <w:r w:rsidRPr="00AD4335">
        <w:rPr>
          <w:rFonts w:hAnsi="標楷體" w:hint="eastAsia"/>
        </w:rPr>
        <w:t>及經濟部104年8月7日經授水字第10420210600號函。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950"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1F72ACC"/>
    <w:multiLevelType w:val="hybridMultilevel"/>
    <w:tmpl w:val="B5BA5482"/>
    <w:lvl w:ilvl="0" w:tplc="5204D11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15E8C1C8"/>
    <w:lvl w:ilvl="0" w:tplc="DA2A3F96">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outline w:val="0"/>
        <w:shadow w:val="0"/>
        <w:emboss w:val="0"/>
        <w:imprint w:val="0"/>
        <w:snapToGrid/>
        <w:vanish w:val="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6"/>
  </w:num>
  <w:num w:numId="5">
    <w:abstractNumId w:val="5"/>
  </w:num>
  <w:num w:numId="6">
    <w:abstractNumId w:val="2"/>
  </w:num>
  <w:num w:numId="7">
    <w:abstractNumId w:val="0"/>
  </w:num>
  <w:num w:numId="8">
    <w:abstractNumId w:val="7"/>
  </w:num>
  <w:num w:numId="9">
    <w:abstractNumId w:val="8"/>
  </w:num>
  <w:num w:numId="10">
    <w:abstractNumId w:val="4"/>
  </w:num>
  <w:num w:numId="11">
    <w:abstractNumId w:val="1"/>
  </w:num>
  <w:num w:numId="12">
    <w:abstractNumId w:val="6"/>
  </w:num>
  <w:num w:numId="13">
    <w:abstractNumId w:val="5"/>
  </w:num>
  <w:num w:numId="14">
    <w:abstractNumId w:val="2"/>
  </w:num>
  <w:num w:numId="15">
    <w:abstractNumId w:val="0"/>
  </w:num>
  <w:num w:numId="16">
    <w:abstractNumId w:val="7"/>
  </w:num>
  <w:num w:numId="17">
    <w:abstractNumId w:val="8"/>
  </w:num>
  <w:num w:numId="18">
    <w:abstractNumId w:val="4"/>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PersonalInformation/>
  <w:removeDateAndTime/>
  <w:displayBackgroundShape/>
  <w:mirrorMargins/>
  <w:bordersDoNotSurroundHeader/>
  <w:bordersDoNotSurroundFooter/>
  <w:hideSpellingErrors/>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61A"/>
    <w:rsid w:val="00001AE0"/>
    <w:rsid w:val="000022AF"/>
    <w:rsid w:val="00003855"/>
    <w:rsid w:val="00003E16"/>
    <w:rsid w:val="000042DA"/>
    <w:rsid w:val="00005F59"/>
    <w:rsid w:val="00006961"/>
    <w:rsid w:val="00006A86"/>
    <w:rsid w:val="000112BF"/>
    <w:rsid w:val="00012233"/>
    <w:rsid w:val="00013306"/>
    <w:rsid w:val="000136F7"/>
    <w:rsid w:val="00013A86"/>
    <w:rsid w:val="00015E7C"/>
    <w:rsid w:val="0001718F"/>
    <w:rsid w:val="00017318"/>
    <w:rsid w:val="00017824"/>
    <w:rsid w:val="0001795C"/>
    <w:rsid w:val="00017F75"/>
    <w:rsid w:val="0002053D"/>
    <w:rsid w:val="0002069E"/>
    <w:rsid w:val="000215BA"/>
    <w:rsid w:val="0002288F"/>
    <w:rsid w:val="0002304F"/>
    <w:rsid w:val="00023D6A"/>
    <w:rsid w:val="00023E4C"/>
    <w:rsid w:val="000246F7"/>
    <w:rsid w:val="000247D8"/>
    <w:rsid w:val="00025899"/>
    <w:rsid w:val="0003114D"/>
    <w:rsid w:val="00031323"/>
    <w:rsid w:val="000317BB"/>
    <w:rsid w:val="000327C5"/>
    <w:rsid w:val="00033D15"/>
    <w:rsid w:val="000346E7"/>
    <w:rsid w:val="00036D76"/>
    <w:rsid w:val="00037621"/>
    <w:rsid w:val="00037F61"/>
    <w:rsid w:val="00041682"/>
    <w:rsid w:val="00041FEF"/>
    <w:rsid w:val="00042004"/>
    <w:rsid w:val="0004202B"/>
    <w:rsid w:val="000431E5"/>
    <w:rsid w:val="00043BBC"/>
    <w:rsid w:val="000440D5"/>
    <w:rsid w:val="00044EFA"/>
    <w:rsid w:val="00044F5C"/>
    <w:rsid w:val="00045340"/>
    <w:rsid w:val="000469CC"/>
    <w:rsid w:val="000535E0"/>
    <w:rsid w:val="000554AB"/>
    <w:rsid w:val="00055721"/>
    <w:rsid w:val="00055B92"/>
    <w:rsid w:val="00055D68"/>
    <w:rsid w:val="00056ED0"/>
    <w:rsid w:val="000578E4"/>
    <w:rsid w:val="00057F32"/>
    <w:rsid w:val="00061877"/>
    <w:rsid w:val="00061BBF"/>
    <w:rsid w:val="00062A25"/>
    <w:rsid w:val="00063EBA"/>
    <w:rsid w:val="00064350"/>
    <w:rsid w:val="00064870"/>
    <w:rsid w:val="00064FC2"/>
    <w:rsid w:val="0006557C"/>
    <w:rsid w:val="0006629E"/>
    <w:rsid w:val="0006692B"/>
    <w:rsid w:val="000672CB"/>
    <w:rsid w:val="00067D34"/>
    <w:rsid w:val="0007009D"/>
    <w:rsid w:val="00070672"/>
    <w:rsid w:val="00070CC2"/>
    <w:rsid w:val="00070E2F"/>
    <w:rsid w:val="00071084"/>
    <w:rsid w:val="00071547"/>
    <w:rsid w:val="00071744"/>
    <w:rsid w:val="000717B2"/>
    <w:rsid w:val="000717C3"/>
    <w:rsid w:val="00071827"/>
    <w:rsid w:val="0007182E"/>
    <w:rsid w:val="00073CB5"/>
    <w:rsid w:val="0007425C"/>
    <w:rsid w:val="000749F0"/>
    <w:rsid w:val="00075C09"/>
    <w:rsid w:val="00077553"/>
    <w:rsid w:val="000807CD"/>
    <w:rsid w:val="0008096F"/>
    <w:rsid w:val="0008150B"/>
    <w:rsid w:val="0008198B"/>
    <w:rsid w:val="00081CB8"/>
    <w:rsid w:val="00084966"/>
    <w:rsid w:val="00084A72"/>
    <w:rsid w:val="000851A2"/>
    <w:rsid w:val="000854DE"/>
    <w:rsid w:val="000876E2"/>
    <w:rsid w:val="0008776E"/>
    <w:rsid w:val="00091084"/>
    <w:rsid w:val="00091DA0"/>
    <w:rsid w:val="00092114"/>
    <w:rsid w:val="0009352E"/>
    <w:rsid w:val="00093B25"/>
    <w:rsid w:val="00094560"/>
    <w:rsid w:val="00094EFA"/>
    <w:rsid w:val="000956DE"/>
    <w:rsid w:val="0009581D"/>
    <w:rsid w:val="000959AC"/>
    <w:rsid w:val="00095ED4"/>
    <w:rsid w:val="00096B96"/>
    <w:rsid w:val="00096EFF"/>
    <w:rsid w:val="0009753A"/>
    <w:rsid w:val="00097570"/>
    <w:rsid w:val="000A2E73"/>
    <w:rsid w:val="000A2F3F"/>
    <w:rsid w:val="000A307C"/>
    <w:rsid w:val="000A3442"/>
    <w:rsid w:val="000A44AE"/>
    <w:rsid w:val="000A462E"/>
    <w:rsid w:val="000A4D29"/>
    <w:rsid w:val="000A63C8"/>
    <w:rsid w:val="000A7A69"/>
    <w:rsid w:val="000B0352"/>
    <w:rsid w:val="000B041B"/>
    <w:rsid w:val="000B0B4A"/>
    <w:rsid w:val="000B1367"/>
    <w:rsid w:val="000B160C"/>
    <w:rsid w:val="000B279A"/>
    <w:rsid w:val="000B3966"/>
    <w:rsid w:val="000B4726"/>
    <w:rsid w:val="000B5F5F"/>
    <w:rsid w:val="000B61CE"/>
    <w:rsid w:val="000B61D2"/>
    <w:rsid w:val="000B6269"/>
    <w:rsid w:val="000B70A7"/>
    <w:rsid w:val="000B73DD"/>
    <w:rsid w:val="000C05A4"/>
    <w:rsid w:val="000C0E31"/>
    <w:rsid w:val="000C2A08"/>
    <w:rsid w:val="000C2E45"/>
    <w:rsid w:val="000C4272"/>
    <w:rsid w:val="000C4416"/>
    <w:rsid w:val="000C495F"/>
    <w:rsid w:val="000C7632"/>
    <w:rsid w:val="000D0518"/>
    <w:rsid w:val="000D06DF"/>
    <w:rsid w:val="000D0E83"/>
    <w:rsid w:val="000D1713"/>
    <w:rsid w:val="000D189C"/>
    <w:rsid w:val="000D25EC"/>
    <w:rsid w:val="000D2987"/>
    <w:rsid w:val="000D4F56"/>
    <w:rsid w:val="000D75A3"/>
    <w:rsid w:val="000D79F8"/>
    <w:rsid w:val="000D7F60"/>
    <w:rsid w:val="000E0060"/>
    <w:rsid w:val="000E13AE"/>
    <w:rsid w:val="000E1DE4"/>
    <w:rsid w:val="000E54E4"/>
    <w:rsid w:val="000E6431"/>
    <w:rsid w:val="000E6C5A"/>
    <w:rsid w:val="000F071B"/>
    <w:rsid w:val="000F0BAE"/>
    <w:rsid w:val="000F0DCD"/>
    <w:rsid w:val="000F0E34"/>
    <w:rsid w:val="000F149C"/>
    <w:rsid w:val="000F21A5"/>
    <w:rsid w:val="000F4C65"/>
    <w:rsid w:val="000F597B"/>
    <w:rsid w:val="000F6173"/>
    <w:rsid w:val="000F6E65"/>
    <w:rsid w:val="000F74AD"/>
    <w:rsid w:val="000F7FF7"/>
    <w:rsid w:val="001004E8"/>
    <w:rsid w:val="00100B18"/>
    <w:rsid w:val="001016CC"/>
    <w:rsid w:val="001019A6"/>
    <w:rsid w:val="00102B9F"/>
    <w:rsid w:val="00102EC7"/>
    <w:rsid w:val="00104A85"/>
    <w:rsid w:val="00105231"/>
    <w:rsid w:val="00105FFB"/>
    <w:rsid w:val="0011043C"/>
    <w:rsid w:val="00110943"/>
    <w:rsid w:val="001111C2"/>
    <w:rsid w:val="001116E7"/>
    <w:rsid w:val="001117F6"/>
    <w:rsid w:val="001124A3"/>
    <w:rsid w:val="00112637"/>
    <w:rsid w:val="00112764"/>
    <w:rsid w:val="00112ABC"/>
    <w:rsid w:val="00112B1F"/>
    <w:rsid w:val="00112BFF"/>
    <w:rsid w:val="00113551"/>
    <w:rsid w:val="001151FF"/>
    <w:rsid w:val="00115BFA"/>
    <w:rsid w:val="00115E71"/>
    <w:rsid w:val="0011628D"/>
    <w:rsid w:val="001173D7"/>
    <w:rsid w:val="0012001E"/>
    <w:rsid w:val="00120211"/>
    <w:rsid w:val="00120573"/>
    <w:rsid w:val="00120909"/>
    <w:rsid w:val="0012238D"/>
    <w:rsid w:val="00122E83"/>
    <w:rsid w:val="001247C7"/>
    <w:rsid w:val="00124EAB"/>
    <w:rsid w:val="001253C4"/>
    <w:rsid w:val="0012563A"/>
    <w:rsid w:val="00125FC8"/>
    <w:rsid w:val="0012633D"/>
    <w:rsid w:val="00126A55"/>
    <w:rsid w:val="00127FF3"/>
    <w:rsid w:val="0013054D"/>
    <w:rsid w:val="00130B0D"/>
    <w:rsid w:val="00130DB4"/>
    <w:rsid w:val="0013153D"/>
    <w:rsid w:val="001325CD"/>
    <w:rsid w:val="00133F08"/>
    <w:rsid w:val="001345E6"/>
    <w:rsid w:val="00135FDF"/>
    <w:rsid w:val="001378B0"/>
    <w:rsid w:val="00137D90"/>
    <w:rsid w:val="00140A2F"/>
    <w:rsid w:val="00141830"/>
    <w:rsid w:val="00141B78"/>
    <w:rsid w:val="00141F3A"/>
    <w:rsid w:val="00142C98"/>
    <w:rsid w:val="00142E00"/>
    <w:rsid w:val="001448C7"/>
    <w:rsid w:val="00146559"/>
    <w:rsid w:val="001465AC"/>
    <w:rsid w:val="001525A4"/>
    <w:rsid w:val="00152793"/>
    <w:rsid w:val="0015297F"/>
    <w:rsid w:val="00152ED7"/>
    <w:rsid w:val="001533CC"/>
    <w:rsid w:val="00153B7E"/>
    <w:rsid w:val="00153EA5"/>
    <w:rsid w:val="00154071"/>
    <w:rsid w:val="001541F7"/>
    <w:rsid w:val="001545A9"/>
    <w:rsid w:val="001559EE"/>
    <w:rsid w:val="00155B17"/>
    <w:rsid w:val="00155E6D"/>
    <w:rsid w:val="0015612C"/>
    <w:rsid w:val="00156171"/>
    <w:rsid w:val="001568EE"/>
    <w:rsid w:val="00156F33"/>
    <w:rsid w:val="001632E4"/>
    <w:rsid w:val="001637C7"/>
    <w:rsid w:val="0016446C"/>
    <w:rsid w:val="0016480E"/>
    <w:rsid w:val="00164BB4"/>
    <w:rsid w:val="0016550A"/>
    <w:rsid w:val="00165A2C"/>
    <w:rsid w:val="001667A2"/>
    <w:rsid w:val="00170E9A"/>
    <w:rsid w:val="00173C20"/>
    <w:rsid w:val="00174297"/>
    <w:rsid w:val="001743CA"/>
    <w:rsid w:val="00174B76"/>
    <w:rsid w:val="00174CBE"/>
    <w:rsid w:val="00176A37"/>
    <w:rsid w:val="001774C4"/>
    <w:rsid w:val="00180E06"/>
    <w:rsid w:val="00180FEA"/>
    <w:rsid w:val="001811FC"/>
    <w:rsid w:val="001817B3"/>
    <w:rsid w:val="00183014"/>
    <w:rsid w:val="0018584B"/>
    <w:rsid w:val="00185CBB"/>
    <w:rsid w:val="00186F79"/>
    <w:rsid w:val="001872EE"/>
    <w:rsid w:val="0018759A"/>
    <w:rsid w:val="00187678"/>
    <w:rsid w:val="0019067C"/>
    <w:rsid w:val="001906A8"/>
    <w:rsid w:val="0019086C"/>
    <w:rsid w:val="00190CB9"/>
    <w:rsid w:val="001910E4"/>
    <w:rsid w:val="00191921"/>
    <w:rsid w:val="00191C95"/>
    <w:rsid w:val="00192B26"/>
    <w:rsid w:val="00192D47"/>
    <w:rsid w:val="00194ADA"/>
    <w:rsid w:val="00194FF8"/>
    <w:rsid w:val="001959C2"/>
    <w:rsid w:val="00195A90"/>
    <w:rsid w:val="001960A1"/>
    <w:rsid w:val="0019675F"/>
    <w:rsid w:val="00196FA1"/>
    <w:rsid w:val="00197A6A"/>
    <w:rsid w:val="001A17BE"/>
    <w:rsid w:val="001A209A"/>
    <w:rsid w:val="001A26D9"/>
    <w:rsid w:val="001A33FA"/>
    <w:rsid w:val="001A3D3C"/>
    <w:rsid w:val="001A5181"/>
    <w:rsid w:val="001A51E3"/>
    <w:rsid w:val="001A6ACC"/>
    <w:rsid w:val="001A7107"/>
    <w:rsid w:val="001A7968"/>
    <w:rsid w:val="001A7CE3"/>
    <w:rsid w:val="001B08F9"/>
    <w:rsid w:val="001B13FC"/>
    <w:rsid w:val="001B2160"/>
    <w:rsid w:val="001B2691"/>
    <w:rsid w:val="001B2E98"/>
    <w:rsid w:val="001B3483"/>
    <w:rsid w:val="001B3C1E"/>
    <w:rsid w:val="001B3CB5"/>
    <w:rsid w:val="001B4494"/>
    <w:rsid w:val="001B46CC"/>
    <w:rsid w:val="001B4B20"/>
    <w:rsid w:val="001B5AFD"/>
    <w:rsid w:val="001B5C07"/>
    <w:rsid w:val="001B5F73"/>
    <w:rsid w:val="001B6024"/>
    <w:rsid w:val="001B70C6"/>
    <w:rsid w:val="001B77D4"/>
    <w:rsid w:val="001C09B0"/>
    <w:rsid w:val="001C0A12"/>
    <w:rsid w:val="001C0BDF"/>
    <w:rsid w:val="001C0D8B"/>
    <w:rsid w:val="001C0DA8"/>
    <w:rsid w:val="001C274C"/>
    <w:rsid w:val="001C2E11"/>
    <w:rsid w:val="001C4B83"/>
    <w:rsid w:val="001C54FC"/>
    <w:rsid w:val="001C7C48"/>
    <w:rsid w:val="001D0E89"/>
    <w:rsid w:val="001D2808"/>
    <w:rsid w:val="001D2DEB"/>
    <w:rsid w:val="001D3572"/>
    <w:rsid w:val="001D35EC"/>
    <w:rsid w:val="001D410C"/>
    <w:rsid w:val="001D4AD7"/>
    <w:rsid w:val="001D4D27"/>
    <w:rsid w:val="001D559B"/>
    <w:rsid w:val="001D6A22"/>
    <w:rsid w:val="001D74AE"/>
    <w:rsid w:val="001D7F6A"/>
    <w:rsid w:val="001E0D8A"/>
    <w:rsid w:val="001E1F42"/>
    <w:rsid w:val="001E2017"/>
    <w:rsid w:val="001E2BAB"/>
    <w:rsid w:val="001E3B82"/>
    <w:rsid w:val="001E634B"/>
    <w:rsid w:val="001E67BA"/>
    <w:rsid w:val="001E74C2"/>
    <w:rsid w:val="001E7C74"/>
    <w:rsid w:val="001E7CCC"/>
    <w:rsid w:val="001F0818"/>
    <w:rsid w:val="001F1009"/>
    <w:rsid w:val="001F10C9"/>
    <w:rsid w:val="001F185E"/>
    <w:rsid w:val="001F1974"/>
    <w:rsid w:val="001F1F6E"/>
    <w:rsid w:val="001F202E"/>
    <w:rsid w:val="001F4397"/>
    <w:rsid w:val="001F5065"/>
    <w:rsid w:val="001F5244"/>
    <w:rsid w:val="001F5A48"/>
    <w:rsid w:val="001F6260"/>
    <w:rsid w:val="001F68D3"/>
    <w:rsid w:val="001F716A"/>
    <w:rsid w:val="00200007"/>
    <w:rsid w:val="002003E7"/>
    <w:rsid w:val="002003E9"/>
    <w:rsid w:val="002012BE"/>
    <w:rsid w:val="00201E6D"/>
    <w:rsid w:val="00202456"/>
    <w:rsid w:val="00203090"/>
    <w:rsid w:val="002030A5"/>
    <w:rsid w:val="00203131"/>
    <w:rsid w:val="002042CE"/>
    <w:rsid w:val="002054ED"/>
    <w:rsid w:val="00206810"/>
    <w:rsid w:val="002069FC"/>
    <w:rsid w:val="0020764D"/>
    <w:rsid w:val="00210D18"/>
    <w:rsid w:val="00211ED9"/>
    <w:rsid w:val="00212E88"/>
    <w:rsid w:val="00213C9C"/>
    <w:rsid w:val="00213CA4"/>
    <w:rsid w:val="00215022"/>
    <w:rsid w:val="002160FA"/>
    <w:rsid w:val="002165FF"/>
    <w:rsid w:val="00217842"/>
    <w:rsid w:val="0022009E"/>
    <w:rsid w:val="002203D6"/>
    <w:rsid w:val="00221547"/>
    <w:rsid w:val="002216D8"/>
    <w:rsid w:val="00221990"/>
    <w:rsid w:val="00221FDB"/>
    <w:rsid w:val="00222743"/>
    <w:rsid w:val="00223241"/>
    <w:rsid w:val="00223E8F"/>
    <w:rsid w:val="0022425C"/>
    <w:rsid w:val="00224342"/>
    <w:rsid w:val="002246DE"/>
    <w:rsid w:val="00225416"/>
    <w:rsid w:val="0022546F"/>
    <w:rsid w:val="00225AB1"/>
    <w:rsid w:val="00226764"/>
    <w:rsid w:val="0023080B"/>
    <w:rsid w:val="00230A7F"/>
    <w:rsid w:val="00230AF7"/>
    <w:rsid w:val="00231886"/>
    <w:rsid w:val="00232AE5"/>
    <w:rsid w:val="00232C83"/>
    <w:rsid w:val="002337EB"/>
    <w:rsid w:val="002338F1"/>
    <w:rsid w:val="00233A4A"/>
    <w:rsid w:val="00235673"/>
    <w:rsid w:val="0023634D"/>
    <w:rsid w:val="002378E5"/>
    <w:rsid w:val="00240623"/>
    <w:rsid w:val="00241120"/>
    <w:rsid w:val="00241388"/>
    <w:rsid w:val="00241514"/>
    <w:rsid w:val="002415F6"/>
    <w:rsid w:val="00241C03"/>
    <w:rsid w:val="002426BC"/>
    <w:rsid w:val="0024365A"/>
    <w:rsid w:val="00245049"/>
    <w:rsid w:val="00245ABC"/>
    <w:rsid w:val="00246D89"/>
    <w:rsid w:val="00247E77"/>
    <w:rsid w:val="002517E9"/>
    <w:rsid w:val="00251CF2"/>
    <w:rsid w:val="00252B37"/>
    <w:rsid w:val="00252BC4"/>
    <w:rsid w:val="00252CE3"/>
    <w:rsid w:val="0025338D"/>
    <w:rsid w:val="00253839"/>
    <w:rsid w:val="00254014"/>
    <w:rsid w:val="00254576"/>
    <w:rsid w:val="00254600"/>
    <w:rsid w:val="00255042"/>
    <w:rsid w:val="0025661C"/>
    <w:rsid w:val="002568BD"/>
    <w:rsid w:val="00260CEF"/>
    <w:rsid w:val="00260E6E"/>
    <w:rsid w:val="0026277A"/>
    <w:rsid w:val="00263849"/>
    <w:rsid w:val="00263EBB"/>
    <w:rsid w:val="00263F66"/>
    <w:rsid w:val="0026504D"/>
    <w:rsid w:val="00265319"/>
    <w:rsid w:val="002653DC"/>
    <w:rsid w:val="00265C2E"/>
    <w:rsid w:val="0026789C"/>
    <w:rsid w:val="00270281"/>
    <w:rsid w:val="00270D86"/>
    <w:rsid w:val="00270E58"/>
    <w:rsid w:val="00270FAC"/>
    <w:rsid w:val="00271953"/>
    <w:rsid w:val="00272420"/>
    <w:rsid w:val="00272B90"/>
    <w:rsid w:val="00273A2F"/>
    <w:rsid w:val="00274E9E"/>
    <w:rsid w:val="00275096"/>
    <w:rsid w:val="0027598D"/>
    <w:rsid w:val="00275A1C"/>
    <w:rsid w:val="00276C05"/>
    <w:rsid w:val="0027761B"/>
    <w:rsid w:val="00277F14"/>
    <w:rsid w:val="00280986"/>
    <w:rsid w:val="002811A0"/>
    <w:rsid w:val="00281ECE"/>
    <w:rsid w:val="002831C7"/>
    <w:rsid w:val="002840C6"/>
    <w:rsid w:val="00285AB7"/>
    <w:rsid w:val="002863E1"/>
    <w:rsid w:val="00286541"/>
    <w:rsid w:val="00286B38"/>
    <w:rsid w:val="00290B9D"/>
    <w:rsid w:val="00290FFD"/>
    <w:rsid w:val="00291FB7"/>
    <w:rsid w:val="00292155"/>
    <w:rsid w:val="00292D32"/>
    <w:rsid w:val="00293867"/>
    <w:rsid w:val="00293D0C"/>
    <w:rsid w:val="00295174"/>
    <w:rsid w:val="00295A63"/>
    <w:rsid w:val="00296172"/>
    <w:rsid w:val="00296632"/>
    <w:rsid w:val="00296B92"/>
    <w:rsid w:val="00297734"/>
    <w:rsid w:val="002A1030"/>
    <w:rsid w:val="002A10CF"/>
    <w:rsid w:val="002A1D2E"/>
    <w:rsid w:val="002A2C22"/>
    <w:rsid w:val="002A40EE"/>
    <w:rsid w:val="002A477F"/>
    <w:rsid w:val="002A4FD1"/>
    <w:rsid w:val="002A52E0"/>
    <w:rsid w:val="002A5C7B"/>
    <w:rsid w:val="002A7050"/>
    <w:rsid w:val="002A7E30"/>
    <w:rsid w:val="002B02EB"/>
    <w:rsid w:val="002B19B0"/>
    <w:rsid w:val="002B2437"/>
    <w:rsid w:val="002B2597"/>
    <w:rsid w:val="002B422B"/>
    <w:rsid w:val="002B4F38"/>
    <w:rsid w:val="002B5340"/>
    <w:rsid w:val="002C0481"/>
    <w:rsid w:val="002C0602"/>
    <w:rsid w:val="002C093B"/>
    <w:rsid w:val="002C118D"/>
    <w:rsid w:val="002C16F7"/>
    <w:rsid w:val="002C1B86"/>
    <w:rsid w:val="002C2323"/>
    <w:rsid w:val="002C32D6"/>
    <w:rsid w:val="002C360F"/>
    <w:rsid w:val="002C3707"/>
    <w:rsid w:val="002C4065"/>
    <w:rsid w:val="002C4E10"/>
    <w:rsid w:val="002C7CBA"/>
    <w:rsid w:val="002D1CB3"/>
    <w:rsid w:val="002D220E"/>
    <w:rsid w:val="002D318B"/>
    <w:rsid w:val="002D3C8C"/>
    <w:rsid w:val="002D52D4"/>
    <w:rsid w:val="002D5C16"/>
    <w:rsid w:val="002D5E4A"/>
    <w:rsid w:val="002D7FB5"/>
    <w:rsid w:val="002E000A"/>
    <w:rsid w:val="002E12D1"/>
    <w:rsid w:val="002E1477"/>
    <w:rsid w:val="002E2827"/>
    <w:rsid w:val="002E284C"/>
    <w:rsid w:val="002E3A23"/>
    <w:rsid w:val="002E4409"/>
    <w:rsid w:val="002E4C8A"/>
    <w:rsid w:val="002E7063"/>
    <w:rsid w:val="002E72BC"/>
    <w:rsid w:val="002F13C5"/>
    <w:rsid w:val="002F3DFF"/>
    <w:rsid w:val="002F3F05"/>
    <w:rsid w:val="002F421A"/>
    <w:rsid w:val="002F49CC"/>
    <w:rsid w:val="002F4F9A"/>
    <w:rsid w:val="002F5C2F"/>
    <w:rsid w:val="002F5E05"/>
    <w:rsid w:val="002F6702"/>
    <w:rsid w:val="002F7DAA"/>
    <w:rsid w:val="002F7DF0"/>
    <w:rsid w:val="003000F0"/>
    <w:rsid w:val="003032E9"/>
    <w:rsid w:val="00303F53"/>
    <w:rsid w:val="003042B3"/>
    <w:rsid w:val="0030436E"/>
    <w:rsid w:val="0030635C"/>
    <w:rsid w:val="00307043"/>
    <w:rsid w:val="00307C9C"/>
    <w:rsid w:val="0031045A"/>
    <w:rsid w:val="0031053E"/>
    <w:rsid w:val="00310642"/>
    <w:rsid w:val="00311182"/>
    <w:rsid w:val="00312414"/>
    <w:rsid w:val="00312953"/>
    <w:rsid w:val="00313365"/>
    <w:rsid w:val="00313BD9"/>
    <w:rsid w:val="00314026"/>
    <w:rsid w:val="00315A16"/>
    <w:rsid w:val="00315A1B"/>
    <w:rsid w:val="0031640E"/>
    <w:rsid w:val="00316BAB"/>
    <w:rsid w:val="00317031"/>
    <w:rsid w:val="00317053"/>
    <w:rsid w:val="003176F9"/>
    <w:rsid w:val="003178B6"/>
    <w:rsid w:val="0032109C"/>
    <w:rsid w:val="003212C2"/>
    <w:rsid w:val="003216DB"/>
    <w:rsid w:val="00321DCF"/>
    <w:rsid w:val="00322B45"/>
    <w:rsid w:val="00323809"/>
    <w:rsid w:val="00323D41"/>
    <w:rsid w:val="00324A33"/>
    <w:rsid w:val="00325414"/>
    <w:rsid w:val="00325A7B"/>
    <w:rsid w:val="0032683F"/>
    <w:rsid w:val="0033000D"/>
    <w:rsid w:val="003302F1"/>
    <w:rsid w:val="00330300"/>
    <w:rsid w:val="00330512"/>
    <w:rsid w:val="003305F7"/>
    <w:rsid w:val="00331021"/>
    <w:rsid w:val="003311F1"/>
    <w:rsid w:val="00332C53"/>
    <w:rsid w:val="0033505E"/>
    <w:rsid w:val="0033653E"/>
    <w:rsid w:val="00336679"/>
    <w:rsid w:val="003401ED"/>
    <w:rsid w:val="00340837"/>
    <w:rsid w:val="00340D3F"/>
    <w:rsid w:val="00341FCF"/>
    <w:rsid w:val="003424E1"/>
    <w:rsid w:val="00342BC4"/>
    <w:rsid w:val="0034345B"/>
    <w:rsid w:val="00343E17"/>
    <w:rsid w:val="0034470E"/>
    <w:rsid w:val="00344A94"/>
    <w:rsid w:val="00344DB5"/>
    <w:rsid w:val="003452D3"/>
    <w:rsid w:val="0034663E"/>
    <w:rsid w:val="00347212"/>
    <w:rsid w:val="00350337"/>
    <w:rsid w:val="00350D8D"/>
    <w:rsid w:val="00350F76"/>
    <w:rsid w:val="0035115B"/>
    <w:rsid w:val="003523A1"/>
    <w:rsid w:val="00352DB0"/>
    <w:rsid w:val="003547DB"/>
    <w:rsid w:val="00354B61"/>
    <w:rsid w:val="003574B5"/>
    <w:rsid w:val="00357BEE"/>
    <w:rsid w:val="00357D61"/>
    <w:rsid w:val="003604B3"/>
    <w:rsid w:val="00361063"/>
    <w:rsid w:val="00361D5A"/>
    <w:rsid w:val="003620D1"/>
    <w:rsid w:val="00362D37"/>
    <w:rsid w:val="00364D92"/>
    <w:rsid w:val="0036506A"/>
    <w:rsid w:val="003650BE"/>
    <w:rsid w:val="00365A76"/>
    <w:rsid w:val="00367878"/>
    <w:rsid w:val="0037046E"/>
    <w:rsid w:val="0037094A"/>
    <w:rsid w:val="00370BAD"/>
    <w:rsid w:val="00370BC0"/>
    <w:rsid w:val="00371ED3"/>
    <w:rsid w:val="0037244A"/>
    <w:rsid w:val="00372A66"/>
    <w:rsid w:val="00372B0A"/>
    <w:rsid w:val="00372FFC"/>
    <w:rsid w:val="0037326E"/>
    <w:rsid w:val="003732C8"/>
    <w:rsid w:val="003737A0"/>
    <w:rsid w:val="00373D1E"/>
    <w:rsid w:val="00373E24"/>
    <w:rsid w:val="00373E69"/>
    <w:rsid w:val="00375B08"/>
    <w:rsid w:val="00375FEE"/>
    <w:rsid w:val="003761C4"/>
    <w:rsid w:val="00377114"/>
    <w:rsid w:val="0037728A"/>
    <w:rsid w:val="00380B7D"/>
    <w:rsid w:val="00380EA9"/>
    <w:rsid w:val="00380F03"/>
    <w:rsid w:val="00381439"/>
    <w:rsid w:val="00381A99"/>
    <w:rsid w:val="003829C2"/>
    <w:rsid w:val="003830B2"/>
    <w:rsid w:val="003831DA"/>
    <w:rsid w:val="003834F1"/>
    <w:rsid w:val="003835EC"/>
    <w:rsid w:val="003837C9"/>
    <w:rsid w:val="00384566"/>
    <w:rsid w:val="00384724"/>
    <w:rsid w:val="00384E4F"/>
    <w:rsid w:val="00385AC7"/>
    <w:rsid w:val="00385BD5"/>
    <w:rsid w:val="00386945"/>
    <w:rsid w:val="00386B88"/>
    <w:rsid w:val="00386CB3"/>
    <w:rsid w:val="00387ED0"/>
    <w:rsid w:val="00390102"/>
    <w:rsid w:val="00390499"/>
    <w:rsid w:val="00390E96"/>
    <w:rsid w:val="003919B7"/>
    <w:rsid w:val="00391D57"/>
    <w:rsid w:val="00392292"/>
    <w:rsid w:val="00393679"/>
    <w:rsid w:val="00393F04"/>
    <w:rsid w:val="0039425E"/>
    <w:rsid w:val="00395232"/>
    <w:rsid w:val="003952AB"/>
    <w:rsid w:val="003960C3"/>
    <w:rsid w:val="003962FF"/>
    <w:rsid w:val="003971EE"/>
    <w:rsid w:val="00397603"/>
    <w:rsid w:val="003A0913"/>
    <w:rsid w:val="003A0936"/>
    <w:rsid w:val="003A0BEF"/>
    <w:rsid w:val="003A0DD6"/>
    <w:rsid w:val="003A1EC5"/>
    <w:rsid w:val="003A38AC"/>
    <w:rsid w:val="003A3D9B"/>
    <w:rsid w:val="003A4325"/>
    <w:rsid w:val="003A4AD5"/>
    <w:rsid w:val="003A4F78"/>
    <w:rsid w:val="003A4FA8"/>
    <w:rsid w:val="003A5927"/>
    <w:rsid w:val="003A5F8A"/>
    <w:rsid w:val="003A673A"/>
    <w:rsid w:val="003A6760"/>
    <w:rsid w:val="003A73DD"/>
    <w:rsid w:val="003B0295"/>
    <w:rsid w:val="003B0352"/>
    <w:rsid w:val="003B1017"/>
    <w:rsid w:val="003B11BD"/>
    <w:rsid w:val="003B1ECC"/>
    <w:rsid w:val="003B21F1"/>
    <w:rsid w:val="003B254C"/>
    <w:rsid w:val="003B2CB2"/>
    <w:rsid w:val="003B2E57"/>
    <w:rsid w:val="003B390C"/>
    <w:rsid w:val="003B3C07"/>
    <w:rsid w:val="003B3EC3"/>
    <w:rsid w:val="003B52B7"/>
    <w:rsid w:val="003B547C"/>
    <w:rsid w:val="003B56B7"/>
    <w:rsid w:val="003B56E6"/>
    <w:rsid w:val="003B5C00"/>
    <w:rsid w:val="003B6775"/>
    <w:rsid w:val="003B6AC7"/>
    <w:rsid w:val="003B6F5D"/>
    <w:rsid w:val="003B71E7"/>
    <w:rsid w:val="003B7D7E"/>
    <w:rsid w:val="003C0E06"/>
    <w:rsid w:val="003C4948"/>
    <w:rsid w:val="003C4F38"/>
    <w:rsid w:val="003C5827"/>
    <w:rsid w:val="003C5FE2"/>
    <w:rsid w:val="003D05FB"/>
    <w:rsid w:val="003D1176"/>
    <w:rsid w:val="003D1697"/>
    <w:rsid w:val="003D1B16"/>
    <w:rsid w:val="003D2C4A"/>
    <w:rsid w:val="003D43B8"/>
    <w:rsid w:val="003D45BF"/>
    <w:rsid w:val="003D48C0"/>
    <w:rsid w:val="003D4F31"/>
    <w:rsid w:val="003D508A"/>
    <w:rsid w:val="003D537F"/>
    <w:rsid w:val="003D62B1"/>
    <w:rsid w:val="003D6495"/>
    <w:rsid w:val="003D78F3"/>
    <w:rsid w:val="003D7B75"/>
    <w:rsid w:val="003E0208"/>
    <w:rsid w:val="003E04D9"/>
    <w:rsid w:val="003E11BA"/>
    <w:rsid w:val="003E1F5F"/>
    <w:rsid w:val="003E2269"/>
    <w:rsid w:val="003E2A3B"/>
    <w:rsid w:val="003E3690"/>
    <w:rsid w:val="003E4872"/>
    <w:rsid w:val="003E4ABB"/>
    <w:rsid w:val="003E4B57"/>
    <w:rsid w:val="003E5DC1"/>
    <w:rsid w:val="003E637A"/>
    <w:rsid w:val="003E6537"/>
    <w:rsid w:val="003E708C"/>
    <w:rsid w:val="003E769C"/>
    <w:rsid w:val="003F1773"/>
    <w:rsid w:val="003F27E1"/>
    <w:rsid w:val="003F2878"/>
    <w:rsid w:val="003F3712"/>
    <w:rsid w:val="003F3DA3"/>
    <w:rsid w:val="003F437A"/>
    <w:rsid w:val="003F5C2B"/>
    <w:rsid w:val="003F6A7C"/>
    <w:rsid w:val="004003E9"/>
    <w:rsid w:val="0040043D"/>
    <w:rsid w:val="00400976"/>
    <w:rsid w:val="00401C8F"/>
    <w:rsid w:val="00401DC3"/>
    <w:rsid w:val="004023E9"/>
    <w:rsid w:val="00403573"/>
    <w:rsid w:val="00403799"/>
    <w:rsid w:val="00403ECB"/>
    <w:rsid w:val="0040454A"/>
    <w:rsid w:val="0040459D"/>
    <w:rsid w:val="004051A1"/>
    <w:rsid w:val="00405750"/>
    <w:rsid w:val="00406858"/>
    <w:rsid w:val="00410D77"/>
    <w:rsid w:val="0041215E"/>
    <w:rsid w:val="00412A28"/>
    <w:rsid w:val="00413F83"/>
    <w:rsid w:val="00414320"/>
    <w:rsid w:val="0041490C"/>
    <w:rsid w:val="004154CC"/>
    <w:rsid w:val="00416191"/>
    <w:rsid w:val="004164CF"/>
    <w:rsid w:val="00416721"/>
    <w:rsid w:val="00416A9E"/>
    <w:rsid w:val="00420566"/>
    <w:rsid w:val="00420C92"/>
    <w:rsid w:val="00420D2D"/>
    <w:rsid w:val="00421EF0"/>
    <w:rsid w:val="00422465"/>
    <w:rsid w:val="004224FA"/>
    <w:rsid w:val="004234C9"/>
    <w:rsid w:val="00423725"/>
    <w:rsid w:val="00423D07"/>
    <w:rsid w:val="00424191"/>
    <w:rsid w:val="00424A3F"/>
    <w:rsid w:val="00425532"/>
    <w:rsid w:val="0042556A"/>
    <w:rsid w:val="00425C83"/>
    <w:rsid w:val="00426A4B"/>
    <w:rsid w:val="00426F0E"/>
    <w:rsid w:val="00426F3D"/>
    <w:rsid w:val="004277F4"/>
    <w:rsid w:val="00427A24"/>
    <w:rsid w:val="00427A87"/>
    <w:rsid w:val="00427C76"/>
    <w:rsid w:val="00427F5E"/>
    <w:rsid w:val="00430BD4"/>
    <w:rsid w:val="00430F3A"/>
    <w:rsid w:val="00431401"/>
    <w:rsid w:val="0043154C"/>
    <w:rsid w:val="00431979"/>
    <w:rsid w:val="00432544"/>
    <w:rsid w:val="004329D6"/>
    <w:rsid w:val="004340C7"/>
    <w:rsid w:val="00435FFC"/>
    <w:rsid w:val="00436BE8"/>
    <w:rsid w:val="00437502"/>
    <w:rsid w:val="00440A10"/>
    <w:rsid w:val="0044151E"/>
    <w:rsid w:val="0044165B"/>
    <w:rsid w:val="004419A8"/>
    <w:rsid w:val="00442935"/>
    <w:rsid w:val="00442A9A"/>
    <w:rsid w:val="00443264"/>
    <w:rsid w:val="0044346F"/>
    <w:rsid w:val="00444312"/>
    <w:rsid w:val="00444C65"/>
    <w:rsid w:val="00444CF7"/>
    <w:rsid w:val="00445595"/>
    <w:rsid w:val="00445615"/>
    <w:rsid w:val="0044590F"/>
    <w:rsid w:val="00447A75"/>
    <w:rsid w:val="00450942"/>
    <w:rsid w:val="004513E2"/>
    <w:rsid w:val="00451DD0"/>
    <w:rsid w:val="00452A5B"/>
    <w:rsid w:val="00452C61"/>
    <w:rsid w:val="0045414C"/>
    <w:rsid w:val="00454428"/>
    <w:rsid w:val="00454E27"/>
    <w:rsid w:val="00454EFC"/>
    <w:rsid w:val="004552DF"/>
    <w:rsid w:val="00455604"/>
    <w:rsid w:val="004609BC"/>
    <w:rsid w:val="004610ED"/>
    <w:rsid w:val="00462602"/>
    <w:rsid w:val="0046359B"/>
    <w:rsid w:val="004639AB"/>
    <w:rsid w:val="00464139"/>
    <w:rsid w:val="004647D3"/>
    <w:rsid w:val="0046520A"/>
    <w:rsid w:val="004672AB"/>
    <w:rsid w:val="0047082F"/>
    <w:rsid w:val="00470C42"/>
    <w:rsid w:val="004714FE"/>
    <w:rsid w:val="00471E1E"/>
    <w:rsid w:val="00471E47"/>
    <w:rsid w:val="00472009"/>
    <w:rsid w:val="00473050"/>
    <w:rsid w:val="00475512"/>
    <w:rsid w:val="00475EAD"/>
    <w:rsid w:val="0047645F"/>
    <w:rsid w:val="004765BD"/>
    <w:rsid w:val="004771BE"/>
    <w:rsid w:val="00477BAA"/>
    <w:rsid w:val="00477EE9"/>
    <w:rsid w:val="00481AAC"/>
    <w:rsid w:val="0048240F"/>
    <w:rsid w:val="004838EB"/>
    <w:rsid w:val="004867F6"/>
    <w:rsid w:val="0048767A"/>
    <w:rsid w:val="00487F98"/>
    <w:rsid w:val="004903BE"/>
    <w:rsid w:val="00490546"/>
    <w:rsid w:val="00491429"/>
    <w:rsid w:val="00491BC7"/>
    <w:rsid w:val="00491E0F"/>
    <w:rsid w:val="00491EAC"/>
    <w:rsid w:val="00492A46"/>
    <w:rsid w:val="00493F8C"/>
    <w:rsid w:val="00493FC6"/>
    <w:rsid w:val="00494057"/>
    <w:rsid w:val="004945BC"/>
    <w:rsid w:val="004946F7"/>
    <w:rsid w:val="00495053"/>
    <w:rsid w:val="004A0CD8"/>
    <w:rsid w:val="004A1F59"/>
    <w:rsid w:val="004A2067"/>
    <w:rsid w:val="004A2528"/>
    <w:rsid w:val="004A29BE"/>
    <w:rsid w:val="004A2AD5"/>
    <w:rsid w:val="004A2C0C"/>
    <w:rsid w:val="004A3225"/>
    <w:rsid w:val="004A33EE"/>
    <w:rsid w:val="004A3AA8"/>
    <w:rsid w:val="004A66E9"/>
    <w:rsid w:val="004A7204"/>
    <w:rsid w:val="004A7538"/>
    <w:rsid w:val="004A758F"/>
    <w:rsid w:val="004B083E"/>
    <w:rsid w:val="004B13C7"/>
    <w:rsid w:val="004B2B4D"/>
    <w:rsid w:val="004B36EF"/>
    <w:rsid w:val="004B37F9"/>
    <w:rsid w:val="004B3893"/>
    <w:rsid w:val="004B395E"/>
    <w:rsid w:val="004B53A7"/>
    <w:rsid w:val="004B57F0"/>
    <w:rsid w:val="004B778F"/>
    <w:rsid w:val="004B7EDF"/>
    <w:rsid w:val="004C0212"/>
    <w:rsid w:val="004C0CF2"/>
    <w:rsid w:val="004C18CA"/>
    <w:rsid w:val="004C20AC"/>
    <w:rsid w:val="004C293D"/>
    <w:rsid w:val="004C2C1A"/>
    <w:rsid w:val="004C31F4"/>
    <w:rsid w:val="004C3509"/>
    <w:rsid w:val="004C355C"/>
    <w:rsid w:val="004C3C9E"/>
    <w:rsid w:val="004C5D94"/>
    <w:rsid w:val="004C5EF1"/>
    <w:rsid w:val="004C637D"/>
    <w:rsid w:val="004C679D"/>
    <w:rsid w:val="004C7902"/>
    <w:rsid w:val="004D0906"/>
    <w:rsid w:val="004D09D3"/>
    <w:rsid w:val="004D141F"/>
    <w:rsid w:val="004D166D"/>
    <w:rsid w:val="004D210C"/>
    <w:rsid w:val="004D2742"/>
    <w:rsid w:val="004D279D"/>
    <w:rsid w:val="004D29EE"/>
    <w:rsid w:val="004D4DBC"/>
    <w:rsid w:val="004D5266"/>
    <w:rsid w:val="004D56A6"/>
    <w:rsid w:val="004D6310"/>
    <w:rsid w:val="004E0062"/>
    <w:rsid w:val="004E05A1"/>
    <w:rsid w:val="004E0FA0"/>
    <w:rsid w:val="004E291A"/>
    <w:rsid w:val="004E3675"/>
    <w:rsid w:val="004E3916"/>
    <w:rsid w:val="004E428D"/>
    <w:rsid w:val="004E491A"/>
    <w:rsid w:val="004E4BF6"/>
    <w:rsid w:val="004E5620"/>
    <w:rsid w:val="004E62CB"/>
    <w:rsid w:val="004F190B"/>
    <w:rsid w:val="004F244D"/>
    <w:rsid w:val="004F28D9"/>
    <w:rsid w:val="004F2AEB"/>
    <w:rsid w:val="004F3089"/>
    <w:rsid w:val="004F3BAD"/>
    <w:rsid w:val="004F4DFA"/>
    <w:rsid w:val="004F5E57"/>
    <w:rsid w:val="004F66C4"/>
    <w:rsid w:val="004F6710"/>
    <w:rsid w:val="004F6F80"/>
    <w:rsid w:val="004F7B12"/>
    <w:rsid w:val="004F7EAE"/>
    <w:rsid w:val="00500C3E"/>
    <w:rsid w:val="00501FE4"/>
    <w:rsid w:val="00502299"/>
    <w:rsid w:val="00502849"/>
    <w:rsid w:val="00502FE7"/>
    <w:rsid w:val="00504334"/>
    <w:rsid w:val="00504465"/>
    <w:rsid w:val="00504489"/>
    <w:rsid w:val="00504668"/>
    <w:rsid w:val="0050498D"/>
    <w:rsid w:val="00504C0F"/>
    <w:rsid w:val="00504CCA"/>
    <w:rsid w:val="00504CEF"/>
    <w:rsid w:val="00504E13"/>
    <w:rsid w:val="00505A93"/>
    <w:rsid w:val="00505FC7"/>
    <w:rsid w:val="0050604B"/>
    <w:rsid w:val="00506BB4"/>
    <w:rsid w:val="00506EAC"/>
    <w:rsid w:val="00506FC6"/>
    <w:rsid w:val="005076A4"/>
    <w:rsid w:val="0050779E"/>
    <w:rsid w:val="00507A20"/>
    <w:rsid w:val="00510026"/>
    <w:rsid w:val="005104D7"/>
    <w:rsid w:val="00510B9E"/>
    <w:rsid w:val="0051125C"/>
    <w:rsid w:val="00511F00"/>
    <w:rsid w:val="005141F3"/>
    <w:rsid w:val="005149E6"/>
    <w:rsid w:val="005152B7"/>
    <w:rsid w:val="005170FC"/>
    <w:rsid w:val="00520EF6"/>
    <w:rsid w:val="005217D8"/>
    <w:rsid w:val="00521BF6"/>
    <w:rsid w:val="00522251"/>
    <w:rsid w:val="00524317"/>
    <w:rsid w:val="0052431A"/>
    <w:rsid w:val="00524C39"/>
    <w:rsid w:val="005255A7"/>
    <w:rsid w:val="005267F8"/>
    <w:rsid w:val="00526EAF"/>
    <w:rsid w:val="00527A2F"/>
    <w:rsid w:val="00530F07"/>
    <w:rsid w:val="00532DE6"/>
    <w:rsid w:val="00533D5B"/>
    <w:rsid w:val="00534729"/>
    <w:rsid w:val="005354F6"/>
    <w:rsid w:val="00535BE3"/>
    <w:rsid w:val="00536BC2"/>
    <w:rsid w:val="0053714E"/>
    <w:rsid w:val="0053718D"/>
    <w:rsid w:val="00537598"/>
    <w:rsid w:val="00537670"/>
    <w:rsid w:val="00537AD7"/>
    <w:rsid w:val="005409E6"/>
    <w:rsid w:val="005422AA"/>
    <w:rsid w:val="005425E1"/>
    <w:rsid w:val="005427C5"/>
    <w:rsid w:val="00542CF6"/>
    <w:rsid w:val="00542DCC"/>
    <w:rsid w:val="0054492D"/>
    <w:rsid w:val="00544D98"/>
    <w:rsid w:val="00545AA7"/>
    <w:rsid w:val="00546021"/>
    <w:rsid w:val="005461DD"/>
    <w:rsid w:val="0054687D"/>
    <w:rsid w:val="00550435"/>
    <w:rsid w:val="005507AB"/>
    <w:rsid w:val="00551A57"/>
    <w:rsid w:val="005528C7"/>
    <w:rsid w:val="00552FC8"/>
    <w:rsid w:val="00553C03"/>
    <w:rsid w:val="0055404C"/>
    <w:rsid w:val="00554A95"/>
    <w:rsid w:val="00555CD7"/>
    <w:rsid w:val="00560730"/>
    <w:rsid w:val="00560865"/>
    <w:rsid w:val="0056169D"/>
    <w:rsid w:val="00563020"/>
    <w:rsid w:val="00563355"/>
    <w:rsid w:val="0056360A"/>
    <w:rsid w:val="00563692"/>
    <w:rsid w:val="00563A6E"/>
    <w:rsid w:val="00565179"/>
    <w:rsid w:val="00565360"/>
    <w:rsid w:val="00567049"/>
    <w:rsid w:val="00567470"/>
    <w:rsid w:val="005677CB"/>
    <w:rsid w:val="00567C2A"/>
    <w:rsid w:val="00571679"/>
    <w:rsid w:val="00571B9C"/>
    <w:rsid w:val="005729D5"/>
    <w:rsid w:val="00572DF3"/>
    <w:rsid w:val="00572EEB"/>
    <w:rsid w:val="00575261"/>
    <w:rsid w:val="005759E4"/>
    <w:rsid w:val="00576146"/>
    <w:rsid w:val="0057785F"/>
    <w:rsid w:val="00577A26"/>
    <w:rsid w:val="005808E0"/>
    <w:rsid w:val="00581646"/>
    <w:rsid w:val="00581DDF"/>
    <w:rsid w:val="00582AA4"/>
    <w:rsid w:val="005833BE"/>
    <w:rsid w:val="005844E7"/>
    <w:rsid w:val="005844F4"/>
    <w:rsid w:val="00584BF3"/>
    <w:rsid w:val="00585E16"/>
    <w:rsid w:val="00586A18"/>
    <w:rsid w:val="00586D6A"/>
    <w:rsid w:val="00587ADF"/>
    <w:rsid w:val="00587CD5"/>
    <w:rsid w:val="0059017C"/>
    <w:rsid w:val="005908B8"/>
    <w:rsid w:val="005908D5"/>
    <w:rsid w:val="005911C5"/>
    <w:rsid w:val="00592578"/>
    <w:rsid w:val="005939DD"/>
    <w:rsid w:val="00594E05"/>
    <w:rsid w:val="0059512E"/>
    <w:rsid w:val="0059592E"/>
    <w:rsid w:val="0059639D"/>
    <w:rsid w:val="00596C2A"/>
    <w:rsid w:val="00596C39"/>
    <w:rsid w:val="00596FE8"/>
    <w:rsid w:val="00597516"/>
    <w:rsid w:val="00597D9D"/>
    <w:rsid w:val="005A0357"/>
    <w:rsid w:val="005A0578"/>
    <w:rsid w:val="005A11E8"/>
    <w:rsid w:val="005A1278"/>
    <w:rsid w:val="005A1C95"/>
    <w:rsid w:val="005A2CA5"/>
    <w:rsid w:val="005A2E23"/>
    <w:rsid w:val="005A498A"/>
    <w:rsid w:val="005A517C"/>
    <w:rsid w:val="005A595A"/>
    <w:rsid w:val="005A611E"/>
    <w:rsid w:val="005A67B4"/>
    <w:rsid w:val="005A6DD2"/>
    <w:rsid w:val="005B15EC"/>
    <w:rsid w:val="005B2E1C"/>
    <w:rsid w:val="005B46D0"/>
    <w:rsid w:val="005B7D6D"/>
    <w:rsid w:val="005C0801"/>
    <w:rsid w:val="005C385D"/>
    <w:rsid w:val="005C49EF"/>
    <w:rsid w:val="005C5031"/>
    <w:rsid w:val="005C58FD"/>
    <w:rsid w:val="005C5978"/>
    <w:rsid w:val="005C62F2"/>
    <w:rsid w:val="005C6802"/>
    <w:rsid w:val="005C6E4D"/>
    <w:rsid w:val="005D070F"/>
    <w:rsid w:val="005D0D57"/>
    <w:rsid w:val="005D1CB3"/>
    <w:rsid w:val="005D20B7"/>
    <w:rsid w:val="005D26A9"/>
    <w:rsid w:val="005D27BB"/>
    <w:rsid w:val="005D295F"/>
    <w:rsid w:val="005D3984"/>
    <w:rsid w:val="005D3B20"/>
    <w:rsid w:val="005D4559"/>
    <w:rsid w:val="005D4E9E"/>
    <w:rsid w:val="005D5159"/>
    <w:rsid w:val="005D5842"/>
    <w:rsid w:val="005D5F5C"/>
    <w:rsid w:val="005D7A06"/>
    <w:rsid w:val="005E18DF"/>
    <w:rsid w:val="005E2318"/>
    <w:rsid w:val="005E25FF"/>
    <w:rsid w:val="005E43D4"/>
    <w:rsid w:val="005E43E0"/>
    <w:rsid w:val="005E4759"/>
    <w:rsid w:val="005E4C27"/>
    <w:rsid w:val="005E53FA"/>
    <w:rsid w:val="005E5C68"/>
    <w:rsid w:val="005E641E"/>
    <w:rsid w:val="005E65C0"/>
    <w:rsid w:val="005F0390"/>
    <w:rsid w:val="005F0CE5"/>
    <w:rsid w:val="005F28A9"/>
    <w:rsid w:val="005F29B7"/>
    <w:rsid w:val="005F2CD0"/>
    <w:rsid w:val="005F30C6"/>
    <w:rsid w:val="005F370F"/>
    <w:rsid w:val="005F3FD2"/>
    <w:rsid w:val="005F461A"/>
    <w:rsid w:val="005F654A"/>
    <w:rsid w:val="005F6B43"/>
    <w:rsid w:val="005F6DED"/>
    <w:rsid w:val="005F702C"/>
    <w:rsid w:val="005F7419"/>
    <w:rsid w:val="005F778A"/>
    <w:rsid w:val="00601350"/>
    <w:rsid w:val="006036E7"/>
    <w:rsid w:val="00603BD5"/>
    <w:rsid w:val="00603D47"/>
    <w:rsid w:val="00604E70"/>
    <w:rsid w:val="006051F0"/>
    <w:rsid w:val="00606C04"/>
    <w:rsid w:val="0060706B"/>
    <w:rsid w:val="006072CD"/>
    <w:rsid w:val="00611F15"/>
    <w:rsid w:val="00612023"/>
    <w:rsid w:val="006122E0"/>
    <w:rsid w:val="00612557"/>
    <w:rsid w:val="00614190"/>
    <w:rsid w:val="006152AA"/>
    <w:rsid w:val="0061588F"/>
    <w:rsid w:val="00615DD0"/>
    <w:rsid w:val="006176CB"/>
    <w:rsid w:val="006177E7"/>
    <w:rsid w:val="00620E0F"/>
    <w:rsid w:val="006216C3"/>
    <w:rsid w:val="0062250B"/>
    <w:rsid w:val="00622A99"/>
    <w:rsid w:val="00622E67"/>
    <w:rsid w:val="006241A6"/>
    <w:rsid w:val="006247D7"/>
    <w:rsid w:val="00625C3B"/>
    <w:rsid w:val="00625FFD"/>
    <w:rsid w:val="006267A8"/>
    <w:rsid w:val="00626EDC"/>
    <w:rsid w:val="00626F65"/>
    <w:rsid w:val="006277B9"/>
    <w:rsid w:val="00627964"/>
    <w:rsid w:val="00627ADC"/>
    <w:rsid w:val="00630D02"/>
    <w:rsid w:val="00631618"/>
    <w:rsid w:val="00633C47"/>
    <w:rsid w:val="00633F50"/>
    <w:rsid w:val="006352F8"/>
    <w:rsid w:val="00636082"/>
    <w:rsid w:val="00636201"/>
    <w:rsid w:val="00640B46"/>
    <w:rsid w:val="00641030"/>
    <w:rsid w:val="00641F8A"/>
    <w:rsid w:val="00643258"/>
    <w:rsid w:val="00644BA2"/>
    <w:rsid w:val="00644F08"/>
    <w:rsid w:val="00646686"/>
    <w:rsid w:val="00647091"/>
    <w:rsid w:val="006470EC"/>
    <w:rsid w:val="00647629"/>
    <w:rsid w:val="00647D7E"/>
    <w:rsid w:val="00647DD7"/>
    <w:rsid w:val="00650FA7"/>
    <w:rsid w:val="006510B4"/>
    <w:rsid w:val="006526D5"/>
    <w:rsid w:val="006542D6"/>
    <w:rsid w:val="0065495D"/>
    <w:rsid w:val="00654A5D"/>
    <w:rsid w:val="00654E1B"/>
    <w:rsid w:val="00655030"/>
    <w:rsid w:val="0065598E"/>
    <w:rsid w:val="00655AF2"/>
    <w:rsid w:val="00655B2C"/>
    <w:rsid w:val="00655BC5"/>
    <w:rsid w:val="00655C34"/>
    <w:rsid w:val="006568BE"/>
    <w:rsid w:val="0066025D"/>
    <w:rsid w:val="0066091A"/>
    <w:rsid w:val="00660B1F"/>
    <w:rsid w:val="00663560"/>
    <w:rsid w:val="00663761"/>
    <w:rsid w:val="00663936"/>
    <w:rsid w:val="006639F0"/>
    <w:rsid w:val="00664353"/>
    <w:rsid w:val="0066442D"/>
    <w:rsid w:val="0066501A"/>
    <w:rsid w:val="00665142"/>
    <w:rsid w:val="006653CF"/>
    <w:rsid w:val="00666B76"/>
    <w:rsid w:val="00666C1C"/>
    <w:rsid w:val="0067079B"/>
    <w:rsid w:val="00670CCE"/>
    <w:rsid w:val="00671C91"/>
    <w:rsid w:val="00671D84"/>
    <w:rsid w:val="00673C5F"/>
    <w:rsid w:val="0067408F"/>
    <w:rsid w:val="00676DA5"/>
    <w:rsid w:val="00676EC0"/>
    <w:rsid w:val="006773EC"/>
    <w:rsid w:val="0068022D"/>
    <w:rsid w:val="00680504"/>
    <w:rsid w:val="00680C42"/>
    <w:rsid w:val="0068150B"/>
    <w:rsid w:val="0068150C"/>
    <w:rsid w:val="00681590"/>
    <w:rsid w:val="00681CD9"/>
    <w:rsid w:val="00682C53"/>
    <w:rsid w:val="00683E30"/>
    <w:rsid w:val="0068495D"/>
    <w:rsid w:val="00685FBD"/>
    <w:rsid w:val="00686D47"/>
    <w:rsid w:val="00687024"/>
    <w:rsid w:val="006910A0"/>
    <w:rsid w:val="00691F62"/>
    <w:rsid w:val="006924CE"/>
    <w:rsid w:val="00692F40"/>
    <w:rsid w:val="00693B65"/>
    <w:rsid w:val="00693C1B"/>
    <w:rsid w:val="00693DCA"/>
    <w:rsid w:val="006940FD"/>
    <w:rsid w:val="006947F8"/>
    <w:rsid w:val="00695223"/>
    <w:rsid w:val="0069568C"/>
    <w:rsid w:val="00695E22"/>
    <w:rsid w:val="00697010"/>
    <w:rsid w:val="00697741"/>
    <w:rsid w:val="00697834"/>
    <w:rsid w:val="00697B9F"/>
    <w:rsid w:val="006A2660"/>
    <w:rsid w:val="006A2ED3"/>
    <w:rsid w:val="006A3FE3"/>
    <w:rsid w:val="006A4307"/>
    <w:rsid w:val="006A4A4A"/>
    <w:rsid w:val="006A4E51"/>
    <w:rsid w:val="006A5883"/>
    <w:rsid w:val="006B04DC"/>
    <w:rsid w:val="006B0D62"/>
    <w:rsid w:val="006B1C6D"/>
    <w:rsid w:val="006B1FD2"/>
    <w:rsid w:val="006B218D"/>
    <w:rsid w:val="006B4021"/>
    <w:rsid w:val="006B470D"/>
    <w:rsid w:val="006B503D"/>
    <w:rsid w:val="006B5F68"/>
    <w:rsid w:val="006B66F9"/>
    <w:rsid w:val="006B7093"/>
    <w:rsid w:val="006B7417"/>
    <w:rsid w:val="006B7AC1"/>
    <w:rsid w:val="006B7AE6"/>
    <w:rsid w:val="006C0773"/>
    <w:rsid w:val="006C0BD4"/>
    <w:rsid w:val="006C1EFC"/>
    <w:rsid w:val="006C3F86"/>
    <w:rsid w:val="006C4AEB"/>
    <w:rsid w:val="006C5266"/>
    <w:rsid w:val="006C551E"/>
    <w:rsid w:val="006C5D62"/>
    <w:rsid w:val="006C6B75"/>
    <w:rsid w:val="006C6BDE"/>
    <w:rsid w:val="006C7205"/>
    <w:rsid w:val="006D1169"/>
    <w:rsid w:val="006D17E6"/>
    <w:rsid w:val="006D3691"/>
    <w:rsid w:val="006D4BC0"/>
    <w:rsid w:val="006D4F83"/>
    <w:rsid w:val="006D62BF"/>
    <w:rsid w:val="006E09C6"/>
    <w:rsid w:val="006E0BCD"/>
    <w:rsid w:val="006E1999"/>
    <w:rsid w:val="006E1BAC"/>
    <w:rsid w:val="006E2DD3"/>
    <w:rsid w:val="006E320F"/>
    <w:rsid w:val="006E38AC"/>
    <w:rsid w:val="006E3E65"/>
    <w:rsid w:val="006E528C"/>
    <w:rsid w:val="006E5EF0"/>
    <w:rsid w:val="006E6977"/>
    <w:rsid w:val="006E7BA2"/>
    <w:rsid w:val="006F080C"/>
    <w:rsid w:val="006F1839"/>
    <w:rsid w:val="006F24B3"/>
    <w:rsid w:val="006F2C97"/>
    <w:rsid w:val="006F3563"/>
    <w:rsid w:val="006F38B5"/>
    <w:rsid w:val="006F3DAA"/>
    <w:rsid w:val="006F42B9"/>
    <w:rsid w:val="006F6087"/>
    <w:rsid w:val="006F6103"/>
    <w:rsid w:val="006F6EC8"/>
    <w:rsid w:val="006F77C9"/>
    <w:rsid w:val="00700B79"/>
    <w:rsid w:val="00704E00"/>
    <w:rsid w:val="007054CD"/>
    <w:rsid w:val="00705AF1"/>
    <w:rsid w:val="00705C38"/>
    <w:rsid w:val="0070704D"/>
    <w:rsid w:val="00710210"/>
    <w:rsid w:val="0071227C"/>
    <w:rsid w:val="00712F6F"/>
    <w:rsid w:val="007140E4"/>
    <w:rsid w:val="007141C2"/>
    <w:rsid w:val="00714F4A"/>
    <w:rsid w:val="00715E34"/>
    <w:rsid w:val="00715F95"/>
    <w:rsid w:val="00716BA8"/>
    <w:rsid w:val="007173B6"/>
    <w:rsid w:val="0071797E"/>
    <w:rsid w:val="00720077"/>
    <w:rsid w:val="00720717"/>
    <w:rsid w:val="007209E7"/>
    <w:rsid w:val="00720E64"/>
    <w:rsid w:val="0072114F"/>
    <w:rsid w:val="00724B9E"/>
    <w:rsid w:val="00724FA7"/>
    <w:rsid w:val="00725C6D"/>
    <w:rsid w:val="0072602A"/>
    <w:rsid w:val="00726182"/>
    <w:rsid w:val="00726D09"/>
    <w:rsid w:val="00727603"/>
    <w:rsid w:val="00727635"/>
    <w:rsid w:val="00727678"/>
    <w:rsid w:val="00727D5F"/>
    <w:rsid w:val="0073015E"/>
    <w:rsid w:val="007301EE"/>
    <w:rsid w:val="007317BE"/>
    <w:rsid w:val="00732329"/>
    <w:rsid w:val="00732618"/>
    <w:rsid w:val="007337CA"/>
    <w:rsid w:val="00733F25"/>
    <w:rsid w:val="007349C7"/>
    <w:rsid w:val="00734C56"/>
    <w:rsid w:val="00734CE4"/>
    <w:rsid w:val="00734F67"/>
    <w:rsid w:val="00735123"/>
    <w:rsid w:val="00736452"/>
    <w:rsid w:val="007367DA"/>
    <w:rsid w:val="00737185"/>
    <w:rsid w:val="00737405"/>
    <w:rsid w:val="00740B85"/>
    <w:rsid w:val="00740F65"/>
    <w:rsid w:val="00741837"/>
    <w:rsid w:val="00742F65"/>
    <w:rsid w:val="00743526"/>
    <w:rsid w:val="00743A2A"/>
    <w:rsid w:val="00743C65"/>
    <w:rsid w:val="00744282"/>
    <w:rsid w:val="007452F6"/>
    <w:rsid w:val="007453E6"/>
    <w:rsid w:val="007455A6"/>
    <w:rsid w:val="00746B74"/>
    <w:rsid w:val="00747BB2"/>
    <w:rsid w:val="00750232"/>
    <w:rsid w:val="00751F40"/>
    <w:rsid w:val="007523CC"/>
    <w:rsid w:val="0075261E"/>
    <w:rsid w:val="00755388"/>
    <w:rsid w:val="00756634"/>
    <w:rsid w:val="0075712C"/>
    <w:rsid w:val="00760B4D"/>
    <w:rsid w:val="007624D6"/>
    <w:rsid w:val="007624DC"/>
    <w:rsid w:val="007628F9"/>
    <w:rsid w:val="00765D4D"/>
    <w:rsid w:val="007661D8"/>
    <w:rsid w:val="0076701F"/>
    <w:rsid w:val="00771C56"/>
    <w:rsid w:val="00771CF3"/>
    <w:rsid w:val="007727B1"/>
    <w:rsid w:val="0077309D"/>
    <w:rsid w:val="007744E3"/>
    <w:rsid w:val="0077579A"/>
    <w:rsid w:val="00775D2C"/>
    <w:rsid w:val="00775F88"/>
    <w:rsid w:val="00776726"/>
    <w:rsid w:val="00777276"/>
    <w:rsid w:val="007774EE"/>
    <w:rsid w:val="007812C6"/>
    <w:rsid w:val="00781822"/>
    <w:rsid w:val="007818DD"/>
    <w:rsid w:val="0078266B"/>
    <w:rsid w:val="00783F21"/>
    <w:rsid w:val="00784581"/>
    <w:rsid w:val="00784774"/>
    <w:rsid w:val="00784DA5"/>
    <w:rsid w:val="00785A8A"/>
    <w:rsid w:val="00787159"/>
    <w:rsid w:val="007872AE"/>
    <w:rsid w:val="0079043A"/>
    <w:rsid w:val="007914C8"/>
    <w:rsid w:val="00791668"/>
    <w:rsid w:val="00791AA1"/>
    <w:rsid w:val="007949A9"/>
    <w:rsid w:val="00794B4E"/>
    <w:rsid w:val="0079733A"/>
    <w:rsid w:val="007978DA"/>
    <w:rsid w:val="007A108B"/>
    <w:rsid w:val="007A2154"/>
    <w:rsid w:val="007A25AB"/>
    <w:rsid w:val="007A271E"/>
    <w:rsid w:val="007A2DA4"/>
    <w:rsid w:val="007A3793"/>
    <w:rsid w:val="007A3E1F"/>
    <w:rsid w:val="007A608E"/>
    <w:rsid w:val="007A6EF8"/>
    <w:rsid w:val="007B01F5"/>
    <w:rsid w:val="007B040D"/>
    <w:rsid w:val="007B1842"/>
    <w:rsid w:val="007B1B64"/>
    <w:rsid w:val="007B2986"/>
    <w:rsid w:val="007B3393"/>
    <w:rsid w:val="007B4A91"/>
    <w:rsid w:val="007B5CF0"/>
    <w:rsid w:val="007B741A"/>
    <w:rsid w:val="007B780B"/>
    <w:rsid w:val="007C171A"/>
    <w:rsid w:val="007C1BA2"/>
    <w:rsid w:val="007C1FA7"/>
    <w:rsid w:val="007C2179"/>
    <w:rsid w:val="007C2320"/>
    <w:rsid w:val="007C2B15"/>
    <w:rsid w:val="007C2B48"/>
    <w:rsid w:val="007C2F0A"/>
    <w:rsid w:val="007C3413"/>
    <w:rsid w:val="007C3EBA"/>
    <w:rsid w:val="007C3F4C"/>
    <w:rsid w:val="007C4050"/>
    <w:rsid w:val="007C5E10"/>
    <w:rsid w:val="007C624C"/>
    <w:rsid w:val="007C649D"/>
    <w:rsid w:val="007C7A9B"/>
    <w:rsid w:val="007D0529"/>
    <w:rsid w:val="007D0CFE"/>
    <w:rsid w:val="007D20E9"/>
    <w:rsid w:val="007D3A34"/>
    <w:rsid w:val="007D49F7"/>
    <w:rsid w:val="007D4DEB"/>
    <w:rsid w:val="007D509A"/>
    <w:rsid w:val="007D53D0"/>
    <w:rsid w:val="007D5A26"/>
    <w:rsid w:val="007D5D7D"/>
    <w:rsid w:val="007D6CA0"/>
    <w:rsid w:val="007D7881"/>
    <w:rsid w:val="007D7E3A"/>
    <w:rsid w:val="007D7E61"/>
    <w:rsid w:val="007E0DE5"/>
    <w:rsid w:val="007E0E10"/>
    <w:rsid w:val="007E1C61"/>
    <w:rsid w:val="007E24D7"/>
    <w:rsid w:val="007E3DBC"/>
    <w:rsid w:val="007E43CE"/>
    <w:rsid w:val="007E4768"/>
    <w:rsid w:val="007E47B9"/>
    <w:rsid w:val="007E4A26"/>
    <w:rsid w:val="007E4D25"/>
    <w:rsid w:val="007E5DCF"/>
    <w:rsid w:val="007E63F9"/>
    <w:rsid w:val="007E7052"/>
    <w:rsid w:val="007E777B"/>
    <w:rsid w:val="007F06B3"/>
    <w:rsid w:val="007F164B"/>
    <w:rsid w:val="007F1828"/>
    <w:rsid w:val="007F2070"/>
    <w:rsid w:val="007F2F93"/>
    <w:rsid w:val="007F3857"/>
    <w:rsid w:val="007F473E"/>
    <w:rsid w:val="007F554F"/>
    <w:rsid w:val="007F5650"/>
    <w:rsid w:val="007F695F"/>
    <w:rsid w:val="007F6D8B"/>
    <w:rsid w:val="00800256"/>
    <w:rsid w:val="008007F7"/>
    <w:rsid w:val="00800F3D"/>
    <w:rsid w:val="008015D3"/>
    <w:rsid w:val="00801A17"/>
    <w:rsid w:val="00801C0F"/>
    <w:rsid w:val="008024F3"/>
    <w:rsid w:val="00802A76"/>
    <w:rsid w:val="0080319C"/>
    <w:rsid w:val="0080374F"/>
    <w:rsid w:val="00804878"/>
    <w:rsid w:val="008053F5"/>
    <w:rsid w:val="008057C2"/>
    <w:rsid w:val="008062E3"/>
    <w:rsid w:val="008063EA"/>
    <w:rsid w:val="0080688F"/>
    <w:rsid w:val="00806ADF"/>
    <w:rsid w:val="00807AF7"/>
    <w:rsid w:val="00810198"/>
    <w:rsid w:val="00810FF9"/>
    <w:rsid w:val="00814F69"/>
    <w:rsid w:val="008152E4"/>
    <w:rsid w:val="0081564E"/>
    <w:rsid w:val="00815DA8"/>
    <w:rsid w:val="008168AD"/>
    <w:rsid w:val="00820C1D"/>
    <w:rsid w:val="0082194D"/>
    <w:rsid w:val="008221F9"/>
    <w:rsid w:val="0082311C"/>
    <w:rsid w:val="0082331B"/>
    <w:rsid w:val="00824969"/>
    <w:rsid w:val="00826EF5"/>
    <w:rsid w:val="00827292"/>
    <w:rsid w:val="008311AF"/>
    <w:rsid w:val="00831693"/>
    <w:rsid w:val="00831A36"/>
    <w:rsid w:val="0083207C"/>
    <w:rsid w:val="008334FA"/>
    <w:rsid w:val="00833BEA"/>
    <w:rsid w:val="008342E3"/>
    <w:rsid w:val="0083659E"/>
    <w:rsid w:val="00840104"/>
    <w:rsid w:val="00840C1F"/>
    <w:rsid w:val="00841478"/>
    <w:rsid w:val="008417E3"/>
    <w:rsid w:val="00841FC5"/>
    <w:rsid w:val="00842044"/>
    <w:rsid w:val="00842095"/>
    <w:rsid w:val="00843A3B"/>
    <w:rsid w:val="008448C4"/>
    <w:rsid w:val="00844AC1"/>
    <w:rsid w:val="0084541D"/>
    <w:rsid w:val="00845709"/>
    <w:rsid w:val="00845EC6"/>
    <w:rsid w:val="008462AB"/>
    <w:rsid w:val="008466E6"/>
    <w:rsid w:val="00846B86"/>
    <w:rsid w:val="0084767A"/>
    <w:rsid w:val="00853435"/>
    <w:rsid w:val="00853B05"/>
    <w:rsid w:val="008549B9"/>
    <w:rsid w:val="00854A35"/>
    <w:rsid w:val="00855B87"/>
    <w:rsid w:val="0085618E"/>
    <w:rsid w:val="008566C8"/>
    <w:rsid w:val="00856B90"/>
    <w:rsid w:val="008576BD"/>
    <w:rsid w:val="00860463"/>
    <w:rsid w:val="008607E7"/>
    <w:rsid w:val="00860C3C"/>
    <w:rsid w:val="00861238"/>
    <w:rsid w:val="00861638"/>
    <w:rsid w:val="008619DD"/>
    <w:rsid w:val="00861FD6"/>
    <w:rsid w:val="008633EB"/>
    <w:rsid w:val="00863D66"/>
    <w:rsid w:val="00865DC2"/>
    <w:rsid w:val="00867CFD"/>
    <w:rsid w:val="00867DC5"/>
    <w:rsid w:val="008703A5"/>
    <w:rsid w:val="00871FE5"/>
    <w:rsid w:val="008725F9"/>
    <w:rsid w:val="008733DA"/>
    <w:rsid w:val="008737D4"/>
    <w:rsid w:val="00873FFC"/>
    <w:rsid w:val="00874613"/>
    <w:rsid w:val="00874866"/>
    <w:rsid w:val="00874C69"/>
    <w:rsid w:val="00874EBF"/>
    <w:rsid w:val="008751A5"/>
    <w:rsid w:val="00875BE1"/>
    <w:rsid w:val="00875ED5"/>
    <w:rsid w:val="00875F0E"/>
    <w:rsid w:val="00880B0C"/>
    <w:rsid w:val="008850E4"/>
    <w:rsid w:val="008864C0"/>
    <w:rsid w:val="008867FB"/>
    <w:rsid w:val="00886CAD"/>
    <w:rsid w:val="008876B4"/>
    <w:rsid w:val="00890252"/>
    <w:rsid w:val="008904AD"/>
    <w:rsid w:val="00890BCF"/>
    <w:rsid w:val="00890BF1"/>
    <w:rsid w:val="00891612"/>
    <w:rsid w:val="008919CA"/>
    <w:rsid w:val="00891A09"/>
    <w:rsid w:val="00892677"/>
    <w:rsid w:val="00893173"/>
    <w:rsid w:val="008939AB"/>
    <w:rsid w:val="00893BAF"/>
    <w:rsid w:val="00894CC1"/>
    <w:rsid w:val="00896086"/>
    <w:rsid w:val="008960C8"/>
    <w:rsid w:val="00896CBE"/>
    <w:rsid w:val="00896EA2"/>
    <w:rsid w:val="00897822"/>
    <w:rsid w:val="00897AEF"/>
    <w:rsid w:val="008A10AA"/>
    <w:rsid w:val="008A12F5"/>
    <w:rsid w:val="008A4862"/>
    <w:rsid w:val="008A76CF"/>
    <w:rsid w:val="008A7935"/>
    <w:rsid w:val="008B037D"/>
    <w:rsid w:val="008B099D"/>
    <w:rsid w:val="008B1587"/>
    <w:rsid w:val="008B1609"/>
    <w:rsid w:val="008B18C2"/>
    <w:rsid w:val="008B1B01"/>
    <w:rsid w:val="008B3BCD"/>
    <w:rsid w:val="008B44B2"/>
    <w:rsid w:val="008B584E"/>
    <w:rsid w:val="008B5B13"/>
    <w:rsid w:val="008B63B9"/>
    <w:rsid w:val="008B6AA6"/>
    <w:rsid w:val="008B6DF8"/>
    <w:rsid w:val="008B7EB0"/>
    <w:rsid w:val="008C02EC"/>
    <w:rsid w:val="008C106C"/>
    <w:rsid w:val="008C10F1"/>
    <w:rsid w:val="008C1900"/>
    <w:rsid w:val="008C1926"/>
    <w:rsid w:val="008C1E99"/>
    <w:rsid w:val="008C2A3D"/>
    <w:rsid w:val="008C3CC9"/>
    <w:rsid w:val="008C43EE"/>
    <w:rsid w:val="008C4F4A"/>
    <w:rsid w:val="008C5FD6"/>
    <w:rsid w:val="008C6755"/>
    <w:rsid w:val="008C6831"/>
    <w:rsid w:val="008D0524"/>
    <w:rsid w:val="008D1556"/>
    <w:rsid w:val="008D1C7D"/>
    <w:rsid w:val="008D1EB0"/>
    <w:rsid w:val="008D208D"/>
    <w:rsid w:val="008D3D4A"/>
    <w:rsid w:val="008D45F9"/>
    <w:rsid w:val="008D5499"/>
    <w:rsid w:val="008E0085"/>
    <w:rsid w:val="008E02DE"/>
    <w:rsid w:val="008E0919"/>
    <w:rsid w:val="008E09C6"/>
    <w:rsid w:val="008E0B38"/>
    <w:rsid w:val="008E2178"/>
    <w:rsid w:val="008E2AA6"/>
    <w:rsid w:val="008E311B"/>
    <w:rsid w:val="008E3B14"/>
    <w:rsid w:val="008E3C83"/>
    <w:rsid w:val="008E564A"/>
    <w:rsid w:val="008E5B90"/>
    <w:rsid w:val="008E642F"/>
    <w:rsid w:val="008E6577"/>
    <w:rsid w:val="008E716E"/>
    <w:rsid w:val="008F0385"/>
    <w:rsid w:val="008F0420"/>
    <w:rsid w:val="008F413D"/>
    <w:rsid w:val="008F46E7"/>
    <w:rsid w:val="008F4A4E"/>
    <w:rsid w:val="008F53FE"/>
    <w:rsid w:val="008F5A29"/>
    <w:rsid w:val="008F5C0A"/>
    <w:rsid w:val="008F5CED"/>
    <w:rsid w:val="008F66D8"/>
    <w:rsid w:val="008F6C3F"/>
    <w:rsid w:val="008F6F0B"/>
    <w:rsid w:val="008F7832"/>
    <w:rsid w:val="00903ABA"/>
    <w:rsid w:val="0090483D"/>
    <w:rsid w:val="0090657B"/>
    <w:rsid w:val="009078CA"/>
    <w:rsid w:val="00907BA7"/>
    <w:rsid w:val="0091064E"/>
    <w:rsid w:val="00910CFB"/>
    <w:rsid w:val="0091178C"/>
    <w:rsid w:val="00911FC5"/>
    <w:rsid w:val="009128AB"/>
    <w:rsid w:val="00913883"/>
    <w:rsid w:val="00916E16"/>
    <w:rsid w:val="009179A4"/>
    <w:rsid w:val="00920127"/>
    <w:rsid w:val="009203C7"/>
    <w:rsid w:val="009211FE"/>
    <w:rsid w:val="009215BE"/>
    <w:rsid w:val="009219DF"/>
    <w:rsid w:val="009235DC"/>
    <w:rsid w:val="00924A5B"/>
    <w:rsid w:val="00925286"/>
    <w:rsid w:val="009263B9"/>
    <w:rsid w:val="0092692D"/>
    <w:rsid w:val="00926DF1"/>
    <w:rsid w:val="0092716E"/>
    <w:rsid w:val="009304B1"/>
    <w:rsid w:val="00930C92"/>
    <w:rsid w:val="00930EAE"/>
    <w:rsid w:val="00930EE6"/>
    <w:rsid w:val="0093141C"/>
    <w:rsid w:val="00931A10"/>
    <w:rsid w:val="00933017"/>
    <w:rsid w:val="00933A41"/>
    <w:rsid w:val="00934284"/>
    <w:rsid w:val="00936289"/>
    <w:rsid w:val="009368E0"/>
    <w:rsid w:val="009370C2"/>
    <w:rsid w:val="0094063D"/>
    <w:rsid w:val="009421B9"/>
    <w:rsid w:val="00943270"/>
    <w:rsid w:val="0094381C"/>
    <w:rsid w:val="00943957"/>
    <w:rsid w:val="009444E0"/>
    <w:rsid w:val="00945668"/>
    <w:rsid w:val="00945BC3"/>
    <w:rsid w:val="00945DA6"/>
    <w:rsid w:val="0094655D"/>
    <w:rsid w:val="009468B1"/>
    <w:rsid w:val="00947425"/>
    <w:rsid w:val="00947967"/>
    <w:rsid w:val="0095063A"/>
    <w:rsid w:val="00950773"/>
    <w:rsid w:val="009507DB"/>
    <w:rsid w:val="009510F2"/>
    <w:rsid w:val="00952EB2"/>
    <w:rsid w:val="009530E8"/>
    <w:rsid w:val="00953629"/>
    <w:rsid w:val="00953E11"/>
    <w:rsid w:val="0095517A"/>
    <w:rsid w:val="00955201"/>
    <w:rsid w:val="00955456"/>
    <w:rsid w:val="00955954"/>
    <w:rsid w:val="00955E42"/>
    <w:rsid w:val="00956FF2"/>
    <w:rsid w:val="00957C16"/>
    <w:rsid w:val="00957D45"/>
    <w:rsid w:val="00957DEF"/>
    <w:rsid w:val="009612FD"/>
    <w:rsid w:val="00962F6F"/>
    <w:rsid w:val="009636E9"/>
    <w:rsid w:val="00963B28"/>
    <w:rsid w:val="00963B90"/>
    <w:rsid w:val="00965200"/>
    <w:rsid w:val="00966091"/>
    <w:rsid w:val="009668B3"/>
    <w:rsid w:val="00970726"/>
    <w:rsid w:val="009708F2"/>
    <w:rsid w:val="00971471"/>
    <w:rsid w:val="0097204A"/>
    <w:rsid w:val="0097280F"/>
    <w:rsid w:val="009733A8"/>
    <w:rsid w:val="00973D1F"/>
    <w:rsid w:val="00973DBE"/>
    <w:rsid w:val="009745AD"/>
    <w:rsid w:val="009745C7"/>
    <w:rsid w:val="00980B7B"/>
    <w:rsid w:val="009818FE"/>
    <w:rsid w:val="00981961"/>
    <w:rsid w:val="00982B0C"/>
    <w:rsid w:val="009831C6"/>
    <w:rsid w:val="009845C8"/>
    <w:rsid w:val="009849C2"/>
    <w:rsid w:val="00984D24"/>
    <w:rsid w:val="009854AF"/>
    <w:rsid w:val="009858EB"/>
    <w:rsid w:val="00985B22"/>
    <w:rsid w:val="009862A7"/>
    <w:rsid w:val="00987342"/>
    <w:rsid w:val="009906FC"/>
    <w:rsid w:val="00990D36"/>
    <w:rsid w:val="00990F07"/>
    <w:rsid w:val="00991457"/>
    <w:rsid w:val="00991626"/>
    <w:rsid w:val="0099384E"/>
    <w:rsid w:val="00993D82"/>
    <w:rsid w:val="00993DFD"/>
    <w:rsid w:val="00994921"/>
    <w:rsid w:val="0099569E"/>
    <w:rsid w:val="00995FCA"/>
    <w:rsid w:val="0099643D"/>
    <w:rsid w:val="009A063C"/>
    <w:rsid w:val="009A192D"/>
    <w:rsid w:val="009A19DB"/>
    <w:rsid w:val="009A23D8"/>
    <w:rsid w:val="009A2616"/>
    <w:rsid w:val="009A38B8"/>
    <w:rsid w:val="009A3F47"/>
    <w:rsid w:val="009B0046"/>
    <w:rsid w:val="009B1811"/>
    <w:rsid w:val="009B2182"/>
    <w:rsid w:val="009B2346"/>
    <w:rsid w:val="009B3972"/>
    <w:rsid w:val="009B47C4"/>
    <w:rsid w:val="009B47F5"/>
    <w:rsid w:val="009B5989"/>
    <w:rsid w:val="009B61B7"/>
    <w:rsid w:val="009B7E94"/>
    <w:rsid w:val="009C1440"/>
    <w:rsid w:val="009C1BB1"/>
    <w:rsid w:val="009C2107"/>
    <w:rsid w:val="009C2787"/>
    <w:rsid w:val="009C4E25"/>
    <w:rsid w:val="009C5D9E"/>
    <w:rsid w:val="009C62A6"/>
    <w:rsid w:val="009D048B"/>
    <w:rsid w:val="009D04B9"/>
    <w:rsid w:val="009D065A"/>
    <w:rsid w:val="009D138E"/>
    <w:rsid w:val="009D1955"/>
    <w:rsid w:val="009D1BAC"/>
    <w:rsid w:val="009D25FB"/>
    <w:rsid w:val="009D28CA"/>
    <w:rsid w:val="009D2C3E"/>
    <w:rsid w:val="009D32F4"/>
    <w:rsid w:val="009D3736"/>
    <w:rsid w:val="009D4C76"/>
    <w:rsid w:val="009D5063"/>
    <w:rsid w:val="009D5475"/>
    <w:rsid w:val="009D5CCA"/>
    <w:rsid w:val="009D6190"/>
    <w:rsid w:val="009D6746"/>
    <w:rsid w:val="009D742F"/>
    <w:rsid w:val="009D7D7D"/>
    <w:rsid w:val="009E0625"/>
    <w:rsid w:val="009E3034"/>
    <w:rsid w:val="009E3285"/>
    <w:rsid w:val="009E5083"/>
    <w:rsid w:val="009E549F"/>
    <w:rsid w:val="009E676E"/>
    <w:rsid w:val="009F0911"/>
    <w:rsid w:val="009F0AA3"/>
    <w:rsid w:val="009F240E"/>
    <w:rsid w:val="009F28A8"/>
    <w:rsid w:val="009F304D"/>
    <w:rsid w:val="009F360F"/>
    <w:rsid w:val="009F44FD"/>
    <w:rsid w:val="009F473E"/>
    <w:rsid w:val="009F4C9F"/>
    <w:rsid w:val="009F54A7"/>
    <w:rsid w:val="009F5823"/>
    <w:rsid w:val="009F6096"/>
    <w:rsid w:val="009F682A"/>
    <w:rsid w:val="009F7303"/>
    <w:rsid w:val="009F7C68"/>
    <w:rsid w:val="00A00CFB"/>
    <w:rsid w:val="00A016B4"/>
    <w:rsid w:val="00A01C8E"/>
    <w:rsid w:val="00A01EA9"/>
    <w:rsid w:val="00A022BE"/>
    <w:rsid w:val="00A0291C"/>
    <w:rsid w:val="00A02DC4"/>
    <w:rsid w:val="00A0570F"/>
    <w:rsid w:val="00A05BE8"/>
    <w:rsid w:val="00A07056"/>
    <w:rsid w:val="00A07730"/>
    <w:rsid w:val="00A10A27"/>
    <w:rsid w:val="00A1226B"/>
    <w:rsid w:val="00A13C82"/>
    <w:rsid w:val="00A14E2D"/>
    <w:rsid w:val="00A15265"/>
    <w:rsid w:val="00A158E6"/>
    <w:rsid w:val="00A17574"/>
    <w:rsid w:val="00A17BA0"/>
    <w:rsid w:val="00A20EB9"/>
    <w:rsid w:val="00A21163"/>
    <w:rsid w:val="00A21E17"/>
    <w:rsid w:val="00A2286B"/>
    <w:rsid w:val="00A22A32"/>
    <w:rsid w:val="00A22D11"/>
    <w:rsid w:val="00A24923"/>
    <w:rsid w:val="00A24C95"/>
    <w:rsid w:val="00A25431"/>
    <w:rsid w:val="00A256DB"/>
    <w:rsid w:val="00A2599A"/>
    <w:rsid w:val="00A25D92"/>
    <w:rsid w:val="00A25FC8"/>
    <w:rsid w:val="00A26094"/>
    <w:rsid w:val="00A301BF"/>
    <w:rsid w:val="00A302B2"/>
    <w:rsid w:val="00A31A2C"/>
    <w:rsid w:val="00A32915"/>
    <w:rsid w:val="00A331B4"/>
    <w:rsid w:val="00A33C39"/>
    <w:rsid w:val="00A3484E"/>
    <w:rsid w:val="00A356D3"/>
    <w:rsid w:val="00A36181"/>
    <w:rsid w:val="00A36ADA"/>
    <w:rsid w:val="00A36C6C"/>
    <w:rsid w:val="00A37B53"/>
    <w:rsid w:val="00A404A2"/>
    <w:rsid w:val="00A40A1B"/>
    <w:rsid w:val="00A40AA3"/>
    <w:rsid w:val="00A41681"/>
    <w:rsid w:val="00A42445"/>
    <w:rsid w:val="00A438D8"/>
    <w:rsid w:val="00A47126"/>
    <w:rsid w:val="00A473F5"/>
    <w:rsid w:val="00A47429"/>
    <w:rsid w:val="00A478C6"/>
    <w:rsid w:val="00A506A0"/>
    <w:rsid w:val="00A50B61"/>
    <w:rsid w:val="00A516BA"/>
    <w:rsid w:val="00A5177C"/>
    <w:rsid w:val="00A51AAD"/>
    <w:rsid w:val="00A51F9D"/>
    <w:rsid w:val="00A531D6"/>
    <w:rsid w:val="00A536DF"/>
    <w:rsid w:val="00A5416A"/>
    <w:rsid w:val="00A548FE"/>
    <w:rsid w:val="00A56E87"/>
    <w:rsid w:val="00A612C1"/>
    <w:rsid w:val="00A63545"/>
    <w:rsid w:val="00A639F4"/>
    <w:rsid w:val="00A64056"/>
    <w:rsid w:val="00A6492A"/>
    <w:rsid w:val="00A64D90"/>
    <w:rsid w:val="00A64F55"/>
    <w:rsid w:val="00A668B8"/>
    <w:rsid w:val="00A67149"/>
    <w:rsid w:val="00A67560"/>
    <w:rsid w:val="00A71055"/>
    <w:rsid w:val="00A722D8"/>
    <w:rsid w:val="00A731DE"/>
    <w:rsid w:val="00A73A7E"/>
    <w:rsid w:val="00A74E4C"/>
    <w:rsid w:val="00A75A24"/>
    <w:rsid w:val="00A76DDB"/>
    <w:rsid w:val="00A77ECF"/>
    <w:rsid w:val="00A80615"/>
    <w:rsid w:val="00A806E6"/>
    <w:rsid w:val="00A80B39"/>
    <w:rsid w:val="00A81A32"/>
    <w:rsid w:val="00A81D3A"/>
    <w:rsid w:val="00A82180"/>
    <w:rsid w:val="00A8330C"/>
    <w:rsid w:val="00A83319"/>
    <w:rsid w:val="00A835BD"/>
    <w:rsid w:val="00A83C6E"/>
    <w:rsid w:val="00A852D7"/>
    <w:rsid w:val="00A86BE4"/>
    <w:rsid w:val="00A87354"/>
    <w:rsid w:val="00A874E6"/>
    <w:rsid w:val="00A907BA"/>
    <w:rsid w:val="00A908EA"/>
    <w:rsid w:val="00A90C37"/>
    <w:rsid w:val="00A91163"/>
    <w:rsid w:val="00A916AB"/>
    <w:rsid w:val="00A93183"/>
    <w:rsid w:val="00A931FE"/>
    <w:rsid w:val="00A94E27"/>
    <w:rsid w:val="00A9581D"/>
    <w:rsid w:val="00A959CA"/>
    <w:rsid w:val="00A95AD2"/>
    <w:rsid w:val="00A95FD2"/>
    <w:rsid w:val="00A97B15"/>
    <w:rsid w:val="00A97B41"/>
    <w:rsid w:val="00AA14E2"/>
    <w:rsid w:val="00AA3481"/>
    <w:rsid w:val="00AA3F14"/>
    <w:rsid w:val="00AA42D5"/>
    <w:rsid w:val="00AA4A4F"/>
    <w:rsid w:val="00AA4F3E"/>
    <w:rsid w:val="00AA5572"/>
    <w:rsid w:val="00AA6193"/>
    <w:rsid w:val="00AA728C"/>
    <w:rsid w:val="00AA72DA"/>
    <w:rsid w:val="00AA79EC"/>
    <w:rsid w:val="00AB00E9"/>
    <w:rsid w:val="00AB0168"/>
    <w:rsid w:val="00AB1225"/>
    <w:rsid w:val="00AB2DD9"/>
    <w:rsid w:val="00AB2FAB"/>
    <w:rsid w:val="00AB37F2"/>
    <w:rsid w:val="00AB429D"/>
    <w:rsid w:val="00AB4863"/>
    <w:rsid w:val="00AB566A"/>
    <w:rsid w:val="00AB5C14"/>
    <w:rsid w:val="00AB650B"/>
    <w:rsid w:val="00AB69CD"/>
    <w:rsid w:val="00AB6EE2"/>
    <w:rsid w:val="00AB771F"/>
    <w:rsid w:val="00AB7DD8"/>
    <w:rsid w:val="00AC14F5"/>
    <w:rsid w:val="00AC1EE7"/>
    <w:rsid w:val="00AC2FC1"/>
    <w:rsid w:val="00AC31BD"/>
    <w:rsid w:val="00AC333F"/>
    <w:rsid w:val="00AC585C"/>
    <w:rsid w:val="00AC60BC"/>
    <w:rsid w:val="00AC6684"/>
    <w:rsid w:val="00AC759C"/>
    <w:rsid w:val="00AD0C8C"/>
    <w:rsid w:val="00AD165E"/>
    <w:rsid w:val="00AD1925"/>
    <w:rsid w:val="00AD4335"/>
    <w:rsid w:val="00AD476E"/>
    <w:rsid w:val="00AD4D63"/>
    <w:rsid w:val="00AD52A5"/>
    <w:rsid w:val="00AD5C88"/>
    <w:rsid w:val="00AD70A2"/>
    <w:rsid w:val="00AD720C"/>
    <w:rsid w:val="00AD7729"/>
    <w:rsid w:val="00AD7DE7"/>
    <w:rsid w:val="00AE0449"/>
    <w:rsid w:val="00AE067D"/>
    <w:rsid w:val="00AE1388"/>
    <w:rsid w:val="00AE1BE4"/>
    <w:rsid w:val="00AE21F7"/>
    <w:rsid w:val="00AE485E"/>
    <w:rsid w:val="00AE4A2C"/>
    <w:rsid w:val="00AE5603"/>
    <w:rsid w:val="00AE70AB"/>
    <w:rsid w:val="00AE752D"/>
    <w:rsid w:val="00AF1181"/>
    <w:rsid w:val="00AF1338"/>
    <w:rsid w:val="00AF2F79"/>
    <w:rsid w:val="00AF3781"/>
    <w:rsid w:val="00AF395B"/>
    <w:rsid w:val="00AF4653"/>
    <w:rsid w:val="00AF4BE1"/>
    <w:rsid w:val="00AF5823"/>
    <w:rsid w:val="00AF5BCF"/>
    <w:rsid w:val="00AF6285"/>
    <w:rsid w:val="00AF63E9"/>
    <w:rsid w:val="00AF69A4"/>
    <w:rsid w:val="00AF7DB7"/>
    <w:rsid w:val="00B00879"/>
    <w:rsid w:val="00B00B70"/>
    <w:rsid w:val="00B00D6A"/>
    <w:rsid w:val="00B0189E"/>
    <w:rsid w:val="00B026E9"/>
    <w:rsid w:val="00B031DB"/>
    <w:rsid w:val="00B0470A"/>
    <w:rsid w:val="00B04B48"/>
    <w:rsid w:val="00B05610"/>
    <w:rsid w:val="00B05ADD"/>
    <w:rsid w:val="00B06684"/>
    <w:rsid w:val="00B06699"/>
    <w:rsid w:val="00B06725"/>
    <w:rsid w:val="00B068EF"/>
    <w:rsid w:val="00B06CED"/>
    <w:rsid w:val="00B07E72"/>
    <w:rsid w:val="00B1028D"/>
    <w:rsid w:val="00B11D2E"/>
    <w:rsid w:val="00B133FD"/>
    <w:rsid w:val="00B1474F"/>
    <w:rsid w:val="00B14BD5"/>
    <w:rsid w:val="00B14EEF"/>
    <w:rsid w:val="00B15B1A"/>
    <w:rsid w:val="00B16E86"/>
    <w:rsid w:val="00B201E2"/>
    <w:rsid w:val="00B20855"/>
    <w:rsid w:val="00B20D51"/>
    <w:rsid w:val="00B22483"/>
    <w:rsid w:val="00B22640"/>
    <w:rsid w:val="00B23417"/>
    <w:rsid w:val="00B26111"/>
    <w:rsid w:val="00B27D4B"/>
    <w:rsid w:val="00B31136"/>
    <w:rsid w:val="00B31375"/>
    <w:rsid w:val="00B32CFD"/>
    <w:rsid w:val="00B34240"/>
    <w:rsid w:val="00B3515E"/>
    <w:rsid w:val="00B4038C"/>
    <w:rsid w:val="00B4114C"/>
    <w:rsid w:val="00B4154C"/>
    <w:rsid w:val="00B41E86"/>
    <w:rsid w:val="00B422AB"/>
    <w:rsid w:val="00B4278D"/>
    <w:rsid w:val="00B427DB"/>
    <w:rsid w:val="00B42A1C"/>
    <w:rsid w:val="00B42D89"/>
    <w:rsid w:val="00B443E4"/>
    <w:rsid w:val="00B44853"/>
    <w:rsid w:val="00B46490"/>
    <w:rsid w:val="00B46B68"/>
    <w:rsid w:val="00B474A8"/>
    <w:rsid w:val="00B478BA"/>
    <w:rsid w:val="00B50825"/>
    <w:rsid w:val="00B5089C"/>
    <w:rsid w:val="00B51917"/>
    <w:rsid w:val="00B51E5F"/>
    <w:rsid w:val="00B52B0B"/>
    <w:rsid w:val="00B52D53"/>
    <w:rsid w:val="00B53102"/>
    <w:rsid w:val="00B53D62"/>
    <w:rsid w:val="00B543A4"/>
    <w:rsid w:val="00B5474E"/>
    <w:rsid w:val="00B5484D"/>
    <w:rsid w:val="00B55767"/>
    <w:rsid w:val="00B56188"/>
    <w:rsid w:val="00B563EA"/>
    <w:rsid w:val="00B56C71"/>
    <w:rsid w:val="00B56CDF"/>
    <w:rsid w:val="00B57C3B"/>
    <w:rsid w:val="00B60E51"/>
    <w:rsid w:val="00B62862"/>
    <w:rsid w:val="00B62F00"/>
    <w:rsid w:val="00B63A46"/>
    <w:rsid w:val="00B63A54"/>
    <w:rsid w:val="00B64B56"/>
    <w:rsid w:val="00B64BB4"/>
    <w:rsid w:val="00B654F5"/>
    <w:rsid w:val="00B65833"/>
    <w:rsid w:val="00B66A13"/>
    <w:rsid w:val="00B66AC1"/>
    <w:rsid w:val="00B6729C"/>
    <w:rsid w:val="00B678D3"/>
    <w:rsid w:val="00B71F63"/>
    <w:rsid w:val="00B72A54"/>
    <w:rsid w:val="00B74D0A"/>
    <w:rsid w:val="00B7566B"/>
    <w:rsid w:val="00B75C74"/>
    <w:rsid w:val="00B76E2D"/>
    <w:rsid w:val="00B77188"/>
    <w:rsid w:val="00B77D18"/>
    <w:rsid w:val="00B8313A"/>
    <w:rsid w:val="00B83C4B"/>
    <w:rsid w:val="00B844F1"/>
    <w:rsid w:val="00B848DC"/>
    <w:rsid w:val="00B850F0"/>
    <w:rsid w:val="00B87704"/>
    <w:rsid w:val="00B9036E"/>
    <w:rsid w:val="00B927A8"/>
    <w:rsid w:val="00B92F4C"/>
    <w:rsid w:val="00B92FAB"/>
    <w:rsid w:val="00B9332E"/>
    <w:rsid w:val="00B934AD"/>
    <w:rsid w:val="00B93503"/>
    <w:rsid w:val="00B93A31"/>
    <w:rsid w:val="00B95B11"/>
    <w:rsid w:val="00B9608F"/>
    <w:rsid w:val="00B966CF"/>
    <w:rsid w:val="00B978AC"/>
    <w:rsid w:val="00BA0F65"/>
    <w:rsid w:val="00BA1013"/>
    <w:rsid w:val="00BA2057"/>
    <w:rsid w:val="00BA2CC1"/>
    <w:rsid w:val="00BA2D10"/>
    <w:rsid w:val="00BA31E8"/>
    <w:rsid w:val="00BA35F1"/>
    <w:rsid w:val="00BA3603"/>
    <w:rsid w:val="00BA3BE2"/>
    <w:rsid w:val="00BA3DC7"/>
    <w:rsid w:val="00BA55E0"/>
    <w:rsid w:val="00BA64DB"/>
    <w:rsid w:val="00BA6BD4"/>
    <w:rsid w:val="00BA6C7A"/>
    <w:rsid w:val="00BA7AAC"/>
    <w:rsid w:val="00BA7AFB"/>
    <w:rsid w:val="00BA7D93"/>
    <w:rsid w:val="00BB0259"/>
    <w:rsid w:val="00BB17D1"/>
    <w:rsid w:val="00BB3752"/>
    <w:rsid w:val="00BB5735"/>
    <w:rsid w:val="00BB58BF"/>
    <w:rsid w:val="00BB5CA4"/>
    <w:rsid w:val="00BB6688"/>
    <w:rsid w:val="00BB6EB8"/>
    <w:rsid w:val="00BC001E"/>
    <w:rsid w:val="00BC1FDA"/>
    <w:rsid w:val="00BC26D4"/>
    <w:rsid w:val="00BC2A0A"/>
    <w:rsid w:val="00BC44B3"/>
    <w:rsid w:val="00BC562E"/>
    <w:rsid w:val="00BC5F28"/>
    <w:rsid w:val="00BC724F"/>
    <w:rsid w:val="00BD0D7D"/>
    <w:rsid w:val="00BD1FF5"/>
    <w:rsid w:val="00BD264A"/>
    <w:rsid w:val="00BD4A42"/>
    <w:rsid w:val="00BD5020"/>
    <w:rsid w:val="00BD5259"/>
    <w:rsid w:val="00BD54A9"/>
    <w:rsid w:val="00BD6064"/>
    <w:rsid w:val="00BD6B56"/>
    <w:rsid w:val="00BD6E71"/>
    <w:rsid w:val="00BD7190"/>
    <w:rsid w:val="00BD75F1"/>
    <w:rsid w:val="00BD7DBC"/>
    <w:rsid w:val="00BE0856"/>
    <w:rsid w:val="00BE0C80"/>
    <w:rsid w:val="00BE105F"/>
    <w:rsid w:val="00BE1206"/>
    <w:rsid w:val="00BE203F"/>
    <w:rsid w:val="00BE215C"/>
    <w:rsid w:val="00BE23BE"/>
    <w:rsid w:val="00BE407D"/>
    <w:rsid w:val="00BE42A1"/>
    <w:rsid w:val="00BE5667"/>
    <w:rsid w:val="00BE58C0"/>
    <w:rsid w:val="00BE5E36"/>
    <w:rsid w:val="00BE5FCE"/>
    <w:rsid w:val="00BE733D"/>
    <w:rsid w:val="00BE74AB"/>
    <w:rsid w:val="00BE75A0"/>
    <w:rsid w:val="00BE76B0"/>
    <w:rsid w:val="00BF0D15"/>
    <w:rsid w:val="00BF2320"/>
    <w:rsid w:val="00BF2A42"/>
    <w:rsid w:val="00BF3D29"/>
    <w:rsid w:val="00BF4F66"/>
    <w:rsid w:val="00BF52B7"/>
    <w:rsid w:val="00BF56DE"/>
    <w:rsid w:val="00BF5DAB"/>
    <w:rsid w:val="00BF75C1"/>
    <w:rsid w:val="00BF7742"/>
    <w:rsid w:val="00C00AFF"/>
    <w:rsid w:val="00C025FA"/>
    <w:rsid w:val="00C0291B"/>
    <w:rsid w:val="00C03D61"/>
    <w:rsid w:val="00C03D8C"/>
    <w:rsid w:val="00C04EBE"/>
    <w:rsid w:val="00C055EC"/>
    <w:rsid w:val="00C061E3"/>
    <w:rsid w:val="00C07AC5"/>
    <w:rsid w:val="00C1003D"/>
    <w:rsid w:val="00C10122"/>
    <w:rsid w:val="00C10DC9"/>
    <w:rsid w:val="00C1227E"/>
    <w:rsid w:val="00C1288A"/>
    <w:rsid w:val="00C128A7"/>
    <w:rsid w:val="00C12FB3"/>
    <w:rsid w:val="00C15DFB"/>
    <w:rsid w:val="00C1679A"/>
    <w:rsid w:val="00C16C0D"/>
    <w:rsid w:val="00C16DB8"/>
    <w:rsid w:val="00C17048"/>
    <w:rsid w:val="00C17277"/>
    <w:rsid w:val="00C17341"/>
    <w:rsid w:val="00C21BC3"/>
    <w:rsid w:val="00C2206A"/>
    <w:rsid w:val="00C23CA1"/>
    <w:rsid w:val="00C240AB"/>
    <w:rsid w:val="00C24EEF"/>
    <w:rsid w:val="00C25688"/>
    <w:rsid w:val="00C25CF6"/>
    <w:rsid w:val="00C260DB"/>
    <w:rsid w:val="00C261E7"/>
    <w:rsid w:val="00C26C36"/>
    <w:rsid w:val="00C30888"/>
    <w:rsid w:val="00C30C6A"/>
    <w:rsid w:val="00C323CB"/>
    <w:rsid w:val="00C326D3"/>
    <w:rsid w:val="00C32768"/>
    <w:rsid w:val="00C3463D"/>
    <w:rsid w:val="00C34A79"/>
    <w:rsid w:val="00C3568A"/>
    <w:rsid w:val="00C40B85"/>
    <w:rsid w:val="00C40C04"/>
    <w:rsid w:val="00C41947"/>
    <w:rsid w:val="00C419D4"/>
    <w:rsid w:val="00C41D37"/>
    <w:rsid w:val="00C41ED4"/>
    <w:rsid w:val="00C431DF"/>
    <w:rsid w:val="00C4563E"/>
    <w:rsid w:val="00C456BD"/>
    <w:rsid w:val="00C46F72"/>
    <w:rsid w:val="00C50A3A"/>
    <w:rsid w:val="00C51081"/>
    <w:rsid w:val="00C51CC8"/>
    <w:rsid w:val="00C522F3"/>
    <w:rsid w:val="00C5237E"/>
    <w:rsid w:val="00C530DC"/>
    <w:rsid w:val="00C5350D"/>
    <w:rsid w:val="00C53B7C"/>
    <w:rsid w:val="00C53D3A"/>
    <w:rsid w:val="00C547D1"/>
    <w:rsid w:val="00C54852"/>
    <w:rsid w:val="00C548B5"/>
    <w:rsid w:val="00C55F22"/>
    <w:rsid w:val="00C5637B"/>
    <w:rsid w:val="00C56BE1"/>
    <w:rsid w:val="00C56C2A"/>
    <w:rsid w:val="00C6111E"/>
    <w:rsid w:val="00C6123C"/>
    <w:rsid w:val="00C615AF"/>
    <w:rsid w:val="00C6298C"/>
    <w:rsid w:val="00C6311A"/>
    <w:rsid w:val="00C637FB"/>
    <w:rsid w:val="00C657A7"/>
    <w:rsid w:val="00C663BF"/>
    <w:rsid w:val="00C6707B"/>
    <w:rsid w:val="00C6795A"/>
    <w:rsid w:val="00C707B1"/>
    <w:rsid w:val="00C7084D"/>
    <w:rsid w:val="00C70DBC"/>
    <w:rsid w:val="00C71019"/>
    <w:rsid w:val="00C7110D"/>
    <w:rsid w:val="00C712E9"/>
    <w:rsid w:val="00C71AD5"/>
    <w:rsid w:val="00C7315E"/>
    <w:rsid w:val="00C735D0"/>
    <w:rsid w:val="00C74C82"/>
    <w:rsid w:val="00C7546E"/>
    <w:rsid w:val="00C75895"/>
    <w:rsid w:val="00C75E58"/>
    <w:rsid w:val="00C77614"/>
    <w:rsid w:val="00C81599"/>
    <w:rsid w:val="00C81996"/>
    <w:rsid w:val="00C81E5E"/>
    <w:rsid w:val="00C82696"/>
    <w:rsid w:val="00C82C2B"/>
    <w:rsid w:val="00C83ADC"/>
    <w:rsid w:val="00C83C9F"/>
    <w:rsid w:val="00C84D16"/>
    <w:rsid w:val="00C84F3E"/>
    <w:rsid w:val="00C85022"/>
    <w:rsid w:val="00C8527E"/>
    <w:rsid w:val="00C857E7"/>
    <w:rsid w:val="00C857F9"/>
    <w:rsid w:val="00C85FEA"/>
    <w:rsid w:val="00C8609E"/>
    <w:rsid w:val="00C863B3"/>
    <w:rsid w:val="00C86771"/>
    <w:rsid w:val="00C8686F"/>
    <w:rsid w:val="00C90108"/>
    <w:rsid w:val="00C907CC"/>
    <w:rsid w:val="00C915A7"/>
    <w:rsid w:val="00C91632"/>
    <w:rsid w:val="00C92406"/>
    <w:rsid w:val="00C92592"/>
    <w:rsid w:val="00C92CB2"/>
    <w:rsid w:val="00C9370A"/>
    <w:rsid w:val="00C93B44"/>
    <w:rsid w:val="00C94754"/>
    <w:rsid w:val="00C94840"/>
    <w:rsid w:val="00C95FBB"/>
    <w:rsid w:val="00C97460"/>
    <w:rsid w:val="00CA3DF8"/>
    <w:rsid w:val="00CA4461"/>
    <w:rsid w:val="00CA4EE3"/>
    <w:rsid w:val="00CA536C"/>
    <w:rsid w:val="00CA5FE0"/>
    <w:rsid w:val="00CA6E56"/>
    <w:rsid w:val="00CA70B3"/>
    <w:rsid w:val="00CA7CED"/>
    <w:rsid w:val="00CB027F"/>
    <w:rsid w:val="00CB10C9"/>
    <w:rsid w:val="00CB1CC2"/>
    <w:rsid w:val="00CB2B69"/>
    <w:rsid w:val="00CB3BA2"/>
    <w:rsid w:val="00CB4214"/>
    <w:rsid w:val="00CB6C6D"/>
    <w:rsid w:val="00CB7AC9"/>
    <w:rsid w:val="00CB7B95"/>
    <w:rsid w:val="00CC0D92"/>
    <w:rsid w:val="00CC0EBB"/>
    <w:rsid w:val="00CC1E18"/>
    <w:rsid w:val="00CC4A28"/>
    <w:rsid w:val="00CC6032"/>
    <w:rsid w:val="00CC6297"/>
    <w:rsid w:val="00CC7690"/>
    <w:rsid w:val="00CD16AF"/>
    <w:rsid w:val="00CD1986"/>
    <w:rsid w:val="00CD29D4"/>
    <w:rsid w:val="00CD2FF9"/>
    <w:rsid w:val="00CD30B0"/>
    <w:rsid w:val="00CD54BF"/>
    <w:rsid w:val="00CE1E30"/>
    <w:rsid w:val="00CE2791"/>
    <w:rsid w:val="00CE2E80"/>
    <w:rsid w:val="00CE2F23"/>
    <w:rsid w:val="00CE32A7"/>
    <w:rsid w:val="00CE3907"/>
    <w:rsid w:val="00CE4A8A"/>
    <w:rsid w:val="00CE4D5C"/>
    <w:rsid w:val="00CE5514"/>
    <w:rsid w:val="00CE65B2"/>
    <w:rsid w:val="00CE68C9"/>
    <w:rsid w:val="00CE6D08"/>
    <w:rsid w:val="00CE7C83"/>
    <w:rsid w:val="00CF05DA"/>
    <w:rsid w:val="00CF097D"/>
    <w:rsid w:val="00CF0B4F"/>
    <w:rsid w:val="00CF0BA8"/>
    <w:rsid w:val="00CF1B16"/>
    <w:rsid w:val="00CF200C"/>
    <w:rsid w:val="00CF27E6"/>
    <w:rsid w:val="00CF5396"/>
    <w:rsid w:val="00CF58EB"/>
    <w:rsid w:val="00CF6340"/>
    <w:rsid w:val="00CF6707"/>
    <w:rsid w:val="00CF6FEC"/>
    <w:rsid w:val="00D00A12"/>
    <w:rsid w:val="00D00C7E"/>
    <w:rsid w:val="00D0106E"/>
    <w:rsid w:val="00D01F37"/>
    <w:rsid w:val="00D0237C"/>
    <w:rsid w:val="00D02561"/>
    <w:rsid w:val="00D02F77"/>
    <w:rsid w:val="00D02FC7"/>
    <w:rsid w:val="00D035ED"/>
    <w:rsid w:val="00D0373D"/>
    <w:rsid w:val="00D042FC"/>
    <w:rsid w:val="00D053B5"/>
    <w:rsid w:val="00D054AF"/>
    <w:rsid w:val="00D06383"/>
    <w:rsid w:val="00D06F6E"/>
    <w:rsid w:val="00D117B3"/>
    <w:rsid w:val="00D11DC1"/>
    <w:rsid w:val="00D13313"/>
    <w:rsid w:val="00D13439"/>
    <w:rsid w:val="00D158D0"/>
    <w:rsid w:val="00D15B9D"/>
    <w:rsid w:val="00D161AF"/>
    <w:rsid w:val="00D16E29"/>
    <w:rsid w:val="00D17D7F"/>
    <w:rsid w:val="00D20265"/>
    <w:rsid w:val="00D20E85"/>
    <w:rsid w:val="00D22033"/>
    <w:rsid w:val="00D22430"/>
    <w:rsid w:val="00D2308F"/>
    <w:rsid w:val="00D234A5"/>
    <w:rsid w:val="00D235C9"/>
    <w:rsid w:val="00D23711"/>
    <w:rsid w:val="00D23F59"/>
    <w:rsid w:val="00D24615"/>
    <w:rsid w:val="00D278F2"/>
    <w:rsid w:val="00D27B50"/>
    <w:rsid w:val="00D306B9"/>
    <w:rsid w:val="00D3183A"/>
    <w:rsid w:val="00D3290D"/>
    <w:rsid w:val="00D32FDF"/>
    <w:rsid w:val="00D3335B"/>
    <w:rsid w:val="00D3391D"/>
    <w:rsid w:val="00D34224"/>
    <w:rsid w:val="00D34475"/>
    <w:rsid w:val="00D3491C"/>
    <w:rsid w:val="00D35F29"/>
    <w:rsid w:val="00D36557"/>
    <w:rsid w:val="00D3777F"/>
    <w:rsid w:val="00D37842"/>
    <w:rsid w:val="00D40F8D"/>
    <w:rsid w:val="00D4298D"/>
    <w:rsid w:val="00D42DC2"/>
    <w:rsid w:val="00D43FD4"/>
    <w:rsid w:val="00D440AA"/>
    <w:rsid w:val="00D44911"/>
    <w:rsid w:val="00D45B91"/>
    <w:rsid w:val="00D4600E"/>
    <w:rsid w:val="00D46643"/>
    <w:rsid w:val="00D46EE9"/>
    <w:rsid w:val="00D50594"/>
    <w:rsid w:val="00D537E1"/>
    <w:rsid w:val="00D55BB2"/>
    <w:rsid w:val="00D55F5A"/>
    <w:rsid w:val="00D566D4"/>
    <w:rsid w:val="00D56C0E"/>
    <w:rsid w:val="00D6091A"/>
    <w:rsid w:val="00D60C30"/>
    <w:rsid w:val="00D61206"/>
    <w:rsid w:val="00D62722"/>
    <w:rsid w:val="00D628EB"/>
    <w:rsid w:val="00D62BFF"/>
    <w:rsid w:val="00D657A4"/>
    <w:rsid w:val="00D65E63"/>
    <w:rsid w:val="00D65FD6"/>
    <w:rsid w:val="00D6605A"/>
    <w:rsid w:val="00D66597"/>
    <w:rsid w:val="00D6695F"/>
    <w:rsid w:val="00D675A4"/>
    <w:rsid w:val="00D70B63"/>
    <w:rsid w:val="00D70E83"/>
    <w:rsid w:val="00D71158"/>
    <w:rsid w:val="00D71B15"/>
    <w:rsid w:val="00D71F22"/>
    <w:rsid w:val="00D72704"/>
    <w:rsid w:val="00D72A22"/>
    <w:rsid w:val="00D73041"/>
    <w:rsid w:val="00D73265"/>
    <w:rsid w:val="00D7347D"/>
    <w:rsid w:val="00D73B50"/>
    <w:rsid w:val="00D73EA1"/>
    <w:rsid w:val="00D74520"/>
    <w:rsid w:val="00D74B6D"/>
    <w:rsid w:val="00D75644"/>
    <w:rsid w:val="00D76769"/>
    <w:rsid w:val="00D7734F"/>
    <w:rsid w:val="00D77ABE"/>
    <w:rsid w:val="00D81656"/>
    <w:rsid w:val="00D816A7"/>
    <w:rsid w:val="00D817AA"/>
    <w:rsid w:val="00D833ED"/>
    <w:rsid w:val="00D83D1E"/>
    <w:rsid w:val="00D83D87"/>
    <w:rsid w:val="00D83DCF"/>
    <w:rsid w:val="00D84A6D"/>
    <w:rsid w:val="00D84B3E"/>
    <w:rsid w:val="00D84FDD"/>
    <w:rsid w:val="00D85F20"/>
    <w:rsid w:val="00D86453"/>
    <w:rsid w:val="00D86A30"/>
    <w:rsid w:val="00D9087F"/>
    <w:rsid w:val="00D94F93"/>
    <w:rsid w:val="00D973B1"/>
    <w:rsid w:val="00D97CB4"/>
    <w:rsid w:val="00D97DD4"/>
    <w:rsid w:val="00DA032D"/>
    <w:rsid w:val="00DA0D67"/>
    <w:rsid w:val="00DA12B9"/>
    <w:rsid w:val="00DA2D3F"/>
    <w:rsid w:val="00DA2DAA"/>
    <w:rsid w:val="00DA3CAC"/>
    <w:rsid w:val="00DA5A8A"/>
    <w:rsid w:val="00DA63CF"/>
    <w:rsid w:val="00DA706D"/>
    <w:rsid w:val="00DA7401"/>
    <w:rsid w:val="00DB00DE"/>
    <w:rsid w:val="00DB176B"/>
    <w:rsid w:val="00DB1A50"/>
    <w:rsid w:val="00DB1DFE"/>
    <w:rsid w:val="00DB26CD"/>
    <w:rsid w:val="00DB277F"/>
    <w:rsid w:val="00DB3014"/>
    <w:rsid w:val="00DB32FF"/>
    <w:rsid w:val="00DB441C"/>
    <w:rsid w:val="00DB44AF"/>
    <w:rsid w:val="00DB5D65"/>
    <w:rsid w:val="00DB62E8"/>
    <w:rsid w:val="00DB7F0F"/>
    <w:rsid w:val="00DC0075"/>
    <w:rsid w:val="00DC075E"/>
    <w:rsid w:val="00DC07F9"/>
    <w:rsid w:val="00DC15DA"/>
    <w:rsid w:val="00DC1BA7"/>
    <w:rsid w:val="00DC1C0E"/>
    <w:rsid w:val="00DC1F58"/>
    <w:rsid w:val="00DC20E0"/>
    <w:rsid w:val="00DC2261"/>
    <w:rsid w:val="00DC31B8"/>
    <w:rsid w:val="00DC339B"/>
    <w:rsid w:val="00DC3831"/>
    <w:rsid w:val="00DC38D3"/>
    <w:rsid w:val="00DC3EB4"/>
    <w:rsid w:val="00DC4DB2"/>
    <w:rsid w:val="00DC57F8"/>
    <w:rsid w:val="00DC5D40"/>
    <w:rsid w:val="00DC69A7"/>
    <w:rsid w:val="00DC6AA3"/>
    <w:rsid w:val="00DC79C6"/>
    <w:rsid w:val="00DD1833"/>
    <w:rsid w:val="00DD19C3"/>
    <w:rsid w:val="00DD30E9"/>
    <w:rsid w:val="00DD41E1"/>
    <w:rsid w:val="00DD4CB5"/>
    <w:rsid w:val="00DD4F47"/>
    <w:rsid w:val="00DD5472"/>
    <w:rsid w:val="00DD7B59"/>
    <w:rsid w:val="00DD7FBB"/>
    <w:rsid w:val="00DE0B9F"/>
    <w:rsid w:val="00DE15C6"/>
    <w:rsid w:val="00DE20B3"/>
    <w:rsid w:val="00DE2134"/>
    <w:rsid w:val="00DE2A9E"/>
    <w:rsid w:val="00DE2BA7"/>
    <w:rsid w:val="00DE4238"/>
    <w:rsid w:val="00DE42AB"/>
    <w:rsid w:val="00DE4506"/>
    <w:rsid w:val="00DE482D"/>
    <w:rsid w:val="00DE55F4"/>
    <w:rsid w:val="00DE579B"/>
    <w:rsid w:val="00DE6226"/>
    <w:rsid w:val="00DE657F"/>
    <w:rsid w:val="00DE68E2"/>
    <w:rsid w:val="00DF0A08"/>
    <w:rsid w:val="00DF1120"/>
    <w:rsid w:val="00DF1218"/>
    <w:rsid w:val="00DF26E0"/>
    <w:rsid w:val="00DF2E86"/>
    <w:rsid w:val="00DF6462"/>
    <w:rsid w:val="00DF6DD9"/>
    <w:rsid w:val="00DF7087"/>
    <w:rsid w:val="00DF70B3"/>
    <w:rsid w:val="00DF788C"/>
    <w:rsid w:val="00DF7B2F"/>
    <w:rsid w:val="00E009E3"/>
    <w:rsid w:val="00E010C1"/>
    <w:rsid w:val="00E021F3"/>
    <w:rsid w:val="00E024F1"/>
    <w:rsid w:val="00E02D15"/>
    <w:rsid w:val="00E02FA0"/>
    <w:rsid w:val="00E036DC"/>
    <w:rsid w:val="00E04E0C"/>
    <w:rsid w:val="00E059AF"/>
    <w:rsid w:val="00E06092"/>
    <w:rsid w:val="00E0678F"/>
    <w:rsid w:val="00E06832"/>
    <w:rsid w:val="00E069E8"/>
    <w:rsid w:val="00E07152"/>
    <w:rsid w:val="00E075E7"/>
    <w:rsid w:val="00E07E7E"/>
    <w:rsid w:val="00E07F60"/>
    <w:rsid w:val="00E10454"/>
    <w:rsid w:val="00E110E6"/>
    <w:rsid w:val="00E112E5"/>
    <w:rsid w:val="00E12571"/>
    <w:rsid w:val="00E12702"/>
    <w:rsid w:val="00E128DE"/>
    <w:rsid w:val="00E12A86"/>
    <w:rsid w:val="00E12B0F"/>
    <w:rsid w:val="00E12CC8"/>
    <w:rsid w:val="00E13AC3"/>
    <w:rsid w:val="00E15352"/>
    <w:rsid w:val="00E15AF0"/>
    <w:rsid w:val="00E1637A"/>
    <w:rsid w:val="00E17608"/>
    <w:rsid w:val="00E178A1"/>
    <w:rsid w:val="00E178CC"/>
    <w:rsid w:val="00E17AF8"/>
    <w:rsid w:val="00E17FCB"/>
    <w:rsid w:val="00E216D4"/>
    <w:rsid w:val="00E21CC7"/>
    <w:rsid w:val="00E24D9E"/>
    <w:rsid w:val="00E256B8"/>
    <w:rsid w:val="00E25849"/>
    <w:rsid w:val="00E25A9F"/>
    <w:rsid w:val="00E2684F"/>
    <w:rsid w:val="00E269AD"/>
    <w:rsid w:val="00E26D3C"/>
    <w:rsid w:val="00E3197E"/>
    <w:rsid w:val="00E31B37"/>
    <w:rsid w:val="00E31F58"/>
    <w:rsid w:val="00E32452"/>
    <w:rsid w:val="00E3292E"/>
    <w:rsid w:val="00E32A12"/>
    <w:rsid w:val="00E33753"/>
    <w:rsid w:val="00E342BB"/>
    <w:rsid w:val="00E342F8"/>
    <w:rsid w:val="00E34EBB"/>
    <w:rsid w:val="00E351ED"/>
    <w:rsid w:val="00E35C86"/>
    <w:rsid w:val="00E3646B"/>
    <w:rsid w:val="00E40D3A"/>
    <w:rsid w:val="00E41422"/>
    <w:rsid w:val="00E41DA7"/>
    <w:rsid w:val="00E41EC6"/>
    <w:rsid w:val="00E44726"/>
    <w:rsid w:val="00E44E3C"/>
    <w:rsid w:val="00E46E3B"/>
    <w:rsid w:val="00E47C3F"/>
    <w:rsid w:val="00E501B0"/>
    <w:rsid w:val="00E50A7A"/>
    <w:rsid w:val="00E51576"/>
    <w:rsid w:val="00E5199A"/>
    <w:rsid w:val="00E51BFF"/>
    <w:rsid w:val="00E5332B"/>
    <w:rsid w:val="00E543B9"/>
    <w:rsid w:val="00E5591D"/>
    <w:rsid w:val="00E56D35"/>
    <w:rsid w:val="00E57174"/>
    <w:rsid w:val="00E6034B"/>
    <w:rsid w:val="00E60695"/>
    <w:rsid w:val="00E6076E"/>
    <w:rsid w:val="00E60C56"/>
    <w:rsid w:val="00E60CDF"/>
    <w:rsid w:val="00E615A5"/>
    <w:rsid w:val="00E61FB0"/>
    <w:rsid w:val="00E621A4"/>
    <w:rsid w:val="00E62421"/>
    <w:rsid w:val="00E6383D"/>
    <w:rsid w:val="00E63D1C"/>
    <w:rsid w:val="00E6549E"/>
    <w:rsid w:val="00E656F1"/>
    <w:rsid w:val="00E65724"/>
    <w:rsid w:val="00E65C21"/>
    <w:rsid w:val="00E65EDE"/>
    <w:rsid w:val="00E66877"/>
    <w:rsid w:val="00E702BC"/>
    <w:rsid w:val="00E70BFF"/>
    <w:rsid w:val="00E70F81"/>
    <w:rsid w:val="00E73E38"/>
    <w:rsid w:val="00E74AE2"/>
    <w:rsid w:val="00E74EE8"/>
    <w:rsid w:val="00E750CC"/>
    <w:rsid w:val="00E7614B"/>
    <w:rsid w:val="00E762E6"/>
    <w:rsid w:val="00E76AE7"/>
    <w:rsid w:val="00E77055"/>
    <w:rsid w:val="00E77460"/>
    <w:rsid w:val="00E7798E"/>
    <w:rsid w:val="00E779B7"/>
    <w:rsid w:val="00E815CF"/>
    <w:rsid w:val="00E82248"/>
    <w:rsid w:val="00E838B3"/>
    <w:rsid w:val="00E83ABC"/>
    <w:rsid w:val="00E844F2"/>
    <w:rsid w:val="00E84BC4"/>
    <w:rsid w:val="00E85BB4"/>
    <w:rsid w:val="00E86E08"/>
    <w:rsid w:val="00E90266"/>
    <w:rsid w:val="00E908DE"/>
    <w:rsid w:val="00E90AD0"/>
    <w:rsid w:val="00E92FCB"/>
    <w:rsid w:val="00E93976"/>
    <w:rsid w:val="00E93F15"/>
    <w:rsid w:val="00E949BF"/>
    <w:rsid w:val="00E95796"/>
    <w:rsid w:val="00E976ED"/>
    <w:rsid w:val="00E978C3"/>
    <w:rsid w:val="00EA147F"/>
    <w:rsid w:val="00EA22E6"/>
    <w:rsid w:val="00EA2BB6"/>
    <w:rsid w:val="00EA418C"/>
    <w:rsid w:val="00EA4A27"/>
    <w:rsid w:val="00EA4FA6"/>
    <w:rsid w:val="00EA6C98"/>
    <w:rsid w:val="00EA7DEE"/>
    <w:rsid w:val="00EB02C7"/>
    <w:rsid w:val="00EB03F6"/>
    <w:rsid w:val="00EB1A25"/>
    <w:rsid w:val="00EB549F"/>
    <w:rsid w:val="00EB5EC5"/>
    <w:rsid w:val="00EB62FC"/>
    <w:rsid w:val="00EB7753"/>
    <w:rsid w:val="00EC007B"/>
    <w:rsid w:val="00EC01F2"/>
    <w:rsid w:val="00EC0272"/>
    <w:rsid w:val="00EC03D5"/>
    <w:rsid w:val="00EC042A"/>
    <w:rsid w:val="00EC05EC"/>
    <w:rsid w:val="00EC07B3"/>
    <w:rsid w:val="00EC130C"/>
    <w:rsid w:val="00EC1C32"/>
    <w:rsid w:val="00EC2039"/>
    <w:rsid w:val="00EC2880"/>
    <w:rsid w:val="00EC2D1A"/>
    <w:rsid w:val="00EC37FB"/>
    <w:rsid w:val="00EC3F7B"/>
    <w:rsid w:val="00EC4B4E"/>
    <w:rsid w:val="00EC4BA1"/>
    <w:rsid w:val="00EC5608"/>
    <w:rsid w:val="00EC6109"/>
    <w:rsid w:val="00EC69FA"/>
    <w:rsid w:val="00EC6A70"/>
    <w:rsid w:val="00EC6B36"/>
    <w:rsid w:val="00EC6D6B"/>
    <w:rsid w:val="00EC7489"/>
    <w:rsid w:val="00EC7E3E"/>
    <w:rsid w:val="00ED03AB"/>
    <w:rsid w:val="00ED0649"/>
    <w:rsid w:val="00ED0E22"/>
    <w:rsid w:val="00ED12E4"/>
    <w:rsid w:val="00ED1510"/>
    <w:rsid w:val="00ED1CD4"/>
    <w:rsid w:val="00ED1D2B"/>
    <w:rsid w:val="00ED3F2C"/>
    <w:rsid w:val="00ED4441"/>
    <w:rsid w:val="00ED5861"/>
    <w:rsid w:val="00ED5F35"/>
    <w:rsid w:val="00ED64B5"/>
    <w:rsid w:val="00ED7339"/>
    <w:rsid w:val="00ED738C"/>
    <w:rsid w:val="00EE02C4"/>
    <w:rsid w:val="00EE0F05"/>
    <w:rsid w:val="00EE10FE"/>
    <w:rsid w:val="00EE12C7"/>
    <w:rsid w:val="00EE2432"/>
    <w:rsid w:val="00EE2D46"/>
    <w:rsid w:val="00EE3462"/>
    <w:rsid w:val="00EE35DB"/>
    <w:rsid w:val="00EE3909"/>
    <w:rsid w:val="00EE3CE9"/>
    <w:rsid w:val="00EE3D66"/>
    <w:rsid w:val="00EE5A8C"/>
    <w:rsid w:val="00EE6A51"/>
    <w:rsid w:val="00EE7CCA"/>
    <w:rsid w:val="00EF14D6"/>
    <w:rsid w:val="00EF1C46"/>
    <w:rsid w:val="00EF2AA6"/>
    <w:rsid w:val="00EF3258"/>
    <w:rsid w:val="00EF3B98"/>
    <w:rsid w:val="00EF7F36"/>
    <w:rsid w:val="00F00A31"/>
    <w:rsid w:val="00F0112F"/>
    <w:rsid w:val="00F012D2"/>
    <w:rsid w:val="00F01371"/>
    <w:rsid w:val="00F013A5"/>
    <w:rsid w:val="00F043C0"/>
    <w:rsid w:val="00F05011"/>
    <w:rsid w:val="00F06015"/>
    <w:rsid w:val="00F075FC"/>
    <w:rsid w:val="00F07745"/>
    <w:rsid w:val="00F1089D"/>
    <w:rsid w:val="00F10C04"/>
    <w:rsid w:val="00F111C3"/>
    <w:rsid w:val="00F11567"/>
    <w:rsid w:val="00F1243F"/>
    <w:rsid w:val="00F14264"/>
    <w:rsid w:val="00F15A2C"/>
    <w:rsid w:val="00F15F62"/>
    <w:rsid w:val="00F15FD7"/>
    <w:rsid w:val="00F16A14"/>
    <w:rsid w:val="00F172E7"/>
    <w:rsid w:val="00F174C0"/>
    <w:rsid w:val="00F20279"/>
    <w:rsid w:val="00F20BEE"/>
    <w:rsid w:val="00F21963"/>
    <w:rsid w:val="00F236E0"/>
    <w:rsid w:val="00F25080"/>
    <w:rsid w:val="00F26015"/>
    <w:rsid w:val="00F264FB"/>
    <w:rsid w:val="00F26CBA"/>
    <w:rsid w:val="00F27750"/>
    <w:rsid w:val="00F311FC"/>
    <w:rsid w:val="00F312C0"/>
    <w:rsid w:val="00F31B53"/>
    <w:rsid w:val="00F32048"/>
    <w:rsid w:val="00F321B7"/>
    <w:rsid w:val="00F3459B"/>
    <w:rsid w:val="00F35B31"/>
    <w:rsid w:val="00F35E40"/>
    <w:rsid w:val="00F362D7"/>
    <w:rsid w:val="00F36553"/>
    <w:rsid w:val="00F3674A"/>
    <w:rsid w:val="00F3740B"/>
    <w:rsid w:val="00F37D7B"/>
    <w:rsid w:val="00F42E08"/>
    <w:rsid w:val="00F4367F"/>
    <w:rsid w:val="00F43FE5"/>
    <w:rsid w:val="00F445D7"/>
    <w:rsid w:val="00F44DBB"/>
    <w:rsid w:val="00F454A3"/>
    <w:rsid w:val="00F46BB5"/>
    <w:rsid w:val="00F53102"/>
    <w:rsid w:val="00F5314C"/>
    <w:rsid w:val="00F54E01"/>
    <w:rsid w:val="00F552B2"/>
    <w:rsid w:val="00F55709"/>
    <w:rsid w:val="00F559CA"/>
    <w:rsid w:val="00F5688C"/>
    <w:rsid w:val="00F56CFA"/>
    <w:rsid w:val="00F574FD"/>
    <w:rsid w:val="00F60048"/>
    <w:rsid w:val="00F6086D"/>
    <w:rsid w:val="00F609DB"/>
    <w:rsid w:val="00F60B21"/>
    <w:rsid w:val="00F61225"/>
    <w:rsid w:val="00F62ADB"/>
    <w:rsid w:val="00F62C0A"/>
    <w:rsid w:val="00F6322F"/>
    <w:rsid w:val="00F635DD"/>
    <w:rsid w:val="00F64C7A"/>
    <w:rsid w:val="00F64F3D"/>
    <w:rsid w:val="00F6627B"/>
    <w:rsid w:val="00F67E58"/>
    <w:rsid w:val="00F70592"/>
    <w:rsid w:val="00F7084B"/>
    <w:rsid w:val="00F70877"/>
    <w:rsid w:val="00F716B2"/>
    <w:rsid w:val="00F71A34"/>
    <w:rsid w:val="00F72646"/>
    <w:rsid w:val="00F7336E"/>
    <w:rsid w:val="00F734F2"/>
    <w:rsid w:val="00F75052"/>
    <w:rsid w:val="00F761DE"/>
    <w:rsid w:val="00F76866"/>
    <w:rsid w:val="00F77CC4"/>
    <w:rsid w:val="00F804D3"/>
    <w:rsid w:val="00F80615"/>
    <w:rsid w:val="00F81020"/>
    <w:rsid w:val="00F815DF"/>
    <w:rsid w:val="00F81CD2"/>
    <w:rsid w:val="00F82610"/>
    <w:rsid w:val="00F82641"/>
    <w:rsid w:val="00F840F6"/>
    <w:rsid w:val="00F8493E"/>
    <w:rsid w:val="00F84B47"/>
    <w:rsid w:val="00F84CB4"/>
    <w:rsid w:val="00F85715"/>
    <w:rsid w:val="00F8601D"/>
    <w:rsid w:val="00F86251"/>
    <w:rsid w:val="00F8627C"/>
    <w:rsid w:val="00F86286"/>
    <w:rsid w:val="00F86374"/>
    <w:rsid w:val="00F868E9"/>
    <w:rsid w:val="00F86BFD"/>
    <w:rsid w:val="00F87080"/>
    <w:rsid w:val="00F8754F"/>
    <w:rsid w:val="00F87CD5"/>
    <w:rsid w:val="00F90C95"/>
    <w:rsid w:val="00F90E67"/>
    <w:rsid w:val="00F90F18"/>
    <w:rsid w:val="00F91BD8"/>
    <w:rsid w:val="00F91C09"/>
    <w:rsid w:val="00F92474"/>
    <w:rsid w:val="00F92617"/>
    <w:rsid w:val="00F937E4"/>
    <w:rsid w:val="00F94509"/>
    <w:rsid w:val="00F959C8"/>
    <w:rsid w:val="00F95E94"/>
    <w:rsid w:val="00F95EC8"/>
    <w:rsid w:val="00F95EE7"/>
    <w:rsid w:val="00F96C29"/>
    <w:rsid w:val="00F9707B"/>
    <w:rsid w:val="00F97390"/>
    <w:rsid w:val="00F97459"/>
    <w:rsid w:val="00F9791F"/>
    <w:rsid w:val="00F97C45"/>
    <w:rsid w:val="00FA26B4"/>
    <w:rsid w:val="00FA2E71"/>
    <w:rsid w:val="00FA38EB"/>
    <w:rsid w:val="00FA39E6"/>
    <w:rsid w:val="00FA5EEF"/>
    <w:rsid w:val="00FA7BC9"/>
    <w:rsid w:val="00FB0A0E"/>
    <w:rsid w:val="00FB378E"/>
    <w:rsid w:val="00FB37F1"/>
    <w:rsid w:val="00FB47C0"/>
    <w:rsid w:val="00FB501B"/>
    <w:rsid w:val="00FB6155"/>
    <w:rsid w:val="00FB6FFA"/>
    <w:rsid w:val="00FB7770"/>
    <w:rsid w:val="00FB7E6E"/>
    <w:rsid w:val="00FB7F5F"/>
    <w:rsid w:val="00FC01B2"/>
    <w:rsid w:val="00FC02C1"/>
    <w:rsid w:val="00FC06AF"/>
    <w:rsid w:val="00FC0A8A"/>
    <w:rsid w:val="00FC1ED9"/>
    <w:rsid w:val="00FC2680"/>
    <w:rsid w:val="00FC32F4"/>
    <w:rsid w:val="00FC488D"/>
    <w:rsid w:val="00FC4B6F"/>
    <w:rsid w:val="00FC4ECD"/>
    <w:rsid w:val="00FC5154"/>
    <w:rsid w:val="00FC5799"/>
    <w:rsid w:val="00FD0592"/>
    <w:rsid w:val="00FD0E7A"/>
    <w:rsid w:val="00FD1D9F"/>
    <w:rsid w:val="00FD2716"/>
    <w:rsid w:val="00FD2908"/>
    <w:rsid w:val="00FD2A00"/>
    <w:rsid w:val="00FD2EC3"/>
    <w:rsid w:val="00FD2F6C"/>
    <w:rsid w:val="00FD3336"/>
    <w:rsid w:val="00FD357F"/>
    <w:rsid w:val="00FD3B91"/>
    <w:rsid w:val="00FD4639"/>
    <w:rsid w:val="00FD5456"/>
    <w:rsid w:val="00FD576B"/>
    <w:rsid w:val="00FD579E"/>
    <w:rsid w:val="00FD6845"/>
    <w:rsid w:val="00FD7601"/>
    <w:rsid w:val="00FE1345"/>
    <w:rsid w:val="00FE357D"/>
    <w:rsid w:val="00FE3CAE"/>
    <w:rsid w:val="00FE4516"/>
    <w:rsid w:val="00FE4564"/>
    <w:rsid w:val="00FE539C"/>
    <w:rsid w:val="00FE5FFB"/>
    <w:rsid w:val="00FE64C8"/>
    <w:rsid w:val="00FE65B9"/>
    <w:rsid w:val="00FE6665"/>
    <w:rsid w:val="00FF0913"/>
    <w:rsid w:val="00FF0B5B"/>
    <w:rsid w:val="00FF0BD4"/>
    <w:rsid w:val="00FF0EAD"/>
    <w:rsid w:val="00FF1502"/>
    <w:rsid w:val="00FF2CFA"/>
    <w:rsid w:val="00FF39EA"/>
    <w:rsid w:val="00FF3F21"/>
    <w:rsid w:val="00FF3FD1"/>
    <w:rsid w:val="00FF424A"/>
    <w:rsid w:val="00FF4CFE"/>
    <w:rsid w:val="00FF4E62"/>
    <w:rsid w:val="00FF4F41"/>
    <w:rsid w:val="00FF602D"/>
    <w:rsid w:val="00FF6468"/>
    <w:rsid w:val="00FF670C"/>
    <w:rsid w:val="00FF6F1A"/>
    <w:rsid w:val="00FF77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F71A34"/>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F71A34"/>
    <w:pPr>
      <w:numPr>
        <w:numId w:val="27"/>
      </w:numPr>
      <w:outlineLvl w:val="0"/>
    </w:pPr>
    <w:rPr>
      <w:rFonts w:hAnsi="Arial"/>
      <w:bCs/>
      <w:kern w:val="32"/>
      <w:szCs w:val="52"/>
    </w:rPr>
  </w:style>
  <w:style w:type="paragraph" w:styleId="2">
    <w:name w:val="heading 2"/>
    <w:basedOn w:val="a6"/>
    <w:link w:val="20"/>
    <w:qFormat/>
    <w:rsid w:val="00F71A34"/>
    <w:pPr>
      <w:numPr>
        <w:ilvl w:val="1"/>
        <w:numId w:val="27"/>
      </w:numPr>
      <w:outlineLvl w:val="1"/>
    </w:pPr>
    <w:rPr>
      <w:rFonts w:hAnsi="Arial"/>
      <w:bCs/>
      <w:kern w:val="32"/>
      <w:szCs w:val="48"/>
    </w:rPr>
  </w:style>
  <w:style w:type="paragraph" w:styleId="3">
    <w:name w:val="heading 3"/>
    <w:basedOn w:val="a6"/>
    <w:link w:val="30"/>
    <w:qFormat/>
    <w:rsid w:val="00F71A34"/>
    <w:pPr>
      <w:numPr>
        <w:ilvl w:val="2"/>
        <w:numId w:val="27"/>
      </w:numPr>
      <w:outlineLvl w:val="2"/>
    </w:pPr>
    <w:rPr>
      <w:rFonts w:hAnsi="Arial"/>
      <w:bCs/>
      <w:kern w:val="32"/>
      <w:szCs w:val="36"/>
    </w:rPr>
  </w:style>
  <w:style w:type="paragraph" w:styleId="4">
    <w:name w:val="heading 4"/>
    <w:basedOn w:val="a6"/>
    <w:link w:val="40"/>
    <w:qFormat/>
    <w:rsid w:val="00F71A34"/>
    <w:pPr>
      <w:numPr>
        <w:ilvl w:val="3"/>
        <w:numId w:val="27"/>
      </w:numPr>
      <w:outlineLvl w:val="3"/>
    </w:pPr>
    <w:rPr>
      <w:rFonts w:hAnsi="Arial"/>
      <w:kern w:val="32"/>
      <w:szCs w:val="36"/>
    </w:rPr>
  </w:style>
  <w:style w:type="paragraph" w:styleId="5">
    <w:name w:val="heading 5"/>
    <w:basedOn w:val="a6"/>
    <w:link w:val="50"/>
    <w:qFormat/>
    <w:rsid w:val="00F71A34"/>
    <w:pPr>
      <w:numPr>
        <w:ilvl w:val="4"/>
        <w:numId w:val="27"/>
      </w:numPr>
      <w:outlineLvl w:val="4"/>
    </w:pPr>
    <w:rPr>
      <w:rFonts w:hAnsi="Arial"/>
      <w:bCs/>
      <w:kern w:val="32"/>
      <w:szCs w:val="36"/>
    </w:rPr>
  </w:style>
  <w:style w:type="paragraph" w:styleId="6">
    <w:name w:val="heading 6"/>
    <w:basedOn w:val="a6"/>
    <w:link w:val="60"/>
    <w:qFormat/>
    <w:rsid w:val="00F71A34"/>
    <w:pPr>
      <w:numPr>
        <w:ilvl w:val="5"/>
        <w:numId w:val="27"/>
      </w:numPr>
      <w:tabs>
        <w:tab w:val="left" w:pos="2094"/>
      </w:tabs>
      <w:outlineLvl w:val="5"/>
    </w:pPr>
    <w:rPr>
      <w:rFonts w:hAnsi="Arial"/>
      <w:kern w:val="32"/>
      <w:szCs w:val="36"/>
    </w:rPr>
  </w:style>
  <w:style w:type="paragraph" w:styleId="7">
    <w:name w:val="heading 7"/>
    <w:basedOn w:val="a6"/>
    <w:link w:val="70"/>
    <w:qFormat/>
    <w:rsid w:val="00F71A34"/>
    <w:pPr>
      <w:numPr>
        <w:ilvl w:val="6"/>
        <w:numId w:val="27"/>
      </w:numPr>
      <w:outlineLvl w:val="6"/>
    </w:pPr>
    <w:rPr>
      <w:rFonts w:hAnsi="Arial"/>
      <w:bCs/>
      <w:kern w:val="32"/>
      <w:szCs w:val="36"/>
    </w:rPr>
  </w:style>
  <w:style w:type="paragraph" w:styleId="8">
    <w:name w:val="heading 8"/>
    <w:basedOn w:val="a6"/>
    <w:link w:val="80"/>
    <w:qFormat/>
    <w:rsid w:val="00F71A34"/>
    <w:pPr>
      <w:numPr>
        <w:ilvl w:val="7"/>
        <w:numId w:val="27"/>
      </w:numPr>
      <w:outlineLvl w:val="7"/>
    </w:pPr>
    <w:rPr>
      <w:rFonts w:hAnsi="Arial"/>
      <w:kern w:val="32"/>
      <w:szCs w:val="36"/>
    </w:rPr>
  </w:style>
  <w:style w:type="paragraph" w:styleId="9">
    <w:name w:val="heading 9"/>
    <w:basedOn w:val="a6"/>
    <w:link w:val="90"/>
    <w:uiPriority w:val="9"/>
    <w:unhideWhenUsed/>
    <w:qFormat/>
    <w:rsid w:val="00F71A34"/>
    <w:pPr>
      <w:numPr>
        <w:ilvl w:val="8"/>
        <w:numId w:val="2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F71A34"/>
    <w:pPr>
      <w:spacing w:before="720" w:after="720"/>
      <w:ind w:left="7371"/>
    </w:pPr>
    <w:rPr>
      <w:b/>
      <w:snapToGrid w:val="0"/>
      <w:spacing w:val="10"/>
      <w:sz w:val="36"/>
    </w:rPr>
  </w:style>
  <w:style w:type="paragraph" w:styleId="ac">
    <w:name w:val="endnote text"/>
    <w:basedOn w:val="a6"/>
    <w:link w:val="ad"/>
    <w:semiHidden/>
    <w:rsid w:val="00F71A34"/>
    <w:pPr>
      <w:kinsoku w:val="0"/>
      <w:autoSpaceDE/>
      <w:spacing w:before="240"/>
      <w:ind w:left="1021" w:hanging="1021"/>
    </w:pPr>
    <w:rPr>
      <w:snapToGrid w:val="0"/>
      <w:spacing w:val="10"/>
    </w:rPr>
  </w:style>
  <w:style w:type="paragraph" w:styleId="51">
    <w:name w:val="toc 5"/>
    <w:basedOn w:val="a6"/>
    <w:next w:val="a6"/>
    <w:autoRedefine/>
    <w:rsid w:val="00F71A34"/>
    <w:pPr>
      <w:ind w:leftChars="400" w:left="600" w:rightChars="200" w:right="200" w:hangingChars="200" w:hanging="200"/>
    </w:pPr>
  </w:style>
  <w:style w:type="character" w:styleId="ae">
    <w:name w:val="page number"/>
    <w:basedOn w:val="a7"/>
    <w:rsid w:val="00F71A34"/>
    <w:rPr>
      <w:rFonts w:ascii="標楷體" w:eastAsia="標楷體"/>
      <w:sz w:val="20"/>
    </w:rPr>
  </w:style>
  <w:style w:type="paragraph" w:styleId="61">
    <w:name w:val="toc 6"/>
    <w:basedOn w:val="a6"/>
    <w:next w:val="a6"/>
    <w:autoRedefine/>
    <w:rsid w:val="00F71A34"/>
    <w:pPr>
      <w:ind w:leftChars="500" w:left="500"/>
    </w:pPr>
  </w:style>
  <w:style w:type="paragraph" w:customStyle="1" w:styleId="11">
    <w:name w:val="段落樣式1"/>
    <w:basedOn w:val="a6"/>
    <w:qFormat/>
    <w:rsid w:val="00F71A34"/>
    <w:pPr>
      <w:tabs>
        <w:tab w:val="left" w:pos="567"/>
      </w:tabs>
      <w:ind w:leftChars="200" w:left="200" w:firstLineChars="200" w:firstLine="200"/>
    </w:pPr>
    <w:rPr>
      <w:kern w:val="32"/>
    </w:rPr>
  </w:style>
  <w:style w:type="paragraph" w:customStyle="1" w:styleId="21">
    <w:name w:val="段落樣式2"/>
    <w:basedOn w:val="a6"/>
    <w:qFormat/>
    <w:rsid w:val="00F71A34"/>
    <w:pPr>
      <w:tabs>
        <w:tab w:val="left" w:pos="567"/>
      </w:tabs>
      <w:ind w:leftChars="300" w:left="300" w:firstLineChars="200" w:firstLine="200"/>
    </w:pPr>
    <w:rPr>
      <w:kern w:val="32"/>
    </w:rPr>
  </w:style>
  <w:style w:type="paragraph" w:styleId="12">
    <w:name w:val="toc 1"/>
    <w:basedOn w:val="a6"/>
    <w:next w:val="a6"/>
    <w:autoRedefine/>
    <w:uiPriority w:val="39"/>
    <w:rsid w:val="00F71A34"/>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75ED5"/>
    <w:pPr>
      <w:tabs>
        <w:tab w:val="right" w:leader="hyphen" w:pos="8834"/>
      </w:tabs>
      <w:kinsoku w:val="0"/>
      <w:overflowPunct/>
      <w:ind w:leftChars="100" w:left="1020" w:rightChars="100" w:right="340" w:hangingChars="200" w:hanging="680"/>
    </w:pPr>
    <w:rPr>
      <w:noProof/>
    </w:rPr>
  </w:style>
  <w:style w:type="paragraph" w:styleId="31">
    <w:name w:val="toc 3"/>
    <w:basedOn w:val="a6"/>
    <w:next w:val="a6"/>
    <w:autoRedefine/>
    <w:uiPriority w:val="39"/>
    <w:rsid w:val="00F71A34"/>
    <w:pPr>
      <w:tabs>
        <w:tab w:val="right" w:leader="hyphen" w:pos="8834"/>
      </w:tabs>
      <w:kinsoku w:val="0"/>
      <w:ind w:leftChars="200" w:left="1360" w:rightChars="100" w:right="340" w:hangingChars="200" w:hanging="680"/>
    </w:pPr>
    <w:rPr>
      <w:noProof/>
    </w:rPr>
  </w:style>
  <w:style w:type="paragraph" w:styleId="41">
    <w:name w:val="toc 4"/>
    <w:basedOn w:val="a6"/>
    <w:next w:val="a6"/>
    <w:autoRedefine/>
    <w:rsid w:val="00F71A34"/>
    <w:pPr>
      <w:kinsoku w:val="0"/>
      <w:ind w:leftChars="300" w:left="500" w:rightChars="200" w:right="200" w:hangingChars="200" w:hanging="200"/>
    </w:pPr>
  </w:style>
  <w:style w:type="paragraph" w:styleId="71">
    <w:name w:val="toc 7"/>
    <w:basedOn w:val="a6"/>
    <w:next w:val="a6"/>
    <w:autoRedefine/>
    <w:rsid w:val="00F71A34"/>
    <w:pPr>
      <w:ind w:leftChars="600" w:left="800" w:hangingChars="200" w:hanging="200"/>
    </w:pPr>
  </w:style>
  <w:style w:type="paragraph" w:styleId="81">
    <w:name w:val="toc 8"/>
    <w:basedOn w:val="a6"/>
    <w:next w:val="a6"/>
    <w:autoRedefine/>
    <w:rsid w:val="00F71A34"/>
    <w:pPr>
      <w:ind w:leftChars="700" w:left="900" w:hangingChars="200" w:hanging="200"/>
    </w:pPr>
  </w:style>
  <w:style w:type="paragraph" w:styleId="91">
    <w:name w:val="toc 9"/>
    <w:basedOn w:val="a6"/>
    <w:next w:val="a6"/>
    <w:autoRedefine/>
    <w:rsid w:val="00F71A34"/>
    <w:pPr>
      <w:ind w:leftChars="1600" w:left="3840"/>
    </w:pPr>
  </w:style>
  <w:style w:type="paragraph" w:styleId="af">
    <w:name w:val="header"/>
    <w:basedOn w:val="a6"/>
    <w:link w:val="af0"/>
    <w:rsid w:val="00F71A34"/>
    <w:pPr>
      <w:tabs>
        <w:tab w:val="center" w:pos="4153"/>
        <w:tab w:val="right" w:pos="8306"/>
      </w:tabs>
      <w:snapToGrid w:val="0"/>
    </w:pPr>
    <w:rPr>
      <w:sz w:val="20"/>
    </w:rPr>
  </w:style>
  <w:style w:type="paragraph" w:customStyle="1" w:styleId="32">
    <w:name w:val="段落樣式3"/>
    <w:basedOn w:val="21"/>
    <w:qFormat/>
    <w:rsid w:val="00F71A34"/>
    <w:pPr>
      <w:ind w:leftChars="400" w:left="400"/>
    </w:pPr>
  </w:style>
  <w:style w:type="character" w:styleId="af1">
    <w:name w:val="Hyperlink"/>
    <w:basedOn w:val="a7"/>
    <w:uiPriority w:val="99"/>
    <w:rsid w:val="00F71A34"/>
    <w:rPr>
      <w:color w:val="0000FF"/>
      <w:u w:val="single"/>
    </w:rPr>
  </w:style>
  <w:style w:type="paragraph" w:customStyle="1" w:styleId="af2">
    <w:name w:val="簽名日期"/>
    <w:basedOn w:val="a6"/>
    <w:rsid w:val="00F71A34"/>
    <w:pPr>
      <w:kinsoku w:val="0"/>
      <w:jc w:val="distribute"/>
    </w:pPr>
    <w:rPr>
      <w:kern w:val="0"/>
    </w:rPr>
  </w:style>
  <w:style w:type="paragraph" w:customStyle="1" w:styleId="0">
    <w:name w:val="段落樣式0"/>
    <w:basedOn w:val="21"/>
    <w:qFormat/>
    <w:rsid w:val="00F71A34"/>
    <w:pPr>
      <w:ind w:leftChars="200" w:left="200" w:firstLineChars="0" w:firstLine="0"/>
    </w:pPr>
  </w:style>
  <w:style w:type="paragraph" w:customStyle="1" w:styleId="af3">
    <w:name w:val="附件"/>
    <w:basedOn w:val="ac"/>
    <w:rsid w:val="00F71A34"/>
    <w:pPr>
      <w:spacing w:before="0"/>
      <w:ind w:left="1047" w:hangingChars="300" w:hanging="1047"/>
    </w:pPr>
    <w:rPr>
      <w:snapToGrid/>
      <w:spacing w:val="0"/>
      <w:kern w:val="0"/>
    </w:rPr>
  </w:style>
  <w:style w:type="paragraph" w:customStyle="1" w:styleId="42">
    <w:name w:val="段落樣式4"/>
    <w:basedOn w:val="32"/>
    <w:qFormat/>
    <w:rsid w:val="00F71A34"/>
    <w:pPr>
      <w:ind w:leftChars="500" w:left="500"/>
    </w:pPr>
  </w:style>
  <w:style w:type="paragraph" w:customStyle="1" w:styleId="52">
    <w:name w:val="段落樣式5"/>
    <w:basedOn w:val="42"/>
    <w:qFormat/>
    <w:rsid w:val="00F71A34"/>
    <w:pPr>
      <w:ind w:leftChars="600" w:left="600"/>
    </w:pPr>
  </w:style>
  <w:style w:type="paragraph" w:customStyle="1" w:styleId="62">
    <w:name w:val="段落樣式6"/>
    <w:basedOn w:val="52"/>
    <w:qFormat/>
    <w:rsid w:val="00F71A34"/>
    <w:pPr>
      <w:ind w:leftChars="700" w:left="700"/>
    </w:pPr>
  </w:style>
  <w:style w:type="paragraph" w:customStyle="1" w:styleId="72">
    <w:name w:val="段落樣式7"/>
    <w:basedOn w:val="62"/>
    <w:qFormat/>
    <w:rsid w:val="00F71A34"/>
    <w:pPr>
      <w:ind w:leftChars="800" w:left="800"/>
    </w:pPr>
  </w:style>
  <w:style w:type="paragraph" w:customStyle="1" w:styleId="82">
    <w:name w:val="段落樣式8"/>
    <w:basedOn w:val="72"/>
    <w:qFormat/>
    <w:rsid w:val="00F71A34"/>
    <w:pPr>
      <w:ind w:leftChars="900" w:left="900"/>
    </w:pPr>
  </w:style>
  <w:style w:type="paragraph" w:customStyle="1" w:styleId="a0">
    <w:name w:val="附表樣式"/>
    <w:basedOn w:val="a6"/>
    <w:qFormat/>
    <w:rsid w:val="00F71A34"/>
    <w:pPr>
      <w:keepNext/>
      <w:numPr>
        <w:numId w:val="14"/>
      </w:numPr>
      <w:outlineLvl w:val="0"/>
    </w:pPr>
    <w:rPr>
      <w:kern w:val="32"/>
    </w:rPr>
  </w:style>
  <w:style w:type="paragraph" w:styleId="af4">
    <w:name w:val="Body Text Indent"/>
    <w:basedOn w:val="a6"/>
    <w:link w:val="af5"/>
    <w:semiHidden/>
    <w:rsid w:val="00F71A34"/>
    <w:pPr>
      <w:ind w:left="698" w:hangingChars="200" w:hanging="698"/>
    </w:pPr>
  </w:style>
  <w:style w:type="paragraph" w:customStyle="1" w:styleId="af6">
    <w:name w:val="調查報告"/>
    <w:basedOn w:val="ac"/>
    <w:rsid w:val="00F71A34"/>
    <w:pPr>
      <w:adjustRightInd w:val="0"/>
      <w:spacing w:before="0"/>
      <w:ind w:left="0" w:firstLine="0"/>
      <w:jc w:val="center"/>
    </w:pPr>
    <w:rPr>
      <w:b/>
      <w:snapToGrid/>
      <w:spacing w:val="200"/>
      <w:kern w:val="0"/>
      <w:sz w:val="40"/>
    </w:rPr>
  </w:style>
  <w:style w:type="paragraph" w:customStyle="1" w:styleId="14">
    <w:name w:val="表格14"/>
    <w:basedOn w:val="a6"/>
    <w:rsid w:val="00F71A34"/>
    <w:pPr>
      <w:adjustRightInd w:val="0"/>
      <w:snapToGrid w:val="0"/>
      <w:spacing w:line="360" w:lineRule="exact"/>
    </w:pPr>
    <w:rPr>
      <w:snapToGrid w:val="0"/>
      <w:spacing w:val="-14"/>
      <w:kern w:val="0"/>
      <w:sz w:val="28"/>
    </w:rPr>
  </w:style>
  <w:style w:type="paragraph" w:customStyle="1" w:styleId="a">
    <w:name w:val="附圖樣式"/>
    <w:basedOn w:val="a6"/>
    <w:qFormat/>
    <w:rsid w:val="00F71A34"/>
    <w:pPr>
      <w:keepNext/>
      <w:numPr>
        <w:numId w:val="15"/>
      </w:numPr>
      <w:outlineLvl w:val="0"/>
    </w:pPr>
    <w:rPr>
      <w:kern w:val="32"/>
    </w:rPr>
  </w:style>
  <w:style w:type="paragraph" w:styleId="af7">
    <w:name w:val="footer"/>
    <w:basedOn w:val="a6"/>
    <w:link w:val="af8"/>
    <w:rsid w:val="00F71A34"/>
    <w:pPr>
      <w:tabs>
        <w:tab w:val="center" w:pos="4153"/>
        <w:tab w:val="right" w:pos="8306"/>
      </w:tabs>
      <w:snapToGrid w:val="0"/>
    </w:pPr>
    <w:rPr>
      <w:sz w:val="20"/>
    </w:rPr>
  </w:style>
  <w:style w:type="paragraph" w:styleId="af9">
    <w:name w:val="table of figures"/>
    <w:basedOn w:val="a6"/>
    <w:next w:val="a6"/>
    <w:uiPriority w:val="99"/>
    <w:rsid w:val="00F71A34"/>
    <w:pPr>
      <w:ind w:left="400" w:hangingChars="400" w:hanging="400"/>
    </w:pPr>
  </w:style>
  <w:style w:type="paragraph" w:customStyle="1" w:styleId="140">
    <w:name w:val="表格標題14"/>
    <w:basedOn w:val="a6"/>
    <w:rsid w:val="00F71A34"/>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F71A34"/>
    <w:pPr>
      <w:keepNext/>
      <w:widowControl w:val="0"/>
      <w:numPr>
        <w:numId w:val="1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3B254C"/>
    <w:pPr>
      <w:kinsoku w:val="0"/>
      <w:adjustRightInd w:val="0"/>
      <w:snapToGrid w:val="0"/>
      <w:spacing w:before="40" w:after="240" w:line="360" w:lineRule="exact"/>
    </w:pPr>
    <w:rPr>
      <w:spacing w:val="-10"/>
      <w:kern w:val="0"/>
      <w:sz w:val="24"/>
      <w:szCs w:val="22"/>
    </w:rPr>
  </w:style>
  <w:style w:type="paragraph" w:customStyle="1" w:styleId="a1">
    <w:name w:val="圖標題"/>
    <w:basedOn w:val="a6"/>
    <w:qFormat/>
    <w:rsid w:val="00F71A34"/>
    <w:pPr>
      <w:numPr>
        <w:numId w:val="18"/>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59"/>
    <w:rsid w:val="00F71A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F71A34"/>
    <w:pPr>
      <w:spacing w:line="240" w:lineRule="exact"/>
    </w:pPr>
    <w:rPr>
      <w:sz w:val="24"/>
      <w:szCs w:val="24"/>
    </w:rPr>
  </w:style>
  <w:style w:type="paragraph" w:customStyle="1" w:styleId="121">
    <w:name w:val="表格12"/>
    <w:basedOn w:val="14"/>
    <w:rsid w:val="00F71A34"/>
    <w:pPr>
      <w:spacing w:line="300" w:lineRule="exact"/>
    </w:pPr>
    <w:rPr>
      <w:sz w:val="24"/>
      <w:szCs w:val="24"/>
    </w:rPr>
  </w:style>
  <w:style w:type="paragraph" w:customStyle="1" w:styleId="a4">
    <w:name w:val="附錄"/>
    <w:basedOn w:val="a6"/>
    <w:qFormat/>
    <w:rsid w:val="00F71A34"/>
    <w:pPr>
      <w:keepNext/>
      <w:numPr>
        <w:numId w:val="16"/>
      </w:numPr>
      <w:outlineLvl w:val="0"/>
    </w:pPr>
    <w:rPr>
      <w:kern w:val="32"/>
    </w:rPr>
  </w:style>
  <w:style w:type="paragraph" w:styleId="afc">
    <w:name w:val="List Paragraph"/>
    <w:basedOn w:val="a6"/>
    <w:link w:val="afd"/>
    <w:uiPriority w:val="34"/>
    <w:qFormat/>
    <w:rsid w:val="00F71A34"/>
    <w:pPr>
      <w:ind w:leftChars="200" w:left="480"/>
    </w:pPr>
  </w:style>
  <w:style w:type="paragraph" w:styleId="afe">
    <w:name w:val="Balloon Text"/>
    <w:basedOn w:val="a6"/>
    <w:link w:val="aff"/>
    <w:uiPriority w:val="99"/>
    <w:semiHidden/>
    <w:unhideWhenUsed/>
    <w:rsid w:val="00F71A34"/>
    <w:rPr>
      <w:rFonts w:asciiTheme="majorHAnsi" w:eastAsiaTheme="majorEastAsia" w:hAnsiTheme="majorHAnsi" w:cstheme="majorBidi"/>
      <w:sz w:val="18"/>
      <w:szCs w:val="18"/>
    </w:rPr>
  </w:style>
  <w:style w:type="character" w:customStyle="1" w:styleId="aff">
    <w:name w:val="註解方塊文字 字元"/>
    <w:basedOn w:val="a7"/>
    <w:link w:val="afe"/>
    <w:uiPriority w:val="99"/>
    <w:semiHidden/>
    <w:rsid w:val="00F71A34"/>
    <w:rPr>
      <w:rFonts w:asciiTheme="majorHAnsi" w:eastAsiaTheme="majorEastAsia" w:hAnsiTheme="majorHAnsi" w:cstheme="majorBidi"/>
      <w:kern w:val="2"/>
      <w:sz w:val="18"/>
      <w:szCs w:val="18"/>
    </w:rPr>
  </w:style>
  <w:style w:type="paragraph" w:customStyle="1" w:styleId="a5">
    <w:name w:val="照片標題"/>
    <w:qFormat/>
    <w:rsid w:val="00F71A34"/>
    <w:pPr>
      <w:numPr>
        <w:numId w:val="17"/>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F71A34"/>
    <w:pPr>
      <w:keepNext/>
      <w:numPr>
        <w:numId w:val="13"/>
      </w:numPr>
      <w:outlineLvl w:val="0"/>
    </w:pPr>
    <w:rPr>
      <w:kern w:val="32"/>
    </w:rPr>
  </w:style>
  <w:style w:type="character" w:customStyle="1" w:styleId="90">
    <w:name w:val="標題 9 字元"/>
    <w:basedOn w:val="a7"/>
    <w:link w:val="9"/>
    <w:uiPriority w:val="9"/>
    <w:rsid w:val="00F71A34"/>
    <w:rPr>
      <w:rFonts w:ascii="標楷體" w:eastAsia="標楷體" w:hAnsiTheme="majorHAnsi" w:cstheme="majorBidi"/>
      <w:kern w:val="32"/>
      <w:sz w:val="32"/>
      <w:szCs w:val="36"/>
    </w:rPr>
  </w:style>
  <w:style w:type="paragraph" w:customStyle="1" w:styleId="92">
    <w:name w:val="段落樣式9"/>
    <w:basedOn w:val="82"/>
    <w:qFormat/>
    <w:rsid w:val="00F71A34"/>
    <w:pPr>
      <w:ind w:leftChars="1000" w:left="1000"/>
    </w:pPr>
  </w:style>
  <w:style w:type="character" w:customStyle="1" w:styleId="40">
    <w:name w:val="標題 4 字元"/>
    <w:basedOn w:val="a7"/>
    <w:link w:val="4"/>
    <w:rsid w:val="00F71A34"/>
    <w:rPr>
      <w:rFonts w:ascii="標楷體" w:eastAsia="標楷體" w:hAnsi="Arial"/>
      <w:kern w:val="32"/>
      <w:sz w:val="32"/>
      <w:szCs w:val="36"/>
    </w:rPr>
  </w:style>
  <w:style w:type="character" w:customStyle="1" w:styleId="af5">
    <w:name w:val="本文縮排 字元"/>
    <w:basedOn w:val="a7"/>
    <w:link w:val="af4"/>
    <w:semiHidden/>
    <w:rsid w:val="00F71A34"/>
    <w:rPr>
      <w:rFonts w:ascii="標楷體" w:eastAsia="標楷體"/>
      <w:kern w:val="2"/>
      <w:sz w:val="32"/>
    </w:rPr>
  </w:style>
  <w:style w:type="character" w:customStyle="1" w:styleId="ad">
    <w:name w:val="章節附註文字 字元"/>
    <w:basedOn w:val="a7"/>
    <w:link w:val="ac"/>
    <w:semiHidden/>
    <w:rsid w:val="00F71A34"/>
    <w:rPr>
      <w:rFonts w:ascii="標楷體" w:eastAsia="標楷體"/>
      <w:snapToGrid w:val="0"/>
      <w:spacing w:val="10"/>
      <w:kern w:val="2"/>
      <w:sz w:val="32"/>
    </w:rPr>
  </w:style>
  <w:style w:type="character" w:customStyle="1" w:styleId="af8">
    <w:name w:val="頁尾 字元"/>
    <w:basedOn w:val="a7"/>
    <w:link w:val="af7"/>
    <w:rsid w:val="00F71A34"/>
    <w:rPr>
      <w:rFonts w:ascii="標楷體" w:eastAsia="標楷體"/>
      <w:kern w:val="2"/>
    </w:rPr>
  </w:style>
  <w:style w:type="character" w:customStyle="1" w:styleId="af0">
    <w:name w:val="頁首 字元"/>
    <w:basedOn w:val="a7"/>
    <w:link w:val="af"/>
    <w:rsid w:val="00F71A34"/>
    <w:rPr>
      <w:rFonts w:ascii="標楷體" w:eastAsia="標楷體"/>
      <w:kern w:val="2"/>
    </w:rPr>
  </w:style>
  <w:style w:type="character" w:customStyle="1" w:styleId="10">
    <w:name w:val="標題 1 字元"/>
    <w:basedOn w:val="a7"/>
    <w:link w:val="1"/>
    <w:rsid w:val="00F71A34"/>
    <w:rPr>
      <w:rFonts w:ascii="標楷體" w:eastAsia="標楷體" w:hAnsi="Arial"/>
      <w:bCs/>
      <w:kern w:val="32"/>
      <w:sz w:val="32"/>
      <w:szCs w:val="52"/>
    </w:rPr>
  </w:style>
  <w:style w:type="character" w:customStyle="1" w:styleId="20">
    <w:name w:val="標題 2 字元"/>
    <w:basedOn w:val="a7"/>
    <w:link w:val="2"/>
    <w:rsid w:val="00F71A34"/>
    <w:rPr>
      <w:rFonts w:ascii="標楷體" w:eastAsia="標楷體" w:hAnsi="Arial"/>
      <w:bCs/>
      <w:kern w:val="32"/>
      <w:sz w:val="32"/>
      <w:szCs w:val="48"/>
    </w:rPr>
  </w:style>
  <w:style w:type="character" w:customStyle="1" w:styleId="30">
    <w:name w:val="標題 3 字元"/>
    <w:basedOn w:val="a7"/>
    <w:link w:val="3"/>
    <w:rsid w:val="00F71A34"/>
    <w:rPr>
      <w:rFonts w:ascii="標楷體" w:eastAsia="標楷體" w:hAnsi="Arial"/>
      <w:bCs/>
      <w:kern w:val="32"/>
      <w:sz w:val="32"/>
      <w:szCs w:val="36"/>
    </w:rPr>
  </w:style>
  <w:style w:type="character" w:customStyle="1" w:styleId="50">
    <w:name w:val="標題 5 字元"/>
    <w:basedOn w:val="a7"/>
    <w:link w:val="5"/>
    <w:rsid w:val="00F71A34"/>
    <w:rPr>
      <w:rFonts w:ascii="標楷體" w:eastAsia="標楷體" w:hAnsi="Arial"/>
      <w:bCs/>
      <w:kern w:val="32"/>
      <w:sz w:val="32"/>
      <w:szCs w:val="36"/>
    </w:rPr>
  </w:style>
  <w:style w:type="character" w:customStyle="1" w:styleId="60">
    <w:name w:val="標題 6 字元"/>
    <w:basedOn w:val="a7"/>
    <w:link w:val="6"/>
    <w:rsid w:val="00F71A34"/>
    <w:rPr>
      <w:rFonts w:ascii="標楷體" w:eastAsia="標楷體" w:hAnsi="Arial"/>
      <w:kern w:val="32"/>
      <w:sz w:val="32"/>
      <w:szCs w:val="36"/>
    </w:rPr>
  </w:style>
  <w:style w:type="character" w:customStyle="1" w:styleId="70">
    <w:name w:val="標題 7 字元"/>
    <w:basedOn w:val="a7"/>
    <w:link w:val="7"/>
    <w:rsid w:val="00F71A34"/>
    <w:rPr>
      <w:rFonts w:ascii="標楷體" w:eastAsia="標楷體" w:hAnsi="Arial"/>
      <w:bCs/>
      <w:kern w:val="32"/>
      <w:sz w:val="32"/>
      <w:szCs w:val="36"/>
    </w:rPr>
  </w:style>
  <w:style w:type="character" w:customStyle="1" w:styleId="80">
    <w:name w:val="標題 8 字元"/>
    <w:basedOn w:val="a7"/>
    <w:link w:val="8"/>
    <w:rsid w:val="00F71A34"/>
    <w:rPr>
      <w:rFonts w:ascii="標楷體" w:eastAsia="標楷體" w:hAnsi="Arial"/>
      <w:kern w:val="32"/>
      <w:sz w:val="32"/>
      <w:szCs w:val="36"/>
    </w:rPr>
  </w:style>
  <w:style w:type="character" w:customStyle="1" w:styleId="ab">
    <w:name w:val="簽名 字元"/>
    <w:basedOn w:val="a7"/>
    <w:link w:val="aa"/>
    <w:semiHidden/>
    <w:rsid w:val="00F71A34"/>
    <w:rPr>
      <w:rFonts w:ascii="標楷體" w:eastAsia="標楷體"/>
      <w:b/>
      <w:snapToGrid w:val="0"/>
      <w:spacing w:val="10"/>
      <w:kern w:val="2"/>
      <w:sz w:val="36"/>
    </w:rPr>
  </w:style>
  <w:style w:type="paragraph" w:styleId="aff0">
    <w:name w:val="footnote text"/>
    <w:basedOn w:val="a6"/>
    <w:link w:val="aff1"/>
    <w:uiPriority w:val="99"/>
    <w:unhideWhenUsed/>
    <w:rsid w:val="006E528C"/>
    <w:pPr>
      <w:snapToGrid w:val="0"/>
      <w:jc w:val="left"/>
    </w:pPr>
    <w:rPr>
      <w:sz w:val="20"/>
    </w:rPr>
  </w:style>
  <w:style w:type="character" w:customStyle="1" w:styleId="aff1">
    <w:name w:val="註腳文字 字元"/>
    <w:basedOn w:val="a7"/>
    <w:link w:val="aff0"/>
    <w:uiPriority w:val="99"/>
    <w:rsid w:val="006E528C"/>
    <w:rPr>
      <w:rFonts w:ascii="標楷體" w:eastAsia="標楷體"/>
      <w:kern w:val="2"/>
    </w:rPr>
  </w:style>
  <w:style w:type="character" w:styleId="aff2">
    <w:name w:val="footnote reference"/>
    <w:basedOn w:val="a7"/>
    <w:uiPriority w:val="99"/>
    <w:unhideWhenUsed/>
    <w:rsid w:val="006E528C"/>
    <w:rPr>
      <w:vertAlign w:val="superscript"/>
    </w:rPr>
  </w:style>
  <w:style w:type="paragraph" w:customStyle="1" w:styleId="aff3">
    <w:name w:val="表樣式"/>
    <w:basedOn w:val="a6"/>
    <w:next w:val="a6"/>
    <w:rsid w:val="00C419D4"/>
    <w:pPr>
      <w:tabs>
        <w:tab w:val="num" w:pos="1440"/>
      </w:tabs>
      <w:overflowPunct/>
      <w:autoSpaceDE/>
      <w:autoSpaceDN/>
      <w:ind w:left="695" w:hanging="695"/>
    </w:pPr>
    <w:rPr>
      <w:kern w:val="0"/>
    </w:rPr>
  </w:style>
  <w:style w:type="paragraph" w:customStyle="1" w:styleId="aff4">
    <w:name w:val="表文"/>
    <w:link w:val="aff5"/>
    <w:qFormat/>
    <w:rsid w:val="00C419D4"/>
    <w:pPr>
      <w:tabs>
        <w:tab w:val="left" w:pos="152"/>
      </w:tabs>
      <w:spacing w:line="300" w:lineRule="exact"/>
      <w:jc w:val="both"/>
    </w:pPr>
    <w:rPr>
      <w:rFonts w:eastAsia="標楷體"/>
      <w:color w:val="0000FF"/>
      <w:sz w:val="24"/>
    </w:rPr>
  </w:style>
  <w:style w:type="paragraph" w:customStyle="1" w:styleId="aff6">
    <w:name w:val="分項段落"/>
    <w:basedOn w:val="a6"/>
    <w:rsid w:val="004A2AD5"/>
    <w:pPr>
      <w:overflowPunct/>
      <w:autoSpaceDE/>
      <w:autoSpaceDN/>
      <w:jc w:val="left"/>
    </w:pPr>
    <w:rPr>
      <w:rFonts w:ascii="Times New Roman" w:eastAsia="新細明體"/>
      <w:sz w:val="24"/>
    </w:rPr>
  </w:style>
  <w:style w:type="paragraph" w:styleId="aff7">
    <w:name w:val="Body Text"/>
    <w:basedOn w:val="a6"/>
    <w:link w:val="aff8"/>
    <w:unhideWhenUsed/>
    <w:rsid w:val="005808E0"/>
    <w:pPr>
      <w:spacing w:after="120"/>
    </w:pPr>
  </w:style>
  <w:style w:type="character" w:customStyle="1" w:styleId="aff8">
    <w:name w:val="本文 字元"/>
    <w:basedOn w:val="a7"/>
    <w:link w:val="aff7"/>
    <w:rsid w:val="005808E0"/>
    <w:rPr>
      <w:rFonts w:ascii="標楷體" w:eastAsia="標楷體"/>
      <w:kern w:val="2"/>
      <w:sz w:val="32"/>
    </w:rPr>
  </w:style>
  <w:style w:type="paragraph" w:customStyle="1" w:styleId="aff9">
    <w:name w:val="字元 字元 字元"/>
    <w:basedOn w:val="a6"/>
    <w:semiHidden/>
    <w:rsid w:val="00F9707B"/>
    <w:pPr>
      <w:widowControl/>
      <w:overflowPunct/>
      <w:autoSpaceDE/>
      <w:autoSpaceDN/>
      <w:spacing w:after="160" w:line="240" w:lineRule="exact"/>
      <w:jc w:val="left"/>
    </w:pPr>
    <w:rPr>
      <w:rFonts w:ascii="Verdana" w:eastAsia="Times New Roman" w:hAnsi="Verdana"/>
      <w:kern w:val="0"/>
      <w:sz w:val="20"/>
      <w:lang w:eastAsia="en-US"/>
    </w:rPr>
  </w:style>
  <w:style w:type="paragraph" w:customStyle="1" w:styleId="23">
    <w:name w:val="字元 字元2 字元"/>
    <w:basedOn w:val="aff7"/>
    <w:semiHidden/>
    <w:rsid w:val="00F9707B"/>
    <w:pPr>
      <w:widowControl/>
      <w:overflowPunct/>
      <w:autoSpaceDE/>
      <w:autoSpaceDN/>
      <w:adjustRightInd w:val="0"/>
      <w:snapToGrid w:val="0"/>
      <w:spacing w:after="0" w:line="360" w:lineRule="auto"/>
      <w:ind w:firstLine="510"/>
      <w:textAlignment w:val="center"/>
    </w:pPr>
    <w:rPr>
      <w:rFonts w:ascii="Times New Roman" w:eastAsia="新細明體" w:cs="Tahoma"/>
      <w:color w:val="000000"/>
      <w:kern w:val="0"/>
      <w:sz w:val="22"/>
      <w:szCs w:val="19"/>
      <w:lang w:eastAsia="en-US"/>
    </w:rPr>
  </w:style>
  <w:style w:type="paragraph" w:customStyle="1" w:styleId="210">
    <w:name w:val="字元 字元2 字元 字元 字元1 字元"/>
    <w:basedOn w:val="a6"/>
    <w:semiHidden/>
    <w:rsid w:val="00F9707B"/>
    <w:pPr>
      <w:widowControl/>
      <w:overflowPunct/>
      <w:autoSpaceDE/>
      <w:autoSpaceDN/>
      <w:spacing w:after="160" w:line="240" w:lineRule="exact"/>
      <w:jc w:val="left"/>
    </w:pPr>
    <w:rPr>
      <w:rFonts w:ascii="Verdana" w:eastAsia="Times New Roman" w:hAnsi="Verdana"/>
      <w:kern w:val="0"/>
      <w:sz w:val="20"/>
      <w:lang w:eastAsia="en-US"/>
    </w:rPr>
  </w:style>
  <w:style w:type="paragraph" w:customStyle="1" w:styleId="13">
    <w:name w:val="字元1 字元 字元 字元"/>
    <w:basedOn w:val="a6"/>
    <w:rsid w:val="00F9707B"/>
    <w:pPr>
      <w:widowControl/>
      <w:overflowPunct/>
      <w:autoSpaceDE/>
      <w:autoSpaceDN/>
      <w:spacing w:after="160" w:line="240" w:lineRule="exact"/>
      <w:jc w:val="left"/>
    </w:pPr>
    <w:rPr>
      <w:rFonts w:ascii="Tahoma" w:eastAsia="新細明體" w:hAnsi="Tahoma"/>
      <w:kern w:val="0"/>
      <w:sz w:val="20"/>
      <w:lang w:eastAsia="en-US"/>
    </w:rPr>
  </w:style>
  <w:style w:type="character" w:styleId="affa">
    <w:name w:val="annotation reference"/>
    <w:uiPriority w:val="99"/>
    <w:semiHidden/>
    <w:rsid w:val="00F9707B"/>
    <w:rPr>
      <w:sz w:val="18"/>
      <w:szCs w:val="18"/>
    </w:rPr>
  </w:style>
  <w:style w:type="paragraph" w:styleId="affb">
    <w:name w:val="Revision"/>
    <w:hidden/>
    <w:uiPriority w:val="99"/>
    <w:semiHidden/>
    <w:rsid w:val="00F9707B"/>
    <w:rPr>
      <w:kern w:val="2"/>
      <w:sz w:val="24"/>
    </w:rPr>
  </w:style>
  <w:style w:type="character" w:styleId="affc">
    <w:name w:val="FollowedHyperlink"/>
    <w:basedOn w:val="a7"/>
    <w:semiHidden/>
    <w:unhideWhenUsed/>
    <w:rsid w:val="00F9707B"/>
    <w:rPr>
      <w:color w:val="800080" w:themeColor="followedHyperlink"/>
      <w:u w:val="single"/>
    </w:rPr>
  </w:style>
  <w:style w:type="table" w:customStyle="1" w:styleId="24">
    <w:name w:val="表格格線2"/>
    <w:basedOn w:val="a8"/>
    <w:next w:val="afb"/>
    <w:uiPriority w:val="39"/>
    <w:rsid w:val="009368E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Plain Text"/>
    <w:basedOn w:val="a6"/>
    <w:link w:val="affe"/>
    <w:uiPriority w:val="99"/>
    <w:unhideWhenUsed/>
    <w:rsid w:val="0026277A"/>
    <w:pPr>
      <w:overflowPunct/>
      <w:autoSpaceDE/>
      <w:autoSpaceDN/>
      <w:adjustRightInd w:val="0"/>
      <w:spacing w:line="360" w:lineRule="atLeast"/>
      <w:jc w:val="left"/>
    </w:pPr>
    <w:rPr>
      <w:rFonts w:ascii="細明體" w:eastAsia="細明體" w:hAnsi="Courier New"/>
      <w:kern w:val="0"/>
      <w:sz w:val="24"/>
    </w:rPr>
  </w:style>
  <w:style w:type="character" w:customStyle="1" w:styleId="affe">
    <w:name w:val="純文字 字元"/>
    <w:basedOn w:val="a7"/>
    <w:link w:val="affd"/>
    <w:uiPriority w:val="99"/>
    <w:rsid w:val="0026277A"/>
    <w:rPr>
      <w:rFonts w:ascii="細明體" w:eastAsia="細明體" w:hAnsi="Courier New"/>
      <w:sz w:val="24"/>
    </w:rPr>
  </w:style>
  <w:style w:type="paragraph" w:customStyle="1" w:styleId="afff">
    <w:name w:val="主旨"/>
    <w:basedOn w:val="a6"/>
    <w:rsid w:val="008960C8"/>
    <w:pPr>
      <w:overflowPunct/>
      <w:autoSpaceDE/>
      <w:autoSpaceDN/>
      <w:snapToGrid w:val="0"/>
      <w:ind w:left="964" w:hanging="964"/>
      <w:jc w:val="left"/>
    </w:pPr>
    <w:rPr>
      <w:rFonts w:ascii="Times New Roman"/>
    </w:rPr>
  </w:style>
  <w:style w:type="character" w:styleId="afff0">
    <w:name w:val="Emphasis"/>
    <w:uiPriority w:val="20"/>
    <w:qFormat/>
    <w:rsid w:val="008960C8"/>
    <w:rPr>
      <w:b w:val="0"/>
      <w:bCs w:val="0"/>
      <w:i w:val="0"/>
      <w:iCs w:val="0"/>
      <w:color w:val="DD4B39"/>
    </w:rPr>
  </w:style>
  <w:style w:type="paragraph" w:customStyle="1" w:styleId="93">
    <w:name w:val="標題9"/>
    <w:basedOn w:val="a6"/>
    <w:rsid w:val="008960C8"/>
    <w:pPr>
      <w:tabs>
        <w:tab w:val="num" w:pos="6195"/>
      </w:tabs>
      <w:overflowPunct/>
      <w:autoSpaceDE/>
      <w:autoSpaceDN/>
      <w:ind w:left="5015" w:hanging="1700"/>
      <w:jc w:val="left"/>
    </w:pPr>
    <w:rPr>
      <w:rFonts w:ascii="Times New Roman"/>
    </w:rPr>
  </w:style>
  <w:style w:type="paragraph" w:customStyle="1" w:styleId="25">
    <w:name w:val="樣式2"/>
    <w:basedOn w:val="2"/>
    <w:rsid w:val="008960C8"/>
    <w:pPr>
      <w:keepNext/>
      <w:numPr>
        <w:ilvl w:val="0"/>
        <w:numId w:val="0"/>
      </w:numPr>
      <w:suppressAutoHyphens/>
      <w:overflowPunct/>
      <w:autoSpaceDE/>
      <w:spacing w:line="720" w:lineRule="atLeast"/>
      <w:ind w:left="400" w:hanging="200"/>
      <w:textAlignment w:val="baseline"/>
    </w:pPr>
    <w:rPr>
      <w:rFonts w:ascii="Arial"/>
      <w:b/>
      <w:kern w:val="0"/>
      <w:sz w:val="28"/>
    </w:rPr>
  </w:style>
  <w:style w:type="paragraph" w:customStyle="1" w:styleId="73">
    <w:name w:val="內文+7"/>
    <w:basedOn w:val="a6"/>
    <w:uiPriority w:val="99"/>
    <w:rsid w:val="00987342"/>
    <w:pPr>
      <w:overflowPunct/>
      <w:adjustRightInd w:val="0"/>
      <w:jc w:val="left"/>
    </w:pPr>
    <w:rPr>
      <w:kern w:val="0"/>
      <w:sz w:val="24"/>
      <w:szCs w:val="24"/>
    </w:rPr>
  </w:style>
  <w:style w:type="character" w:styleId="afff1">
    <w:name w:val="Strong"/>
    <w:uiPriority w:val="22"/>
    <w:qFormat/>
    <w:rsid w:val="008960C8"/>
    <w:rPr>
      <w:b/>
      <w:bCs/>
    </w:rPr>
  </w:style>
  <w:style w:type="paragraph" w:styleId="Web">
    <w:name w:val="Normal (Web)"/>
    <w:basedOn w:val="a6"/>
    <w:uiPriority w:val="99"/>
    <w:rsid w:val="008960C8"/>
    <w:pPr>
      <w:widowControl/>
      <w:overflowPunct/>
      <w:autoSpaceDE/>
      <w:autoSpaceDN/>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2">
    <w:name w:val="字元 字元"/>
    <w:basedOn w:val="a6"/>
    <w:semiHidden/>
    <w:rsid w:val="008960C8"/>
    <w:pPr>
      <w:widowControl/>
      <w:overflowPunct/>
      <w:autoSpaceDE/>
      <w:autoSpaceDN/>
      <w:spacing w:after="160" w:line="240" w:lineRule="exact"/>
      <w:jc w:val="left"/>
    </w:pPr>
    <w:rPr>
      <w:rFonts w:ascii="Verdana" w:eastAsia="Times New Roman" w:hAnsi="Verdana"/>
      <w:kern w:val="0"/>
      <w:sz w:val="20"/>
      <w:lang w:eastAsia="en-US"/>
    </w:rPr>
  </w:style>
  <w:style w:type="numbering" w:customStyle="1" w:styleId="15">
    <w:name w:val="無清單1"/>
    <w:next w:val="a9"/>
    <w:uiPriority w:val="99"/>
    <w:semiHidden/>
    <w:unhideWhenUsed/>
    <w:rsid w:val="008960C8"/>
  </w:style>
  <w:style w:type="paragraph" w:customStyle="1" w:styleId="16">
    <w:name w:val="標題1"/>
    <w:basedOn w:val="a6"/>
    <w:next w:val="a6"/>
    <w:uiPriority w:val="10"/>
    <w:qFormat/>
    <w:rsid w:val="008960C8"/>
    <w:pPr>
      <w:overflowPunct/>
      <w:autoSpaceDE/>
      <w:autoSpaceDN/>
      <w:spacing w:before="240" w:after="60"/>
      <w:jc w:val="center"/>
      <w:outlineLvl w:val="0"/>
    </w:pPr>
    <w:rPr>
      <w:rFonts w:ascii="Calibri Light" w:eastAsia="新細明體" w:hAnsi="Calibri Light"/>
      <w:b/>
      <w:bCs/>
      <w:szCs w:val="32"/>
    </w:rPr>
  </w:style>
  <w:style w:type="character" w:customStyle="1" w:styleId="afff3">
    <w:name w:val="標題 字元"/>
    <w:basedOn w:val="a7"/>
    <w:link w:val="afff4"/>
    <w:uiPriority w:val="10"/>
    <w:rsid w:val="008960C8"/>
    <w:rPr>
      <w:rFonts w:ascii="Calibri Light" w:hAnsi="Calibri Light"/>
      <w:b/>
      <w:bCs/>
      <w:sz w:val="32"/>
      <w:szCs w:val="32"/>
    </w:rPr>
  </w:style>
  <w:style w:type="paragraph" w:customStyle="1" w:styleId="afff5">
    <w:name w:val="封面標題"/>
    <w:basedOn w:val="a6"/>
    <w:qFormat/>
    <w:rsid w:val="008960C8"/>
    <w:pPr>
      <w:overflowPunct/>
      <w:autoSpaceDE/>
      <w:autoSpaceDN/>
      <w:spacing w:before="120"/>
      <w:jc w:val="center"/>
    </w:pPr>
    <w:rPr>
      <w:rFonts w:ascii="Times New Roman"/>
      <w:spacing w:val="-12"/>
      <w:sz w:val="44"/>
      <w:szCs w:val="40"/>
    </w:rPr>
  </w:style>
  <w:style w:type="paragraph" w:customStyle="1" w:styleId="afff6">
    <w:name w:val="封面標題靠左"/>
    <w:basedOn w:val="afff5"/>
    <w:qFormat/>
    <w:rsid w:val="008960C8"/>
  </w:style>
  <w:style w:type="paragraph" w:customStyle="1" w:styleId="afff7">
    <w:name w:val="壹"/>
    <w:basedOn w:val="a6"/>
    <w:link w:val="afff8"/>
    <w:uiPriority w:val="99"/>
    <w:qFormat/>
    <w:rsid w:val="008960C8"/>
    <w:pPr>
      <w:overflowPunct/>
      <w:autoSpaceDE/>
      <w:autoSpaceDN/>
      <w:jc w:val="left"/>
    </w:pPr>
    <w:rPr>
      <w:rFonts w:ascii="Times New Roman"/>
      <w:b/>
      <w:szCs w:val="24"/>
    </w:rPr>
  </w:style>
  <w:style w:type="character" w:customStyle="1" w:styleId="afff8">
    <w:name w:val="壹 字元"/>
    <w:basedOn w:val="a7"/>
    <w:link w:val="afff7"/>
    <w:uiPriority w:val="99"/>
    <w:rsid w:val="008960C8"/>
    <w:rPr>
      <w:rFonts w:eastAsia="標楷體"/>
      <w:b/>
      <w:kern w:val="2"/>
      <w:sz w:val="32"/>
      <w:szCs w:val="24"/>
    </w:rPr>
  </w:style>
  <w:style w:type="paragraph" w:customStyle="1" w:styleId="afff9">
    <w:name w:val="表名"/>
    <w:link w:val="afffa"/>
    <w:qFormat/>
    <w:rsid w:val="008960C8"/>
    <w:pPr>
      <w:adjustRightInd w:val="0"/>
      <w:snapToGrid w:val="0"/>
      <w:spacing w:beforeLines="50" w:afterLines="50"/>
      <w:jc w:val="center"/>
    </w:pPr>
    <w:rPr>
      <w:rFonts w:eastAsia="標楷體"/>
      <w:kern w:val="2"/>
      <w:sz w:val="28"/>
      <w:szCs w:val="28"/>
    </w:rPr>
  </w:style>
  <w:style w:type="character" w:customStyle="1" w:styleId="afffa">
    <w:name w:val="表名 字元"/>
    <w:basedOn w:val="a7"/>
    <w:link w:val="afff9"/>
    <w:rsid w:val="008960C8"/>
    <w:rPr>
      <w:rFonts w:eastAsia="標楷體"/>
      <w:kern w:val="2"/>
      <w:sz w:val="28"/>
      <w:szCs w:val="28"/>
    </w:rPr>
  </w:style>
  <w:style w:type="character" w:customStyle="1" w:styleId="aff5">
    <w:name w:val="表文 字元"/>
    <w:basedOn w:val="a7"/>
    <w:link w:val="aff4"/>
    <w:rsid w:val="008960C8"/>
    <w:rPr>
      <w:rFonts w:eastAsia="標楷體"/>
      <w:color w:val="0000FF"/>
      <w:sz w:val="24"/>
    </w:rPr>
  </w:style>
  <w:style w:type="paragraph" w:customStyle="1" w:styleId="afffb">
    <w:name w:val="圖名"/>
    <w:basedOn w:val="afff9"/>
    <w:link w:val="afffc"/>
    <w:qFormat/>
    <w:rsid w:val="008960C8"/>
    <w:rPr>
      <w:color w:val="000000"/>
    </w:rPr>
  </w:style>
  <w:style w:type="character" w:customStyle="1" w:styleId="afffc">
    <w:name w:val="圖名 字元"/>
    <w:basedOn w:val="a7"/>
    <w:link w:val="afffb"/>
    <w:rsid w:val="008960C8"/>
    <w:rPr>
      <w:rFonts w:eastAsia="標楷體"/>
      <w:color w:val="000000"/>
      <w:kern w:val="2"/>
      <w:sz w:val="28"/>
      <w:szCs w:val="28"/>
    </w:rPr>
  </w:style>
  <w:style w:type="paragraph" w:customStyle="1" w:styleId="afffd">
    <w:name w:val="圖"/>
    <w:qFormat/>
    <w:rsid w:val="008960C8"/>
    <w:pPr>
      <w:ind w:left="697" w:hanging="157"/>
      <w:jc w:val="center"/>
    </w:pPr>
    <w:rPr>
      <w:rFonts w:eastAsia="標楷體"/>
      <w:noProof/>
      <w:kern w:val="2"/>
      <w:sz w:val="28"/>
      <w:szCs w:val="28"/>
    </w:rPr>
  </w:style>
  <w:style w:type="paragraph" w:customStyle="1" w:styleId="afffe">
    <w:name w:val="壹、內文"/>
    <w:qFormat/>
    <w:rsid w:val="008960C8"/>
    <w:pPr>
      <w:ind w:leftChars="262" w:left="629" w:firstLineChars="201" w:firstLine="643"/>
    </w:pPr>
    <w:rPr>
      <w:rFonts w:eastAsia="標楷體"/>
      <w:kern w:val="2"/>
      <w:sz w:val="32"/>
      <w:szCs w:val="24"/>
    </w:rPr>
  </w:style>
  <w:style w:type="paragraph" w:customStyle="1" w:styleId="affff">
    <w:name w:val="表文靠左"/>
    <w:basedOn w:val="a6"/>
    <w:link w:val="affff0"/>
    <w:qFormat/>
    <w:rsid w:val="008960C8"/>
    <w:pPr>
      <w:overflowPunct/>
      <w:autoSpaceDE/>
      <w:autoSpaceDN/>
      <w:adjustRightInd w:val="0"/>
      <w:snapToGrid w:val="0"/>
      <w:spacing w:line="240" w:lineRule="atLeast"/>
      <w:jc w:val="left"/>
    </w:pPr>
    <w:rPr>
      <w:rFonts w:ascii="Times New Roman"/>
      <w:kern w:val="0"/>
      <w:sz w:val="24"/>
      <w:szCs w:val="24"/>
      <w:lang w:val="zh-TW"/>
    </w:rPr>
  </w:style>
  <w:style w:type="character" w:customStyle="1" w:styleId="affff0">
    <w:name w:val="表文靠左 字元"/>
    <w:basedOn w:val="a7"/>
    <w:link w:val="affff"/>
    <w:rsid w:val="008960C8"/>
    <w:rPr>
      <w:rFonts w:eastAsia="標楷體"/>
      <w:sz w:val="24"/>
      <w:szCs w:val="24"/>
      <w:lang w:val="zh-TW"/>
    </w:rPr>
  </w:style>
  <w:style w:type="paragraph" w:customStyle="1" w:styleId="affff1">
    <w:name w:val="表文置中"/>
    <w:qFormat/>
    <w:rsid w:val="008960C8"/>
    <w:pPr>
      <w:adjustRightInd w:val="0"/>
      <w:snapToGrid w:val="0"/>
      <w:jc w:val="center"/>
    </w:pPr>
    <w:rPr>
      <w:rFonts w:eastAsia="標楷體"/>
      <w:kern w:val="2"/>
      <w:sz w:val="24"/>
      <w:szCs w:val="28"/>
    </w:rPr>
  </w:style>
  <w:style w:type="paragraph" w:customStyle="1" w:styleId="affff2">
    <w:name w:val="表格文"/>
    <w:autoRedefine/>
    <w:qFormat/>
    <w:rsid w:val="008960C8"/>
    <w:pPr>
      <w:adjustRightInd w:val="0"/>
      <w:snapToGrid w:val="0"/>
      <w:spacing w:line="240" w:lineRule="atLeast"/>
      <w:ind w:left="-108" w:firstLine="164"/>
    </w:pPr>
    <w:rPr>
      <w:rFonts w:eastAsia="標楷體"/>
      <w:kern w:val="2"/>
      <w:sz w:val="24"/>
      <w:szCs w:val="24"/>
    </w:rPr>
  </w:style>
  <w:style w:type="paragraph" w:customStyle="1" w:styleId="17">
    <w:name w:val="內容1."/>
    <w:basedOn w:val="a6"/>
    <w:uiPriority w:val="99"/>
    <w:rsid w:val="008960C8"/>
    <w:pPr>
      <w:overflowPunct/>
      <w:autoSpaceDE/>
      <w:autoSpaceDN/>
      <w:spacing w:line="480" w:lineRule="exact"/>
      <w:ind w:left="80" w:hangingChars="80" w:hanging="80"/>
      <w:jc w:val="left"/>
    </w:pPr>
    <w:rPr>
      <w:rFonts w:ascii="Times New Roman" w:cs="新細明體"/>
      <w:sz w:val="28"/>
    </w:rPr>
  </w:style>
  <w:style w:type="paragraph" w:customStyle="1" w:styleId="18">
    <w:name w:val="意見1."/>
    <w:basedOn w:val="a6"/>
    <w:qFormat/>
    <w:rsid w:val="008960C8"/>
    <w:pPr>
      <w:widowControl/>
      <w:overflowPunct/>
      <w:autoSpaceDE/>
      <w:autoSpaceDN/>
      <w:spacing w:line="400" w:lineRule="exact"/>
      <w:ind w:hangingChars="100" w:hanging="100"/>
    </w:pPr>
    <w:rPr>
      <w:rFonts w:ascii="Times New Roman"/>
      <w:kern w:val="0"/>
      <w:sz w:val="24"/>
      <w:szCs w:val="24"/>
    </w:rPr>
  </w:style>
  <w:style w:type="paragraph" w:customStyle="1" w:styleId="affff3">
    <w:name w:val="表文_置中"/>
    <w:rsid w:val="008960C8"/>
    <w:pPr>
      <w:widowControl w:val="0"/>
      <w:adjustRightInd w:val="0"/>
      <w:snapToGrid w:val="0"/>
      <w:jc w:val="center"/>
    </w:pPr>
    <w:rPr>
      <w:rFonts w:eastAsia="標楷體"/>
      <w:sz w:val="24"/>
      <w:szCs w:val="28"/>
    </w:rPr>
  </w:style>
  <w:style w:type="paragraph" w:customStyle="1" w:styleId="affff4">
    <w:name w:val="圖_置中"/>
    <w:basedOn w:val="a6"/>
    <w:rsid w:val="008960C8"/>
    <w:pPr>
      <w:widowControl/>
      <w:overflowPunct/>
      <w:autoSpaceDE/>
      <w:autoSpaceDN/>
      <w:ind w:left="697" w:hanging="697"/>
      <w:jc w:val="center"/>
    </w:pPr>
    <w:rPr>
      <w:rFonts w:ascii="Times New Roman" w:cs="新細明體"/>
      <w:noProof/>
      <w:sz w:val="28"/>
    </w:rPr>
  </w:style>
  <w:style w:type="table" w:customStyle="1" w:styleId="19">
    <w:name w:val="表格格線1"/>
    <w:basedOn w:val="a8"/>
    <w:next w:val="afb"/>
    <w:uiPriority w:val="59"/>
    <w:rsid w:val="008960C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說明_內文"/>
    <w:qFormat/>
    <w:rsid w:val="008960C8"/>
    <w:pPr>
      <w:adjustRightInd w:val="0"/>
      <w:snapToGrid w:val="0"/>
      <w:ind w:left="267" w:hanging="624"/>
      <w:jc w:val="both"/>
    </w:pPr>
    <w:rPr>
      <w:rFonts w:ascii="Calibri" w:eastAsia="標楷體" w:hAnsi="Calibri"/>
      <w:kern w:val="2"/>
      <w:sz w:val="24"/>
      <w:szCs w:val="24"/>
    </w:rPr>
  </w:style>
  <w:style w:type="table" w:customStyle="1" w:styleId="211">
    <w:name w:val="表格格線21"/>
    <w:basedOn w:val="a8"/>
    <w:next w:val="afb"/>
    <w:uiPriority w:val="39"/>
    <w:rsid w:val="008960C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8"/>
    <w:next w:val="afb"/>
    <w:uiPriority w:val="39"/>
    <w:rsid w:val="008960C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格格線4"/>
    <w:basedOn w:val="a8"/>
    <w:next w:val="afb"/>
    <w:uiPriority w:val="39"/>
    <w:rsid w:val="008960C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無清單11"/>
    <w:next w:val="a9"/>
    <w:uiPriority w:val="99"/>
    <w:semiHidden/>
    <w:unhideWhenUsed/>
    <w:rsid w:val="008960C8"/>
  </w:style>
  <w:style w:type="table" w:customStyle="1" w:styleId="53">
    <w:name w:val="表格格線5"/>
    <w:basedOn w:val="a8"/>
    <w:next w:val="afb"/>
    <w:uiPriority w:val="59"/>
    <w:rsid w:val="008960C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
    <w:basedOn w:val="a8"/>
    <w:next w:val="afb"/>
    <w:uiPriority w:val="59"/>
    <w:rsid w:val="008960C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條文"/>
    <w:basedOn w:val="a6"/>
    <w:qFormat/>
    <w:rsid w:val="008960C8"/>
    <w:pPr>
      <w:widowControl/>
      <w:overflowPunct/>
      <w:autoSpaceDE/>
      <w:autoSpaceDN/>
      <w:adjustRightInd w:val="0"/>
      <w:snapToGrid w:val="0"/>
      <w:ind w:hangingChars="100" w:hanging="249"/>
    </w:pPr>
    <w:rPr>
      <w:rFonts w:ascii="Calibri" w:hAnsi="Calibri"/>
      <w:sz w:val="24"/>
      <w:szCs w:val="24"/>
    </w:rPr>
  </w:style>
  <w:style w:type="numbering" w:customStyle="1" w:styleId="26">
    <w:name w:val="無清單2"/>
    <w:next w:val="a9"/>
    <w:uiPriority w:val="99"/>
    <w:semiHidden/>
    <w:unhideWhenUsed/>
    <w:rsid w:val="008960C8"/>
  </w:style>
  <w:style w:type="table" w:customStyle="1" w:styleId="63">
    <w:name w:val="表格格線6"/>
    <w:basedOn w:val="a8"/>
    <w:next w:val="afb"/>
    <w:uiPriority w:val="59"/>
    <w:rsid w:val="008960C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無清單3"/>
    <w:next w:val="a9"/>
    <w:uiPriority w:val="99"/>
    <w:semiHidden/>
    <w:unhideWhenUsed/>
    <w:rsid w:val="008960C8"/>
  </w:style>
  <w:style w:type="table" w:customStyle="1" w:styleId="74">
    <w:name w:val="表格格線7"/>
    <w:basedOn w:val="a8"/>
    <w:next w:val="afb"/>
    <w:uiPriority w:val="59"/>
    <w:rsid w:val="008960C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
    <w:basedOn w:val="a8"/>
    <w:next w:val="afb"/>
    <w:uiPriority w:val="59"/>
    <w:rsid w:val="008960C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表格格線8"/>
    <w:basedOn w:val="a8"/>
    <w:next w:val="afb"/>
    <w:uiPriority w:val="59"/>
    <w:rsid w:val="008960C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表格格線9"/>
    <w:basedOn w:val="a8"/>
    <w:next w:val="afb"/>
    <w:uiPriority w:val="59"/>
    <w:rsid w:val="008960C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7">
    <w:name w:val="發言內文"/>
    <w:basedOn w:val="a6"/>
    <w:uiPriority w:val="99"/>
    <w:rsid w:val="008960C8"/>
    <w:pPr>
      <w:widowControl/>
      <w:overflowPunct/>
      <w:autoSpaceDE/>
      <w:autoSpaceDN/>
      <w:ind w:left="240" w:hangingChars="100" w:hanging="240"/>
      <w:jc w:val="left"/>
    </w:pPr>
    <w:rPr>
      <w:rFonts w:ascii="Calibri" w:hAnsi="Calibri" w:cs="Calibri"/>
      <w:kern w:val="0"/>
      <w:sz w:val="24"/>
      <w:szCs w:val="24"/>
    </w:rPr>
  </w:style>
  <w:style w:type="paragraph" w:customStyle="1" w:styleId="1a">
    <w:name w:val="內文(1)"/>
    <w:basedOn w:val="a6"/>
    <w:link w:val="1b"/>
    <w:qFormat/>
    <w:rsid w:val="008960C8"/>
    <w:pPr>
      <w:widowControl/>
      <w:overflowPunct/>
      <w:autoSpaceDE/>
      <w:autoSpaceDN/>
      <w:spacing w:line="520" w:lineRule="exact"/>
      <w:ind w:leftChars="250" w:left="250" w:hangingChars="75" w:hanging="278"/>
      <w:jc w:val="left"/>
    </w:pPr>
    <w:rPr>
      <w:rFonts w:ascii="Times New Roman"/>
      <w:kern w:val="0"/>
      <w:sz w:val="28"/>
      <w:szCs w:val="28"/>
    </w:rPr>
  </w:style>
  <w:style w:type="character" w:customStyle="1" w:styleId="1b">
    <w:name w:val="內文(1) 字元"/>
    <w:basedOn w:val="a7"/>
    <w:link w:val="1a"/>
    <w:rsid w:val="008960C8"/>
    <w:rPr>
      <w:rFonts w:eastAsia="標楷體"/>
      <w:sz w:val="28"/>
      <w:szCs w:val="28"/>
    </w:rPr>
  </w:style>
  <w:style w:type="paragraph" w:customStyle="1" w:styleId="1c">
    <w:name w:val="清單段落1"/>
    <w:basedOn w:val="a6"/>
    <w:rsid w:val="008960C8"/>
    <w:pPr>
      <w:overflowPunct/>
      <w:autoSpaceDE/>
      <w:autoSpaceDN/>
      <w:ind w:leftChars="200" w:left="480"/>
      <w:jc w:val="left"/>
    </w:pPr>
    <w:rPr>
      <w:rFonts w:ascii="Calibri" w:eastAsia="新細明體" w:hAnsi="Calibri"/>
      <w:sz w:val="24"/>
      <w:szCs w:val="24"/>
    </w:rPr>
  </w:style>
  <w:style w:type="paragraph" w:styleId="27">
    <w:name w:val="Body Text 2"/>
    <w:basedOn w:val="a6"/>
    <w:link w:val="28"/>
    <w:semiHidden/>
    <w:rsid w:val="008960C8"/>
    <w:pPr>
      <w:overflowPunct/>
      <w:autoSpaceDE/>
      <w:autoSpaceDN/>
      <w:adjustRightInd w:val="0"/>
      <w:snapToGrid w:val="0"/>
      <w:spacing w:line="380" w:lineRule="exact"/>
      <w:jc w:val="left"/>
    </w:pPr>
    <w:rPr>
      <w:rFonts w:hAnsi="標楷體"/>
      <w:color w:val="000000"/>
      <w:sz w:val="24"/>
      <w:szCs w:val="24"/>
      <w:u w:val="single"/>
    </w:rPr>
  </w:style>
  <w:style w:type="character" w:customStyle="1" w:styleId="28">
    <w:name w:val="本文 2 字元"/>
    <w:basedOn w:val="a7"/>
    <w:link w:val="27"/>
    <w:semiHidden/>
    <w:rsid w:val="008960C8"/>
    <w:rPr>
      <w:rFonts w:ascii="標楷體" w:eastAsia="標楷體" w:hAnsi="標楷體"/>
      <w:color w:val="000000"/>
      <w:kern w:val="2"/>
      <w:sz w:val="24"/>
      <w:szCs w:val="24"/>
      <w:u w:val="single"/>
    </w:rPr>
  </w:style>
  <w:style w:type="paragraph" w:styleId="29">
    <w:name w:val="Body Text Indent 2"/>
    <w:basedOn w:val="a6"/>
    <w:link w:val="2a"/>
    <w:uiPriority w:val="99"/>
    <w:rsid w:val="008960C8"/>
    <w:pPr>
      <w:overflowPunct/>
      <w:autoSpaceDE/>
      <w:autoSpaceDN/>
      <w:adjustRightInd w:val="0"/>
      <w:snapToGrid w:val="0"/>
      <w:spacing w:line="380" w:lineRule="exact"/>
      <w:ind w:leftChars="532" w:left="1277"/>
      <w:jc w:val="left"/>
    </w:pPr>
    <w:rPr>
      <w:rFonts w:hAnsi="標楷體"/>
      <w:szCs w:val="32"/>
    </w:rPr>
  </w:style>
  <w:style w:type="character" w:customStyle="1" w:styleId="2a">
    <w:name w:val="本文縮排 2 字元"/>
    <w:basedOn w:val="a7"/>
    <w:link w:val="29"/>
    <w:uiPriority w:val="99"/>
    <w:rsid w:val="008960C8"/>
    <w:rPr>
      <w:rFonts w:ascii="標楷體" w:eastAsia="標楷體" w:hAnsi="標楷體"/>
      <w:kern w:val="2"/>
      <w:sz w:val="32"/>
      <w:szCs w:val="32"/>
    </w:rPr>
  </w:style>
  <w:style w:type="paragraph" w:styleId="affff8">
    <w:name w:val="TOC Heading"/>
    <w:basedOn w:val="a6"/>
    <w:uiPriority w:val="39"/>
    <w:qFormat/>
    <w:rsid w:val="008960C8"/>
    <w:pPr>
      <w:overflowPunct/>
      <w:autoSpaceDE/>
      <w:autoSpaceDN/>
      <w:spacing w:line="360" w:lineRule="auto"/>
      <w:jc w:val="center"/>
    </w:pPr>
    <w:rPr>
      <w:rFonts w:ascii="Times New Roman"/>
      <w:b/>
      <w:szCs w:val="24"/>
    </w:rPr>
  </w:style>
  <w:style w:type="paragraph" w:customStyle="1" w:styleId="95">
    <w:name w:val="表文_9點"/>
    <w:rsid w:val="008960C8"/>
    <w:pPr>
      <w:spacing w:line="0" w:lineRule="atLeast"/>
      <w:jc w:val="center"/>
    </w:pPr>
    <w:rPr>
      <w:rFonts w:eastAsia="標楷體" w:hAnsi="微軟正黑體" w:cs="新細明體"/>
      <w:sz w:val="18"/>
    </w:rPr>
  </w:style>
  <w:style w:type="paragraph" w:styleId="affff9">
    <w:name w:val="annotation text"/>
    <w:basedOn w:val="a6"/>
    <w:link w:val="affffa"/>
    <w:uiPriority w:val="99"/>
    <w:semiHidden/>
    <w:unhideWhenUsed/>
    <w:rsid w:val="008960C8"/>
    <w:pPr>
      <w:overflowPunct/>
      <w:autoSpaceDE/>
      <w:autoSpaceDN/>
      <w:jc w:val="left"/>
    </w:pPr>
    <w:rPr>
      <w:rFonts w:ascii="Calibri" w:hAnsi="Calibri"/>
      <w:sz w:val="24"/>
      <w:szCs w:val="24"/>
    </w:rPr>
  </w:style>
  <w:style w:type="character" w:customStyle="1" w:styleId="affffa">
    <w:name w:val="註解文字 字元"/>
    <w:basedOn w:val="a7"/>
    <w:link w:val="affff9"/>
    <w:uiPriority w:val="99"/>
    <w:semiHidden/>
    <w:rsid w:val="008960C8"/>
    <w:rPr>
      <w:rFonts w:ascii="Calibri" w:eastAsia="標楷體" w:hAnsi="Calibri"/>
      <w:kern w:val="2"/>
      <w:sz w:val="24"/>
      <w:szCs w:val="24"/>
    </w:rPr>
  </w:style>
  <w:style w:type="paragraph" w:styleId="affffb">
    <w:name w:val="annotation subject"/>
    <w:basedOn w:val="affff9"/>
    <w:next w:val="affff9"/>
    <w:link w:val="affffc"/>
    <w:uiPriority w:val="99"/>
    <w:semiHidden/>
    <w:unhideWhenUsed/>
    <w:rsid w:val="008960C8"/>
    <w:rPr>
      <w:b/>
      <w:bCs/>
    </w:rPr>
  </w:style>
  <w:style w:type="character" w:customStyle="1" w:styleId="affffc">
    <w:name w:val="註解主旨 字元"/>
    <w:basedOn w:val="affffa"/>
    <w:link w:val="affffb"/>
    <w:uiPriority w:val="99"/>
    <w:semiHidden/>
    <w:rsid w:val="008960C8"/>
    <w:rPr>
      <w:rFonts w:ascii="Calibri" w:eastAsia="標楷體" w:hAnsi="Calibri"/>
      <w:b/>
      <w:bCs/>
      <w:kern w:val="2"/>
      <w:sz w:val="24"/>
      <w:szCs w:val="24"/>
    </w:rPr>
  </w:style>
  <w:style w:type="paragraph" w:styleId="afff4">
    <w:name w:val="Title"/>
    <w:basedOn w:val="a6"/>
    <w:next w:val="a6"/>
    <w:link w:val="afff3"/>
    <w:uiPriority w:val="10"/>
    <w:qFormat/>
    <w:rsid w:val="008960C8"/>
    <w:pPr>
      <w:overflowPunct/>
      <w:autoSpaceDE/>
      <w:autoSpaceDN/>
      <w:spacing w:before="240" w:after="60"/>
      <w:jc w:val="center"/>
      <w:outlineLvl w:val="0"/>
    </w:pPr>
    <w:rPr>
      <w:rFonts w:ascii="Calibri Light" w:eastAsia="新細明體" w:hAnsi="Calibri Light"/>
      <w:b/>
      <w:bCs/>
      <w:kern w:val="0"/>
      <w:szCs w:val="32"/>
    </w:rPr>
  </w:style>
  <w:style w:type="character" w:customStyle="1" w:styleId="1d">
    <w:name w:val="標題 字元1"/>
    <w:basedOn w:val="a7"/>
    <w:uiPriority w:val="10"/>
    <w:rsid w:val="008960C8"/>
    <w:rPr>
      <w:rFonts w:asciiTheme="majorHAnsi" w:hAnsiTheme="majorHAnsi" w:cstheme="majorBidi"/>
      <w:b/>
      <w:bCs/>
      <w:kern w:val="2"/>
      <w:sz w:val="32"/>
      <w:szCs w:val="32"/>
    </w:rPr>
  </w:style>
  <w:style w:type="paragraph" w:customStyle="1" w:styleId="affffd">
    <w:name w:val="表字中"/>
    <w:basedOn w:val="a6"/>
    <w:rsid w:val="008960C8"/>
    <w:pPr>
      <w:overflowPunct/>
      <w:autoSpaceDE/>
      <w:autoSpaceDN/>
      <w:jc w:val="center"/>
    </w:pPr>
    <w:rPr>
      <w:rFonts w:ascii="Times New Roman"/>
      <w:sz w:val="24"/>
      <w:szCs w:val="24"/>
    </w:rPr>
  </w:style>
  <w:style w:type="paragraph" w:customStyle="1" w:styleId="affffe">
    <w:name w:val="圖表說明"/>
    <w:next w:val="a6"/>
    <w:link w:val="afffff"/>
    <w:rsid w:val="009F360F"/>
    <w:rPr>
      <w:rFonts w:eastAsia="標楷體"/>
      <w:snapToGrid w:val="0"/>
    </w:rPr>
  </w:style>
  <w:style w:type="character" w:customStyle="1" w:styleId="afffff">
    <w:name w:val="圖表說明 字元"/>
    <w:link w:val="affffe"/>
    <w:rsid w:val="009F360F"/>
    <w:rPr>
      <w:rFonts w:eastAsia="標楷體"/>
      <w:snapToGrid w:val="0"/>
    </w:rPr>
  </w:style>
  <w:style w:type="paragraph" w:styleId="afffff0">
    <w:name w:val="No Spacing"/>
    <w:uiPriority w:val="1"/>
    <w:qFormat/>
    <w:rsid w:val="001A26D9"/>
    <w:pPr>
      <w:spacing w:beforeLines="25"/>
      <w:jc w:val="both"/>
    </w:pPr>
    <w:rPr>
      <w:sz w:val="24"/>
      <w:szCs w:val="24"/>
    </w:rPr>
  </w:style>
  <w:style w:type="paragraph" w:styleId="afffff1">
    <w:name w:val="Salutation"/>
    <w:basedOn w:val="a6"/>
    <w:next w:val="a6"/>
    <w:link w:val="afffff2"/>
    <w:uiPriority w:val="99"/>
    <w:unhideWhenUsed/>
    <w:rsid w:val="00C97460"/>
  </w:style>
  <w:style w:type="character" w:customStyle="1" w:styleId="afffff2">
    <w:name w:val="問候 字元"/>
    <w:basedOn w:val="a7"/>
    <w:link w:val="afffff1"/>
    <w:uiPriority w:val="99"/>
    <w:rsid w:val="00C97460"/>
    <w:rPr>
      <w:rFonts w:ascii="標楷體" w:eastAsia="標楷體"/>
      <w:kern w:val="2"/>
      <w:sz w:val="32"/>
    </w:rPr>
  </w:style>
  <w:style w:type="paragraph" w:styleId="afffff3">
    <w:name w:val="Closing"/>
    <w:basedOn w:val="a6"/>
    <w:link w:val="afffff4"/>
    <w:uiPriority w:val="99"/>
    <w:unhideWhenUsed/>
    <w:rsid w:val="00C97460"/>
    <w:pPr>
      <w:ind w:leftChars="1800" w:left="100"/>
    </w:pPr>
  </w:style>
  <w:style w:type="character" w:customStyle="1" w:styleId="afffff4">
    <w:name w:val="結語 字元"/>
    <w:basedOn w:val="a7"/>
    <w:link w:val="afffff3"/>
    <w:uiPriority w:val="99"/>
    <w:rsid w:val="00C97460"/>
    <w:rPr>
      <w:rFonts w:ascii="標楷體" w:eastAsia="標楷體"/>
      <w:kern w:val="2"/>
      <w:sz w:val="32"/>
    </w:rPr>
  </w:style>
  <w:style w:type="paragraph" w:customStyle="1" w:styleId="afffff5">
    <w:name w:val="字元 字元 字元"/>
    <w:basedOn w:val="a6"/>
    <w:semiHidden/>
    <w:rsid w:val="00055721"/>
    <w:pPr>
      <w:widowControl/>
      <w:overflowPunct/>
      <w:autoSpaceDE/>
      <w:autoSpaceDN/>
      <w:spacing w:after="160" w:line="240" w:lineRule="exact"/>
      <w:jc w:val="left"/>
    </w:pPr>
    <w:rPr>
      <w:rFonts w:ascii="Verdana" w:eastAsia="Times New Roman" w:hAnsi="Verdana"/>
      <w:kern w:val="0"/>
      <w:sz w:val="20"/>
      <w:lang w:eastAsia="en-US"/>
    </w:rPr>
  </w:style>
  <w:style w:type="paragraph" w:customStyle="1" w:styleId="2b">
    <w:name w:val="字元 字元2 字元"/>
    <w:basedOn w:val="aff7"/>
    <w:semiHidden/>
    <w:rsid w:val="00055721"/>
    <w:pPr>
      <w:widowControl/>
      <w:overflowPunct/>
      <w:autoSpaceDE/>
      <w:autoSpaceDN/>
      <w:adjustRightInd w:val="0"/>
      <w:snapToGrid w:val="0"/>
      <w:spacing w:after="0" w:line="360" w:lineRule="auto"/>
      <w:ind w:firstLine="510"/>
      <w:textAlignment w:val="center"/>
    </w:pPr>
    <w:rPr>
      <w:rFonts w:ascii="Times New Roman" w:eastAsia="新細明體" w:cs="Tahoma"/>
      <w:color w:val="000000"/>
      <w:kern w:val="0"/>
      <w:sz w:val="22"/>
      <w:szCs w:val="19"/>
      <w:lang w:eastAsia="en-US"/>
    </w:rPr>
  </w:style>
  <w:style w:type="paragraph" w:customStyle="1" w:styleId="212">
    <w:name w:val="字元 字元2 字元 字元 字元1 字元"/>
    <w:basedOn w:val="a6"/>
    <w:semiHidden/>
    <w:rsid w:val="00055721"/>
    <w:pPr>
      <w:widowControl/>
      <w:overflowPunct/>
      <w:autoSpaceDE/>
      <w:autoSpaceDN/>
      <w:spacing w:after="160" w:line="240" w:lineRule="exact"/>
      <w:jc w:val="left"/>
    </w:pPr>
    <w:rPr>
      <w:rFonts w:ascii="Verdana" w:eastAsia="Times New Roman" w:hAnsi="Verdana"/>
      <w:kern w:val="0"/>
      <w:sz w:val="20"/>
      <w:lang w:eastAsia="en-US"/>
    </w:rPr>
  </w:style>
  <w:style w:type="paragraph" w:customStyle="1" w:styleId="1e">
    <w:name w:val="字元1 字元 字元 字元"/>
    <w:basedOn w:val="a6"/>
    <w:rsid w:val="00055721"/>
    <w:pPr>
      <w:widowControl/>
      <w:overflowPunct/>
      <w:autoSpaceDE/>
      <w:autoSpaceDN/>
      <w:spacing w:after="160" w:line="240" w:lineRule="exact"/>
      <w:jc w:val="left"/>
    </w:pPr>
    <w:rPr>
      <w:rFonts w:ascii="Tahoma" w:eastAsia="新細明體" w:hAnsi="Tahoma"/>
      <w:kern w:val="0"/>
      <w:sz w:val="20"/>
      <w:lang w:eastAsia="en-US"/>
    </w:rPr>
  </w:style>
  <w:style w:type="paragraph" w:styleId="afffff6">
    <w:name w:val="Note Heading"/>
    <w:basedOn w:val="a6"/>
    <w:next w:val="a6"/>
    <w:link w:val="afffff7"/>
    <w:uiPriority w:val="99"/>
    <w:unhideWhenUsed/>
    <w:rsid w:val="00E2684F"/>
    <w:pPr>
      <w:jc w:val="center"/>
    </w:pPr>
    <w:rPr>
      <w:rFonts w:hAnsi="標楷體"/>
      <w:color w:val="0000FF"/>
      <w:sz w:val="28"/>
      <w:szCs w:val="28"/>
    </w:rPr>
  </w:style>
  <w:style w:type="character" w:customStyle="1" w:styleId="afffff7">
    <w:name w:val="註釋標題 字元"/>
    <w:basedOn w:val="a7"/>
    <w:link w:val="afffff6"/>
    <w:uiPriority w:val="99"/>
    <w:rsid w:val="00E2684F"/>
    <w:rPr>
      <w:rFonts w:ascii="標楷體" w:eastAsia="標楷體" w:hAnsi="標楷體"/>
      <w:color w:val="0000FF"/>
      <w:kern w:val="2"/>
      <w:sz w:val="28"/>
      <w:szCs w:val="28"/>
    </w:rPr>
  </w:style>
  <w:style w:type="paragraph" w:customStyle="1" w:styleId="afffff8">
    <w:name w:val="文章標題"/>
    <w:autoRedefine/>
    <w:rsid w:val="00E2684F"/>
    <w:pPr>
      <w:autoSpaceDE w:val="0"/>
      <w:autoSpaceDN w:val="0"/>
      <w:adjustRightInd w:val="0"/>
      <w:snapToGrid w:val="0"/>
      <w:textAlignment w:val="bottom"/>
    </w:pPr>
    <w:rPr>
      <w:rFonts w:eastAsia="標楷體"/>
      <w:color w:val="000000"/>
      <w:spacing w:val="12"/>
      <w:kern w:val="2"/>
      <w:sz w:val="28"/>
      <w:szCs w:val="28"/>
    </w:rPr>
  </w:style>
  <w:style w:type="character" w:customStyle="1" w:styleId="afd">
    <w:name w:val="清單段落 字元"/>
    <w:link w:val="afc"/>
    <w:uiPriority w:val="34"/>
    <w:rsid w:val="00B56188"/>
    <w:rPr>
      <w:rFonts w:ascii="標楷體" w:eastAsia="標楷體"/>
      <w:kern w:val="2"/>
      <w:sz w:val="32"/>
    </w:rPr>
  </w:style>
  <w:style w:type="paragraph" w:customStyle="1" w:styleId="afffff9">
    <w:name w:val="調查層面"/>
    <w:basedOn w:val="1"/>
    <w:qFormat/>
    <w:rsid w:val="00710210"/>
    <w:rPr>
      <w:rFonts w:hAnsi="標楷體"/>
    </w:rPr>
  </w:style>
  <w:style w:type="character" w:customStyle="1" w:styleId="st1">
    <w:name w:val="st1"/>
    <w:basedOn w:val="a7"/>
    <w:rsid w:val="00841478"/>
  </w:style>
  <w:style w:type="paragraph" w:styleId="HTML">
    <w:name w:val="HTML Preformatted"/>
    <w:basedOn w:val="a6"/>
    <w:link w:val="HTML0"/>
    <w:uiPriority w:val="99"/>
    <w:unhideWhenUsed/>
    <w:rsid w:val="00693D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693DCA"/>
    <w:rPr>
      <w:rFonts w:ascii="細明體" w:eastAsia="細明體" w:hAnsi="細明體" w:cs="細明體"/>
      <w:sz w:val="24"/>
      <w:szCs w:val="24"/>
    </w:rPr>
  </w:style>
  <w:style w:type="paragraph" w:customStyle="1" w:styleId="Default">
    <w:name w:val="Default"/>
    <w:rsid w:val="00A87354"/>
    <w:pPr>
      <w:widowControl w:val="0"/>
      <w:autoSpaceDE w:val="0"/>
      <w:autoSpaceDN w:val="0"/>
      <w:adjustRightInd w:val="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F71A34"/>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F71A34"/>
    <w:pPr>
      <w:numPr>
        <w:numId w:val="27"/>
      </w:numPr>
      <w:outlineLvl w:val="0"/>
    </w:pPr>
    <w:rPr>
      <w:rFonts w:hAnsi="Arial"/>
      <w:bCs/>
      <w:kern w:val="32"/>
      <w:szCs w:val="52"/>
    </w:rPr>
  </w:style>
  <w:style w:type="paragraph" w:styleId="2">
    <w:name w:val="heading 2"/>
    <w:basedOn w:val="a6"/>
    <w:link w:val="20"/>
    <w:qFormat/>
    <w:rsid w:val="00F71A34"/>
    <w:pPr>
      <w:numPr>
        <w:ilvl w:val="1"/>
        <w:numId w:val="27"/>
      </w:numPr>
      <w:outlineLvl w:val="1"/>
    </w:pPr>
    <w:rPr>
      <w:rFonts w:hAnsi="Arial"/>
      <w:bCs/>
      <w:kern w:val="32"/>
      <w:szCs w:val="48"/>
    </w:rPr>
  </w:style>
  <w:style w:type="paragraph" w:styleId="3">
    <w:name w:val="heading 3"/>
    <w:basedOn w:val="a6"/>
    <w:link w:val="30"/>
    <w:qFormat/>
    <w:rsid w:val="00F71A34"/>
    <w:pPr>
      <w:numPr>
        <w:ilvl w:val="2"/>
        <w:numId w:val="27"/>
      </w:numPr>
      <w:outlineLvl w:val="2"/>
    </w:pPr>
    <w:rPr>
      <w:rFonts w:hAnsi="Arial"/>
      <w:bCs/>
      <w:kern w:val="32"/>
      <w:szCs w:val="36"/>
    </w:rPr>
  </w:style>
  <w:style w:type="paragraph" w:styleId="4">
    <w:name w:val="heading 4"/>
    <w:basedOn w:val="a6"/>
    <w:link w:val="40"/>
    <w:qFormat/>
    <w:rsid w:val="00F71A34"/>
    <w:pPr>
      <w:numPr>
        <w:ilvl w:val="3"/>
        <w:numId w:val="27"/>
      </w:numPr>
      <w:outlineLvl w:val="3"/>
    </w:pPr>
    <w:rPr>
      <w:rFonts w:hAnsi="Arial"/>
      <w:kern w:val="32"/>
      <w:szCs w:val="36"/>
    </w:rPr>
  </w:style>
  <w:style w:type="paragraph" w:styleId="5">
    <w:name w:val="heading 5"/>
    <w:basedOn w:val="a6"/>
    <w:link w:val="50"/>
    <w:qFormat/>
    <w:rsid w:val="00F71A34"/>
    <w:pPr>
      <w:numPr>
        <w:ilvl w:val="4"/>
        <w:numId w:val="27"/>
      </w:numPr>
      <w:outlineLvl w:val="4"/>
    </w:pPr>
    <w:rPr>
      <w:rFonts w:hAnsi="Arial"/>
      <w:bCs/>
      <w:kern w:val="32"/>
      <w:szCs w:val="36"/>
    </w:rPr>
  </w:style>
  <w:style w:type="paragraph" w:styleId="6">
    <w:name w:val="heading 6"/>
    <w:basedOn w:val="a6"/>
    <w:link w:val="60"/>
    <w:qFormat/>
    <w:rsid w:val="00F71A34"/>
    <w:pPr>
      <w:numPr>
        <w:ilvl w:val="5"/>
        <w:numId w:val="27"/>
      </w:numPr>
      <w:tabs>
        <w:tab w:val="left" w:pos="2094"/>
      </w:tabs>
      <w:outlineLvl w:val="5"/>
    </w:pPr>
    <w:rPr>
      <w:rFonts w:hAnsi="Arial"/>
      <w:kern w:val="32"/>
      <w:szCs w:val="36"/>
    </w:rPr>
  </w:style>
  <w:style w:type="paragraph" w:styleId="7">
    <w:name w:val="heading 7"/>
    <w:basedOn w:val="a6"/>
    <w:link w:val="70"/>
    <w:qFormat/>
    <w:rsid w:val="00F71A34"/>
    <w:pPr>
      <w:numPr>
        <w:ilvl w:val="6"/>
        <w:numId w:val="27"/>
      </w:numPr>
      <w:outlineLvl w:val="6"/>
    </w:pPr>
    <w:rPr>
      <w:rFonts w:hAnsi="Arial"/>
      <w:bCs/>
      <w:kern w:val="32"/>
      <w:szCs w:val="36"/>
    </w:rPr>
  </w:style>
  <w:style w:type="paragraph" w:styleId="8">
    <w:name w:val="heading 8"/>
    <w:basedOn w:val="a6"/>
    <w:link w:val="80"/>
    <w:qFormat/>
    <w:rsid w:val="00F71A34"/>
    <w:pPr>
      <w:numPr>
        <w:ilvl w:val="7"/>
        <w:numId w:val="27"/>
      </w:numPr>
      <w:outlineLvl w:val="7"/>
    </w:pPr>
    <w:rPr>
      <w:rFonts w:hAnsi="Arial"/>
      <w:kern w:val="32"/>
      <w:szCs w:val="36"/>
    </w:rPr>
  </w:style>
  <w:style w:type="paragraph" w:styleId="9">
    <w:name w:val="heading 9"/>
    <w:basedOn w:val="a6"/>
    <w:link w:val="90"/>
    <w:uiPriority w:val="9"/>
    <w:unhideWhenUsed/>
    <w:qFormat/>
    <w:rsid w:val="00F71A34"/>
    <w:pPr>
      <w:numPr>
        <w:ilvl w:val="8"/>
        <w:numId w:val="2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F71A34"/>
    <w:pPr>
      <w:spacing w:before="720" w:after="720"/>
      <w:ind w:left="7371"/>
    </w:pPr>
    <w:rPr>
      <w:b/>
      <w:snapToGrid w:val="0"/>
      <w:spacing w:val="10"/>
      <w:sz w:val="36"/>
    </w:rPr>
  </w:style>
  <w:style w:type="paragraph" w:styleId="ac">
    <w:name w:val="endnote text"/>
    <w:basedOn w:val="a6"/>
    <w:link w:val="ad"/>
    <w:semiHidden/>
    <w:rsid w:val="00F71A34"/>
    <w:pPr>
      <w:kinsoku w:val="0"/>
      <w:autoSpaceDE/>
      <w:spacing w:before="240"/>
      <w:ind w:left="1021" w:hanging="1021"/>
    </w:pPr>
    <w:rPr>
      <w:snapToGrid w:val="0"/>
      <w:spacing w:val="10"/>
    </w:rPr>
  </w:style>
  <w:style w:type="paragraph" w:styleId="51">
    <w:name w:val="toc 5"/>
    <w:basedOn w:val="a6"/>
    <w:next w:val="a6"/>
    <w:autoRedefine/>
    <w:rsid w:val="00F71A34"/>
    <w:pPr>
      <w:ind w:leftChars="400" w:left="600" w:rightChars="200" w:right="200" w:hangingChars="200" w:hanging="200"/>
    </w:pPr>
  </w:style>
  <w:style w:type="character" w:styleId="ae">
    <w:name w:val="page number"/>
    <w:basedOn w:val="a7"/>
    <w:rsid w:val="00F71A34"/>
    <w:rPr>
      <w:rFonts w:ascii="標楷體" w:eastAsia="標楷體"/>
      <w:sz w:val="20"/>
    </w:rPr>
  </w:style>
  <w:style w:type="paragraph" w:styleId="61">
    <w:name w:val="toc 6"/>
    <w:basedOn w:val="a6"/>
    <w:next w:val="a6"/>
    <w:autoRedefine/>
    <w:rsid w:val="00F71A34"/>
    <w:pPr>
      <w:ind w:leftChars="500" w:left="500"/>
    </w:pPr>
  </w:style>
  <w:style w:type="paragraph" w:customStyle="1" w:styleId="11">
    <w:name w:val="段落樣式1"/>
    <w:basedOn w:val="a6"/>
    <w:qFormat/>
    <w:rsid w:val="00F71A34"/>
    <w:pPr>
      <w:tabs>
        <w:tab w:val="left" w:pos="567"/>
      </w:tabs>
      <w:ind w:leftChars="200" w:left="200" w:firstLineChars="200" w:firstLine="200"/>
    </w:pPr>
    <w:rPr>
      <w:kern w:val="32"/>
    </w:rPr>
  </w:style>
  <w:style w:type="paragraph" w:customStyle="1" w:styleId="21">
    <w:name w:val="段落樣式2"/>
    <w:basedOn w:val="a6"/>
    <w:qFormat/>
    <w:rsid w:val="00F71A34"/>
    <w:pPr>
      <w:tabs>
        <w:tab w:val="left" w:pos="567"/>
      </w:tabs>
      <w:ind w:leftChars="300" w:left="300" w:firstLineChars="200" w:firstLine="200"/>
    </w:pPr>
    <w:rPr>
      <w:kern w:val="32"/>
    </w:rPr>
  </w:style>
  <w:style w:type="paragraph" w:styleId="12">
    <w:name w:val="toc 1"/>
    <w:basedOn w:val="a6"/>
    <w:next w:val="a6"/>
    <w:autoRedefine/>
    <w:uiPriority w:val="39"/>
    <w:rsid w:val="00F71A34"/>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75ED5"/>
    <w:pPr>
      <w:tabs>
        <w:tab w:val="right" w:leader="hyphen" w:pos="8834"/>
      </w:tabs>
      <w:kinsoku w:val="0"/>
      <w:overflowPunct/>
      <w:ind w:leftChars="100" w:left="1020" w:rightChars="100" w:right="340" w:hangingChars="200" w:hanging="680"/>
    </w:pPr>
    <w:rPr>
      <w:noProof/>
    </w:rPr>
  </w:style>
  <w:style w:type="paragraph" w:styleId="31">
    <w:name w:val="toc 3"/>
    <w:basedOn w:val="a6"/>
    <w:next w:val="a6"/>
    <w:autoRedefine/>
    <w:uiPriority w:val="39"/>
    <w:rsid w:val="00F71A34"/>
    <w:pPr>
      <w:tabs>
        <w:tab w:val="right" w:leader="hyphen" w:pos="8834"/>
      </w:tabs>
      <w:kinsoku w:val="0"/>
      <w:ind w:leftChars="200" w:left="1360" w:rightChars="100" w:right="340" w:hangingChars="200" w:hanging="680"/>
    </w:pPr>
    <w:rPr>
      <w:noProof/>
    </w:rPr>
  </w:style>
  <w:style w:type="paragraph" w:styleId="41">
    <w:name w:val="toc 4"/>
    <w:basedOn w:val="a6"/>
    <w:next w:val="a6"/>
    <w:autoRedefine/>
    <w:rsid w:val="00F71A34"/>
    <w:pPr>
      <w:kinsoku w:val="0"/>
      <w:ind w:leftChars="300" w:left="500" w:rightChars="200" w:right="200" w:hangingChars="200" w:hanging="200"/>
    </w:pPr>
  </w:style>
  <w:style w:type="paragraph" w:styleId="71">
    <w:name w:val="toc 7"/>
    <w:basedOn w:val="a6"/>
    <w:next w:val="a6"/>
    <w:autoRedefine/>
    <w:rsid w:val="00F71A34"/>
    <w:pPr>
      <w:ind w:leftChars="600" w:left="800" w:hangingChars="200" w:hanging="200"/>
    </w:pPr>
  </w:style>
  <w:style w:type="paragraph" w:styleId="81">
    <w:name w:val="toc 8"/>
    <w:basedOn w:val="a6"/>
    <w:next w:val="a6"/>
    <w:autoRedefine/>
    <w:rsid w:val="00F71A34"/>
    <w:pPr>
      <w:ind w:leftChars="700" w:left="900" w:hangingChars="200" w:hanging="200"/>
    </w:pPr>
  </w:style>
  <w:style w:type="paragraph" w:styleId="91">
    <w:name w:val="toc 9"/>
    <w:basedOn w:val="a6"/>
    <w:next w:val="a6"/>
    <w:autoRedefine/>
    <w:rsid w:val="00F71A34"/>
    <w:pPr>
      <w:ind w:leftChars="1600" w:left="3840"/>
    </w:pPr>
  </w:style>
  <w:style w:type="paragraph" w:styleId="af">
    <w:name w:val="header"/>
    <w:basedOn w:val="a6"/>
    <w:link w:val="af0"/>
    <w:rsid w:val="00F71A34"/>
    <w:pPr>
      <w:tabs>
        <w:tab w:val="center" w:pos="4153"/>
        <w:tab w:val="right" w:pos="8306"/>
      </w:tabs>
      <w:snapToGrid w:val="0"/>
    </w:pPr>
    <w:rPr>
      <w:sz w:val="20"/>
    </w:rPr>
  </w:style>
  <w:style w:type="paragraph" w:customStyle="1" w:styleId="32">
    <w:name w:val="段落樣式3"/>
    <w:basedOn w:val="21"/>
    <w:qFormat/>
    <w:rsid w:val="00F71A34"/>
    <w:pPr>
      <w:ind w:leftChars="400" w:left="400"/>
    </w:pPr>
  </w:style>
  <w:style w:type="character" w:styleId="af1">
    <w:name w:val="Hyperlink"/>
    <w:basedOn w:val="a7"/>
    <w:uiPriority w:val="99"/>
    <w:rsid w:val="00F71A34"/>
    <w:rPr>
      <w:color w:val="0000FF"/>
      <w:u w:val="single"/>
    </w:rPr>
  </w:style>
  <w:style w:type="paragraph" w:customStyle="1" w:styleId="af2">
    <w:name w:val="簽名日期"/>
    <w:basedOn w:val="a6"/>
    <w:rsid w:val="00F71A34"/>
    <w:pPr>
      <w:kinsoku w:val="0"/>
      <w:jc w:val="distribute"/>
    </w:pPr>
    <w:rPr>
      <w:kern w:val="0"/>
    </w:rPr>
  </w:style>
  <w:style w:type="paragraph" w:customStyle="1" w:styleId="0">
    <w:name w:val="段落樣式0"/>
    <w:basedOn w:val="21"/>
    <w:qFormat/>
    <w:rsid w:val="00F71A34"/>
    <w:pPr>
      <w:ind w:leftChars="200" w:left="200" w:firstLineChars="0" w:firstLine="0"/>
    </w:pPr>
  </w:style>
  <w:style w:type="paragraph" w:customStyle="1" w:styleId="af3">
    <w:name w:val="附件"/>
    <w:basedOn w:val="ac"/>
    <w:rsid w:val="00F71A34"/>
    <w:pPr>
      <w:spacing w:before="0"/>
      <w:ind w:left="1047" w:hangingChars="300" w:hanging="1047"/>
    </w:pPr>
    <w:rPr>
      <w:snapToGrid/>
      <w:spacing w:val="0"/>
      <w:kern w:val="0"/>
    </w:rPr>
  </w:style>
  <w:style w:type="paragraph" w:customStyle="1" w:styleId="42">
    <w:name w:val="段落樣式4"/>
    <w:basedOn w:val="32"/>
    <w:qFormat/>
    <w:rsid w:val="00F71A34"/>
    <w:pPr>
      <w:ind w:leftChars="500" w:left="500"/>
    </w:pPr>
  </w:style>
  <w:style w:type="paragraph" w:customStyle="1" w:styleId="52">
    <w:name w:val="段落樣式5"/>
    <w:basedOn w:val="42"/>
    <w:qFormat/>
    <w:rsid w:val="00F71A34"/>
    <w:pPr>
      <w:ind w:leftChars="600" w:left="600"/>
    </w:pPr>
  </w:style>
  <w:style w:type="paragraph" w:customStyle="1" w:styleId="62">
    <w:name w:val="段落樣式6"/>
    <w:basedOn w:val="52"/>
    <w:qFormat/>
    <w:rsid w:val="00F71A34"/>
    <w:pPr>
      <w:ind w:leftChars="700" w:left="700"/>
    </w:pPr>
  </w:style>
  <w:style w:type="paragraph" w:customStyle="1" w:styleId="72">
    <w:name w:val="段落樣式7"/>
    <w:basedOn w:val="62"/>
    <w:qFormat/>
    <w:rsid w:val="00F71A34"/>
    <w:pPr>
      <w:ind w:leftChars="800" w:left="800"/>
    </w:pPr>
  </w:style>
  <w:style w:type="paragraph" w:customStyle="1" w:styleId="82">
    <w:name w:val="段落樣式8"/>
    <w:basedOn w:val="72"/>
    <w:qFormat/>
    <w:rsid w:val="00F71A34"/>
    <w:pPr>
      <w:ind w:leftChars="900" w:left="900"/>
    </w:pPr>
  </w:style>
  <w:style w:type="paragraph" w:customStyle="1" w:styleId="a0">
    <w:name w:val="附表樣式"/>
    <w:basedOn w:val="a6"/>
    <w:qFormat/>
    <w:rsid w:val="00F71A34"/>
    <w:pPr>
      <w:keepNext/>
      <w:numPr>
        <w:numId w:val="14"/>
      </w:numPr>
      <w:outlineLvl w:val="0"/>
    </w:pPr>
    <w:rPr>
      <w:kern w:val="32"/>
    </w:rPr>
  </w:style>
  <w:style w:type="paragraph" w:styleId="af4">
    <w:name w:val="Body Text Indent"/>
    <w:basedOn w:val="a6"/>
    <w:link w:val="af5"/>
    <w:semiHidden/>
    <w:rsid w:val="00F71A34"/>
    <w:pPr>
      <w:ind w:left="698" w:hangingChars="200" w:hanging="698"/>
    </w:pPr>
  </w:style>
  <w:style w:type="paragraph" w:customStyle="1" w:styleId="af6">
    <w:name w:val="調查報告"/>
    <w:basedOn w:val="ac"/>
    <w:rsid w:val="00F71A34"/>
    <w:pPr>
      <w:adjustRightInd w:val="0"/>
      <w:spacing w:before="0"/>
      <w:ind w:left="0" w:firstLine="0"/>
      <w:jc w:val="center"/>
    </w:pPr>
    <w:rPr>
      <w:b/>
      <w:snapToGrid/>
      <w:spacing w:val="200"/>
      <w:kern w:val="0"/>
      <w:sz w:val="40"/>
    </w:rPr>
  </w:style>
  <w:style w:type="paragraph" w:customStyle="1" w:styleId="14">
    <w:name w:val="表格14"/>
    <w:basedOn w:val="a6"/>
    <w:rsid w:val="00F71A34"/>
    <w:pPr>
      <w:adjustRightInd w:val="0"/>
      <w:snapToGrid w:val="0"/>
      <w:spacing w:line="360" w:lineRule="exact"/>
    </w:pPr>
    <w:rPr>
      <w:snapToGrid w:val="0"/>
      <w:spacing w:val="-14"/>
      <w:kern w:val="0"/>
      <w:sz w:val="28"/>
    </w:rPr>
  </w:style>
  <w:style w:type="paragraph" w:customStyle="1" w:styleId="a">
    <w:name w:val="附圖樣式"/>
    <w:basedOn w:val="a6"/>
    <w:qFormat/>
    <w:rsid w:val="00F71A34"/>
    <w:pPr>
      <w:keepNext/>
      <w:numPr>
        <w:numId w:val="15"/>
      </w:numPr>
      <w:outlineLvl w:val="0"/>
    </w:pPr>
    <w:rPr>
      <w:kern w:val="32"/>
    </w:rPr>
  </w:style>
  <w:style w:type="paragraph" w:styleId="af7">
    <w:name w:val="footer"/>
    <w:basedOn w:val="a6"/>
    <w:link w:val="af8"/>
    <w:rsid w:val="00F71A34"/>
    <w:pPr>
      <w:tabs>
        <w:tab w:val="center" w:pos="4153"/>
        <w:tab w:val="right" w:pos="8306"/>
      </w:tabs>
      <w:snapToGrid w:val="0"/>
    </w:pPr>
    <w:rPr>
      <w:sz w:val="20"/>
    </w:rPr>
  </w:style>
  <w:style w:type="paragraph" w:styleId="af9">
    <w:name w:val="table of figures"/>
    <w:basedOn w:val="a6"/>
    <w:next w:val="a6"/>
    <w:uiPriority w:val="99"/>
    <w:rsid w:val="00F71A34"/>
    <w:pPr>
      <w:ind w:left="400" w:hangingChars="400" w:hanging="400"/>
    </w:pPr>
  </w:style>
  <w:style w:type="paragraph" w:customStyle="1" w:styleId="140">
    <w:name w:val="表格標題14"/>
    <w:basedOn w:val="a6"/>
    <w:rsid w:val="00F71A34"/>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F71A34"/>
    <w:pPr>
      <w:keepNext/>
      <w:widowControl w:val="0"/>
      <w:numPr>
        <w:numId w:val="1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3B254C"/>
    <w:pPr>
      <w:kinsoku w:val="0"/>
      <w:adjustRightInd w:val="0"/>
      <w:snapToGrid w:val="0"/>
      <w:spacing w:before="40" w:after="240" w:line="360" w:lineRule="exact"/>
    </w:pPr>
    <w:rPr>
      <w:spacing w:val="-10"/>
      <w:kern w:val="0"/>
      <w:sz w:val="24"/>
      <w:szCs w:val="22"/>
    </w:rPr>
  </w:style>
  <w:style w:type="paragraph" w:customStyle="1" w:styleId="a1">
    <w:name w:val="圖標題"/>
    <w:basedOn w:val="a6"/>
    <w:qFormat/>
    <w:rsid w:val="00F71A34"/>
    <w:pPr>
      <w:numPr>
        <w:numId w:val="18"/>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59"/>
    <w:rsid w:val="00F71A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F71A34"/>
    <w:pPr>
      <w:spacing w:line="240" w:lineRule="exact"/>
    </w:pPr>
    <w:rPr>
      <w:sz w:val="24"/>
      <w:szCs w:val="24"/>
    </w:rPr>
  </w:style>
  <w:style w:type="paragraph" w:customStyle="1" w:styleId="121">
    <w:name w:val="表格12"/>
    <w:basedOn w:val="14"/>
    <w:rsid w:val="00F71A34"/>
    <w:pPr>
      <w:spacing w:line="300" w:lineRule="exact"/>
    </w:pPr>
    <w:rPr>
      <w:sz w:val="24"/>
      <w:szCs w:val="24"/>
    </w:rPr>
  </w:style>
  <w:style w:type="paragraph" w:customStyle="1" w:styleId="a4">
    <w:name w:val="附錄"/>
    <w:basedOn w:val="a6"/>
    <w:qFormat/>
    <w:rsid w:val="00F71A34"/>
    <w:pPr>
      <w:keepNext/>
      <w:numPr>
        <w:numId w:val="16"/>
      </w:numPr>
      <w:outlineLvl w:val="0"/>
    </w:pPr>
    <w:rPr>
      <w:kern w:val="32"/>
    </w:rPr>
  </w:style>
  <w:style w:type="paragraph" w:styleId="afc">
    <w:name w:val="List Paragraph"/>
    <w:basedOn w:val="a6"/>
    <w:link w:val="afd"/>
    <w:uiPriority w:val="34"/>
    <w:qFormat/>
    <w:rsid w:val="00F71A34"/>
    <w:pPr>
      <w:ind w:leftChars="200" w:left="480"/>
    </w:pPr>
  </w:style>
  <w:style w:type="paragraph" w:styleId="afe">
    <w:name w:val="Balloon Text"/>
    <w:basedOn w:val="a6"/>
    <w:link w:val="aff"/>
    <w:uiPriority w:val="99"/>
    <w:semiHidden/>
    <w:unhideWhenUsed/>
    <w:rsid w:val="00F71A34"/>
    <w:rPr>
      <w:rFonts w:asciiTheme="majorHAnsi" w:eastAsiaTheme="majorEastAsia" w:hAnsiTheme="majorHAnsi" w:cstheme="majorBidi"/>
      <w:sz w:val="18"/>
      <w:szCs w:val="18"/>
    </w:rPr>
  </w:style>
  <w:style w:type="character" w:customStyle="1" w:styleId="aff">
    <w:name w:val="註解方塊文字 字元"/>
    <w:basedOn w:val="a7"/>
    <w:link w:val="afe"/>
    <w:uiPriority w:val="99"/>
    <w:semiHidden/>
    <w:rsid w:val="00F71A34"/>
    <w:rPr>
      <w:rFonts w:asciiTheme="majorHAnsi" w:eastAsiaTheme="majorEastAsia" w:hAnsiTheme="majorHAnsi" w:cstheme="majorBidi"/>
      <w:kern w:val="2"/>
      <w:sz w:val="18"/>
      <w:szCs w:val="18"/>
    </w:rPr>
  </w:style>
  <w:style w:type="paragraph" w:customStyle="1" w:styleId="a5">
    <w:name w:val="照片標題"/>
    <w:qFormat/>
    <w:rsid w:val="00F71A34"/>
    <w:pPr>
      <w:numPr>
        <w:numId w:val="17"/>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F71A34"/>
    <w:pPr>
      <w:keepNext/>
      <w:numPr>
        <w:numId w:val="13"/>
      </w:numPr>
      <w:outlineLvl w:val="0"/>
    </w:pPr>
    <w:rPr>
      <w:kern w:val="32"/>
    </w:rPr>
  </w:style>
  <w:style w:type="character" w:customStyle="1" w:styleId="90">
    <w:name w:val="標題 9 字元"/>
    <w:basedOn w:val="a7"/>
    <w:link w:val="9"/>
    <w:uiPriority w:val="9"/>
    <w:rsid w:val="00F71A34"/>
    <w:rPr>
      <w:rFonts w:ascii="標楷體" w:eastAsia="標楷體" w:hAnsiTheme="majorHAnsi" w:cstheme="majorBidi"/>
      <w:kern w:val="32"/>
      <w:sz w:val="32"/>
      <w:szCs w:val="36"/>
    </w:rPr>
  </w:style>
  <w:style w:type="paragraph" w:customStyle="1" w:styleId="92">
    <w:name w:val="段落樣式9"/>
    <w:basedOn w:val="82"/>
    <w:qFormat/>
    <w:rsid w:val="00F71A34"/>
    <w:pPr>
      <w:ind w:leftChars="1000" w:left="1000"/>
    </w:pPr>
  </w:style>
  <w:style w:type="character" w:customStyle="1" w:styleId="40">
    <w:name w:val="標題 4 字元"/>
    <w:basedOn w:val="a7"/>
    <w:link w:val="4"/>
    <w:rsid w:val="00F71A34"/>
    <w:rPr>
      <w:rFonts w:ascii="標楷體" w:eastAsia="標楷體" w:hAnsi="Arial"/>
      <w:kern w:val="32"/>
      <w:sz w:val="32"/>
      <w:szCs w:val="36"/>
    </w:rPr>
  </w:style>
  <w:style w:type="character" w:customStyle="1" w:styleId="af5">
    <w:name w:val="本文縮排 字元"/>
    <w:basedOn w:val="a7"/>
    <w:link w:val="af4"/>
    <w:semiHidden/>
    <w:rsid w:val="00F71A34"/>
    <w:rPr>
      <w:rFonts w:ascii="標楷體" w:eastAsia="標楷體"/>
      <w:kern w:val="2"/>
      <w:sz w:val="32"/>
    </w:rPr>
  </w:style>
  <w:style w:type="character" w:customStyle="1" w:styleId="ad">
    <w:name w:val="章節附註文字 字元"/>
    <w:basedOn w:val="a7"/>
    <w:link w:val="ac"/>
    <w:semiHidden/>
    <w:rsid w:val="00F71A34"/>
    <w:rPr>
      <w:rFonts w:ascii="標楷體" w:eastAsia="標楷體"/>
      <w:snapToGrid w:val="0"/>
      <w:spacing w:val="10"/>
      <w:kern w:val="2"/>
      <w:sz w:val="32"/>
    </w:rPr>
  </w:style>
  <w:style w:type="character" w:customStyle="1" w:styleId="af8">
    <w:name w:val="頁尾 字元"/>
    <w:basedOn w:val="a7"/>
    <w:link w:val="af7"/>
    <w:rsid w:val="00F71A34"/>
    <w:rPr>
      <w:rFonts w:ascii="標楷體" w:eastAsia="標楷體"/>
      <w:kern w:val="2"/>
    </w:rPr>
  </w:style>
  <w:style w:type="character" w:customStyle="1" w:styleId="af0">
    <w:name w:val="頁首 字元"/>
    <w:basedOn w:val="a7"/>
    <w:link w:val="af"/>
    <w:rsid w:val="00F71A34"/>
    <w:rPr>
      <w:rFonts w:ascii="標楷體" w:eastAsia="標楷體"/>
      <w:kern w:val="2"/>
    </w:rPr>
  </w:style>
  <w:style w:type="character" w:customStyle="1" w:styleId="10">
    <w:name w:val="標題 1 字元"/>
    <w:basedOn w:val="a7"/>
    <w:link w:val="1"/>
    <w:rsid w:val="00F71A34"/>
    <w:rPr>
      <w:rFonts w:ascii="標楷體" w:eastAsia="標楷體" w:hAnsi="Arial"/>
      <w:bCs/>
      <w:kern w:val="32"/>
      <w:sz w:val="32"/>
      <w:szCs w:val="52"/>
    </w:rPr>
  </w:style>
  <w:style w:type="character" w:customStyle="1" w:styleId="20">
    <w:name w:val="標題 2 字元"/>
    <w:basedOn w:val="a7"/>
    <w:link w:val="2"/>
    <w:rsid w:val="00F71A34"/>
    <w:rPr>
      <w:rFonts w:ascii="標楷體" w:eastAsia="標楷體" w:hAnsi="Arial"/>
      <w:bCs/>
      <w:kern w:val="32"/>
      <w:sz w:val="32"/>
      <w:szCs w:val="48"/>
    </w:rPr>
  </w:style>
  <w:style w:type="character" w:customStyle="1" w:styleId="30">
    <w:name w:val="標題 3 字元"/>
    <w:basedOn w:val="a7"/>
    <w:link w:val="3"/>
    <w:rsid w:val="00F71A34"/>
    <w:rPr>
      <w:rFonts w:ascii="標楷體" w:eastAsia="標楷體" w:hAnsi="Arial"/>
      <w:bCs/>
      <w:kern w:val="32"/>
      <w:sz w:val="32"/>
      <w:szCs w:val="36"/>
    </w:rPr>
  </w:style>
  <w:style w:type="character" w:customStyle="1" w:styleId="50">
    <w:name w:val="標題 5 字元"/>
    <w:basedOn w:val="a7"/>
    <w:link w:val="5"/>
    <w:rsid w:val="00F71A34"/>
    <w:rPr>
      <w:rFonts w:ascii="標楷體" w:eastAsia="標楷體" w:hAnsi="Arial"/>
      <w:bCs/>
      <w:kern w:val="32"/>
      <w:sz w:val="32"/>
      <w:szCs w:val="36"/>
    </w:rPr>
  </w:style>
  <w:style w:type="character" w:customStyle="1" w:styleId="60">
    <w:name w:val="標題 6 字元"/>
    <w:basedOn w:val="a7"/>
    <w:link w:val="6"/>
    <w:rsid w:val="00F71A34"/>
    <w:rPr>
      <w:rFonts w:ascii="標楷體" w:eastAsia="標楷體" w:hAnsi="Arial"/>
      <w:kern w:val="32"/>
      <w:sz w:val="32"/>
      <w:szCs w:val="36"/>
    </w:rPr>
  </w:style>
  <w:style w:type="character" w:customStyle="1" w:styleId="70">
    <w:name w:val="標題 7 字元"/>
    <w:basedOn w:val="a7"/>
    <w:link w:val="7"/>
    <w:rsid w:val="00F71A34"/>
    <w:rPr>
      <w:rFonts w:ascii="標楷體" w:eastAsia="標楷體" w:hAnsi="Arial"/>
      <w:bCs/>
      <w:kern w:val="32"/>
      <w:sz w:val="32"/>
      <w:szCs w:val="36"/>
    </w:rPr>
  </w:style>
  <w:style w:type="character" w:customStyle="1" w:styleId="80">
    <w:name w:val="標題 8 字元"/>
    <w:basedOn w:val="a7"/>
    <w:link w:val="8"/>
    <w:rsid w:val="00F71A34"/>
    <w:rPr>
      <w:rFonts w:ascii="標楷體" w:eastAsia="標楷體" w:hAnsi="Arial"/>
      <w:kern w:val="32"/>
      <w:sz w:val="32"/>
      <w:szCs w:val="36"/>
    </w:rPr>
  </w:style>
  <w:style w:type="character" w:customStyle="1" w:styleId="ab">
    <w:name w:val="簽名 字元"/>
    <w:basedOn w:val="a7"/>
    <w:link w:val="aa"/>
    <w:semiHidden/>
    <w:rsid w:val="00F71A34"/>
    <w:rPr>
      <w:rFonts w:ascii="標楷體" w:eastAsia="標楷體"/>
      <w:b/>
      <w:snapToGrid w:val="0"/>
      <w:spacing w:val="10"/>
      <w:kern w:val="2"/>
      <w:sz w:val="36"/>
    </w:rPr>
  </w:style>
  <w:style w:type="paragraph" w:styleId="aff0">
    <w:name w:val="footnote text"/>
    <w:basedOn w:val="a6"/>
    <w:link w:val="aff1"/>
    <w:uiPriority w:val="99"/>
    <w:unhideWhenUsed/>
    <w:rsid w:val="006E528C"/>
    <w:pPr>
      <w:snapToGrid w:val="0"/>
      <w:jc w:val="left"/>
    </w:pPr>
    <w:rPr>
      <w:sz w:val="20"/>
    </w:rPr>
  </w:style>
  <w:style w:type="character" w:customStyle="1" w:styleId="aff1">
    <w:name w:val="註腳文字 字元"/>
    <w:basedOn w:val="a7"/>
    <w:link w:val="aff0"/>
    <w:uiPriority w:val="99"/>
    <w:rsid w:val="006E528C"/>
    <w:rPr>
      <w:rFonts w:ascii="標楷體" w:eastAsia="標楷體"/>
      <w:kern w:val="2"/>
    </w:rPr>
  </w:style>
  <w:style w:type="character" w:styleId="aff2">
    <w:name w:val="footnote reference"/>
    <w:basedOn w:val="a7"/>
    <w:uiPriority w:val="99"/>
    <w:unhideWhenUsed/>
    <w:rsid w:val="006E528C"/>
    <w:rPr>
      <w:vertAlign w:val="superscript"/>
    </w:rPr>
  </w:style>
  <w:style w:type="paragraph" w:customStyle="1" w:styleId="aff3">
    <w:name w:val="表樣式"/>
    <w:basedOn w:val="a6"/>
    <w:next w:val="a6"/>
    <w:rsid w:val="00C419D4"/>
    <w:pPr>
      <w:tabs>
        <w:tab w:val="num" w:pos="1440"/>
      </w:tabs>
      <w:overflowPunct/>
      <w:autoSpaceDE/>
      <w:autoSpaceDN/>
      <w:ind w:left="695" w:hanging="695"/>
    </w:pPr>
    <w:rPr>
      <w:kern w:val="0"/>
    </w:rPr>
  </w:style>
  <w:style w:type="paragraph" w:customStyle="1" w:styleId="aff4">
    <w:name w:val="表文"/>
    <w:link w:val="aff5"/>
    <w:qFormat/>
    <w:rsid w:val="00C419D4"/>
    <w:pPr>
      <w:tabs>
        <w:tab w:val="left" w:pos="152"/>
      </w:tabs>
      <w:spacing w:line="300" w:lineRule="exact"/>
      <w:jc w:val="both"/>
    </w:pPr>
    <w:rPr>
      <w:rFonts w:eastAsia="標楷體"/>
      <w:color w:val="0000FF"/>
      <w:sz w:val="24"/>
    </w:rPr>
  </w:style>
  <w:style w:type="paragraph" w:customStyle="1" w:styleId="aff6">
    <w:name w:val="分項段落"/>
    <w:basedOn w:val="a6"/>
    <w:rsid w:val="004A2AD5"/>
    <w:pPr>
      <w:overflowPunct/>
      <w:autoSpaceDE/>
      <w:autoSpaceDN/>
      <w:jc w:val="left"/>
    </w:pPr>
    <w:rPr>
      <w:rFonts w:ascii="Times New Roman" w:eastAsia="新細明體"/>
      <w:sz w:val="24"/>
    </w:rPr>
  </w:style>
  <w:style w:type="paragraph" w:styleId="aff7">
    <w:name w:val="Body Text"/>
    <w:basedOn w:val="a6"/>
    <w:link w:val="aff8"/>
    <w:unhideWhenUsed/>
    <w:rsid w:val="005808E0"/>
    <w:pPr>
      <w:spacing w:after="120"/>
    </w:pPr>
  </w:style>
  <w:style w:type="character" w:customStyle="1" w:styleId="aff8">
    <w:name w:val="本文 字元"/>
    <w:basedOn w:val="a7"/>
    <w:link w:val="aff7"/>
    <w:rsid w:val="005808E0"/>
    <w:rPr>
      <w:rFonts w:ascii="標楷體" w:eastAsia="標楷體"/>
      <w:kern w:val="2"/>
      <w:sz w:val="32"/>
    </w:rPr>
  </w:style>
  <w:style w:type="paragraph" w:customStyle="1" w:styleId="aff9">
    <w:name w:val="字元 字元 字元"/>
    <w:basedOn w:val="a6"/>
    <w:semiHidden/>
    <w:rsid w:val="00F9707B"/>
    <w:pPr>
      <w:widowControl/>
      <w:overflowPunct/>
      <w:autoSpaceDE/>
      <w:autoSpaceDN/>
      <w:spacing w:after="160" w:line="240" w:lineRule="exact"/>
      <w:jc w:val="left"/>
    </w:pPr>
    <w:rPr>
      <w:rFonts w:ascii="Verdana" w:eastAsia="Times New Roman" w:hAnsi="Verdana"/>
      <w:kern w:val="0"/>
      <w:sz w:val="20"/>
      <w:lang w:eastAsia="en-US"/>
    </w:rPr>
  </w:style>
  <w:style w:type="paragraph" w:customStyle="1" w:styleId="23">
    <w:name w:val="字元 字元2 字元"/>
    <w:basedOn w:val="aff7"/>
    <w:semiHidden/>
    <w:rsid w:val="00F9707B"/>
    <w:pPr>
      <w:widowControl/>
      <w:overflowPunct/>
      <w:autoSpaceDE/>
      <w:autoSpaceDN/>
      <w:adjustRightInd w:val="0"/>
      <w:snapToGrid w:val="0"/>
      <w:spacing w:after="0" w:line="360" w:lineRule="auto"/>
      <w:ind w:firstLine="510"/>
      <w:textAlignment w:val="center"/>
    </w:pPr>
    <w:rPr>
      <w:rFonts w:ascii="Times New Roman" w:eastAsia="新細明體" w:cs="Tahoma"/>
      <w:color w:val="000000"/>
      <w:kern w:val="0"/>
      <w:sz w:val="22"/>
      <w:szCs w:val="19"/>
      <w:lang w:eastAsia="en-US"/>
    </w:rPr>
  </w:style>
  <w:style w:type="paragraph" w:customStyle="1" w:styleId="210">
    <w:name w:val="字元 字元2 字元 字元 字元1 字元"/>
    <w:basedOn w:val="a6"/>
    <w:semiHidden/>
    <w:rsid w:val="00F9707B"/>
    <w:pPr>
      <w:widowControl/>
      <w:overflowPunct/>
      <w:autoSpaceDE/>
      <w:autoSpaceDN/>
      <w:spacing w:after="160" w:line="240" w:lineRule="exact"/>
      <w:jc w:val="left"/>
    </w:pPr>
    <w:rPr>
      <w:rFonts w:ascii="Verdana" w:eastAsia="Times New Roman" w:hAnsi="Verdana"/>
      <w:kern w:val="0"/>
      <w:sz w:val="20"/>
      <w:lang w:eastAsia="en-US"/>
    </w:rPr>
  </w:style>
  <w:style w:type="paragraph" w:customStyle="1" w:styleId="13">
    <w:name w:val="字元1 字元 字元 字元"/>
    <w:basedOn w:val="a6"/>
    <w:rsid w:val="00F9707B"/>
    <w:pPr>
      <w:widowControl/>
      <w:overflowPunct/>
      <w:autoSpaceDE/>
      <w:autoSpaceDN/>
      <w:spacing w:after="160" w:line="240" w:lineRule="exact"/>
      <w:jc w:val="left"/>
    </w:pPr>
    <w:rPr>
      <w:rFonts w:ascii="Tahoma" w:eastAsia="新細明體" w:hAnsi="Tahoma"/>
      <w:kern w:val="0"/>
      <w:sz w:val="20"/>
      <w:lang w:eastAsia="en-US"/>
    </w:rPr>
  </w:style>
  <w:style w:type="character" w:styleId="affa">
    <w:name w:val="annotation reference"/>
    <w:uiPriority w:val="99"/>
    <w:semiHidden/>
    <w:rsid w:val="00F9707B"/>
    <w:rPr>
      <w:sz w:val="18"/>
      <w:szCs w:val="18"/>
    </w:rPr>
  </w:style>
  <w:style w:type="paragraph" w:styleId="affb">
    <w:name w:val="Revision"/>
    <w:hidden/>
    <w:uiPriority w:val="99"/>
    <w:semiHidden/>
    <w:rsid w:val="00F9707B"/>
    <w:rPr>
      <w:kern w:val="2"/>
      <w:sz w:val="24"/>
    </w:rPr>
  </w:style>
  <w:style w:type="character" w:styleId="affc">
    <w:name w:val="FollowedHyperlink"/>
    <w:basedOn w:val="a7"/>
    <w:semiHidden/>
    <w:unhideWhenUsed/>
    <w:rsid w:val="00F9707B"/>
    <w:rPr>
      <w:color w:val="800080" w:themeColor="followedHyperlink"/>
      <w:u w:val="single"/>
    </w:rPr>
  </w:style>
  <w:style w:type="table" w:customStyle="1" w:styleId="24">
    <w:name w:val="表格格線2"/>
    <w:basedOn w:val="a8"/>
    <w:next w:val="afb"/>
    <w:uiPriority w:val="39"/>
    <w:rsid w:val="009368E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Plain Text"/>
    <w:basedOn w:val="a6"/>
    <w:link w:val="affe"/>
    <w:uiPriority w:val="99"/>
    <w:unhideWhenUsed/>
    <w:rsid w:val="0026277A"/>
    <w:pPr>
      <w:overflowPunct/>
      <w:autoSpaceDE/>
      <w:autoSpaceDN/>
      <w:adjustRightInd w:val="0"/>
      <w:spacing w:line="360" w:lineRule="atLeast"/>
      <w:jc w:val="left"/>
    </w:pPr>
    <w:rPr>
      <w:rFonts w:ascii="細明體" w:eastAsia="細明體" w:hAnsi="Courier New"/>
      <w:kern w:val="0"/>
      <w:sz w:val="24"/>
    </w:rPr>
  </w:style>
  <w:style w:type="character" w:customStyle="1" w:styleId="affe">
    <w:name w:val="純文字 字元"/>
    <w:basedOn w:val="a7"/>
    <w:link w:val="affd"/>
    <w:uiPriority w:val="99"/>
    <w:rsid w:val="0026277A"/>
    <w:rPr>
      <w:rFonts w:ascii="細明體" w:eastAsia="細明體" w:hAnsi="Courier New"/>
      <w:sz w:val="24"/>
    </w:rPr>
  </w:style>
  <w:style w:type="paragraph" w:customStyle="1" w:styleId="afff">
    <w:name w:val="主旨"/>
    <w:basedOn w:val="a6"/>
    <w:rsid w:val="008960C8"/>
    <w:pPr>
      <w:overflowPunct/>
      <w:autoSpaceDE/>
      <w:autoSpaceDN/>
      <w:snapToGrid w:val="0"/>
      <w:ind w:left="964" w:hanging="964"/>
      <w:jc w:val="left"/>
    </w:pPr>
    <w:rPr>
      <w:rFonts w:ascii="Times New Roman"/>
    </w:rPr>
  </w:style>
  <w:style w:type="character" w:styleId="afff0">
    <w:name w:val="Emphasis"/>
    <w:uiPriority w:val="20"/>
    <w:qFormat/>
    <w:rsid w:val="008960C8"/>
    <w:rPr>
      <w:b w:val="0"/>
      <w:bCs w:val="0"/>
      <w:i w:val="0"/>
      <w:iCs w:val="0"/>
      <w:color w:val="DD4B39"/>
    </w:rPr>
  </w:style>
  <w:style w:type="paragraph" w:customStyle="1" w:styleId="93">
    <w:name w:val="標題9"/>
    <w:basedOn w:val="a6"/>
    <w:rsid w:val="008960C8"/>
    <w:pPr>
      <w:tabs>
        <w:tab w:val="num" w:pos="6195"/>
      </w:tabs>
      <w:overflowPunct/>
      <w:autoSpaceDE/>
      <w:autoSpaceDN/>
      <w:ind w:left="5015" w:hanging="1700"/>
      <w:jc w:val="left"/>
    </w:pPr>
    <w:rPr>
      <w:rFonts w:ascii="Times New Roman"/>
    </w:rPr>
  </w:style>
  <w:style w:type="paragraph" w:customStyle="1" w:styleId="25">
    <w:name w:val="樣式2"/>
    <w:basedOn w:val="2"/>
    <w:rsid w:val="008960C8"/>
    <w:pPr>
      <w:keepNext/>
      <w:numPr>
        <w:ilvl w:val="0"/>
        <w:numId w:val="0"/>
      </w:numPr>
      <w:suppressAutoHyphens/>
      <w:overflowPunct/>
      <w:autoSpaceDE/>
      <w:spacing w:line="720" w:lineRule="atLeast"/>
      <w:ind w:left="400" w:hanging="200"/>
      <w:textAlignment w:val="baseline"/>
    </w:pPr>
    <w:rPr>
      <w:rFonts w:ascii="Arial"/>
      <w:b/>
      <w:kern w:val="0"/>
      <w:sz w:val="28"/>
    </w:rPr>
  </w:style>
  <w:style w:type="paragraph" w:customStyle="1" w:styleId="73">
    <w:name w:val="內文+7"/>
    <w:basedOn w:val="a6"/>
    <w:uiPriority w:val="99"/>
    <w:rsid w:val="00987342"/>
    <w:pPr>
      <w:overflowPunct/>
      <w:adjustRightInd w:val="0"/>
      <w:jc w:val="left"/>
    </w:pPr>
    <w:rPr>
      <w:kern w:val="0"/>
      <w:sz w:val="24"/>
      <w:szCs w:val="24"/>
    </w:rPr>
  </w:style>
  <w:style w:type="character" w:styleId="afff1">
    <w:name w:val="Strong"/>
    <w:uiPriority w:val="22"/>
    <w:qFormat/>
    <w:rsid w:val="008960C8"/>
    <w:rPr>
      <w:b/>
      <w:bCs/>
    </w:rPr>
  </w:style>
  <w:style w:type="paragraph" w:styleId="Web">
    <w:name w:val="Normal (Web)"/>
    <w:basedOn w:val="a6"/>
    <w:uiPriority w:val="99"/>
    <w:rsid w:val="008960C8"/>
    <w:pPr>
      <w:widowControl/>
      <w:overflowPunct/>
      <w:autoSpaceDE/>
      <w:autoSpaceDN/>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2">
    <w:name w:val="字元 字元"/>
    <w:basedOn w:val="a6"/>
    <w:semiHidden/>
    <w:rsid w:val="008960C8"/>
    <w:pPr>
      <w:widowControl/>
      <w:overflowPunct/>
      <w:autoSpaceDE/>
      <w:autoSpaceDN/>
      <w:spacing w:after="160" w:line="240" w:lineRule="exact"/>
      <w:jc w:val="left"/>
    </w:pPr>
    <w:rPr>
      <w:rFonts w:ascii="Verdana" w:eastAsia="Times New Roman" w:hAnsi="Verdana"/>
      <w:kern w:val="0"/>
      <w:sz w:val="20"/>
      <w:lang w:eastAsia="en-US"/>
    </w:rPr>
  </w:style>
  <w:style w:type="numbering" w:customStyle="1" w:styleId="15">
    <w:name w:val="無清單1"/>
    <w:next w:val="a9"/>
    <w:uiPriority w:val="99"/>
    <w:semiHidden/>
    <w:unhideWhenUsed/>
    <w:rsid w:val="008960C8"/>
  </w:style>
  <w:style w:type="paragraph" w:customStyle="1" w:styleId="16">
    <w:name w:val="標題1"/>
    <w:basedOn w:val="a6"/>
    <w:next w:val="a6"/>
    <w:uiPriority w:val="10"/>
    <w:qFormat/>
    <w:rsid w:val="008960C8"/>
    <w:pPr>
      <w:overflowPunct/>
      <w:autoSpaceDE/>
      <w:autoSpaceDN/>
      <w:spacing w:before="240" w:after="60"/>
      <w:jc w:val="center"/>
      <w:outlineLvl w:val="0"/>
    </w:pPr>
    <w:rPr>
      <w:rFonts w:ascii="Calibri Light" w:eastAsia="新細明體" w:hAnsi="Calibri Light"/>
      <w:b/>
      <w:bCs/>
      <w:szCs w:val="32"/>
    </w:rPr>
  </w:style>
  <w:style w:type="character" w:customStyle="1" w:styleId="afff3">
    <w:name w:val="標題 字元"/>
    <w:basedOn w:val="a7"/>
    <w:link w:val="afff4"/>
    <w:uiPriority w:val="10"/>
    <w:rsid w:val="008960C8"/>
    <w:rPr>
      <w:rFonts w:ascii="Calibri Light" w:hAnsi="Calibri Light"/>
      <w:b/>
      <w:bCs/>
      <w:sz w:val="32"/>
      <w:szCs w:val="32"/>
    </w:rPr>
  </w:style>
  <w:style w:type="paragraph" w:customStyle="1" w:styleId="afff5">
    <w:name w:val="封面標題"/>
    <w:basedOn w:val="a6"/>
    <w:qFormat/>
    <w:rsid w:val="008960C8"/>
    <w:pPr>
      <w:overflowPunct/>
      <w:autoSpaceDE/>
      <w:autoSpaceDN/>
      <w:spacing w:before="120"/>
      <w:jc w:val="center"/>
    </w:pPr>
    <w:rPr>
      <w:rFonts w:ascii="Times New Roman"/>
      <w:spacing w:val="-12"/>
      <w:sz w:val="44"/>
      <w:szCs w:val="40"/>
    </w:rPr>
  </w:style>
  <w:style w:type="paragraph" w:customStyle="1" w:styleId="afff6">
    <w:name w:val="封面標題靠左"/>
    <w:basedOn w:val="afff5"/>
    <w:qFormat/>
    <w:rsid w:val="008960C8"/>
  </w:style>
  <w:style w:type="paragraph" w:customStyle="1" w:styleId="afff7">
    <w:name w:val="壹"/>
    <w:basedOn w:val="a6"/>
    <w:link w:val="afff8"/>
    <w:uiPriority w:val="99"/>
    <w:qFormat/>
    <w:rsid w:val="008960C8"/>
    <w:pPr>
      <w:overflowPunct/>
      <w:autoSpaceDE/>
      <w:autoSpaceDN/>
      <w:jc w:val="left"/>
    </w:pPr>
    <w:rPr>
      <w:rFonts w:ascii="Times New Roman"/>
      <w:b/>
      <w:szCs w:val="24"/>
    </w:rPr>
  </w:style>
  <w:style w:type="character" w:customStyle="1" w:styleId="afff8">
    <w:name w:val="壹 字元"/>
    <w:basedOn w:val="a7"/>
    <w:link w:val="afff7"/>
    <w:uiPriority w:val="99"/>
    <w:rsid w:val="008960C8"/>
    <w:rPr>
      <w:rFonts w:eastAsia="標楷體"/>
      <w:b/>
      <w:kern w:val="2"/>
      <w:sz w:val="32"/>
      <w:szCs w:val="24"/>
    </w:rPr>
  </w:style>
  <w:style w:type="paragraph" w:customStyle="1" w:styleId="afff9">
    <w:name w:val="表名"/>
    <w:link w:val="afffa"/>
    <w:qFormat/>
    <w:rsid w:val="008960C8"/>
    <w:pPr>
      <w:adjustRightInd w:val="0"/>
      <w:snapToGrid w:val="0"/>
      <w:spacing w:beforeLines="50" w:afterLines="50"/>
      <w:jc w:val="center"/>
    </w:pPr>
    <w:rPr>
      <w:rFonts w:eastAsia="標楷體"/>
      <w:kern w:val="2"/>
      <w:sz w:val="28"/>
      <w:szCs w:val="28"/>
    </w:rPr>
  </w:style>
  <w:style w:type="character" w:customStyle="1" w:styleId="afffa">
    <w:name w:val="表名 字元"/>
    <w:basedOn w:val="a7"/>
    <w:link w:val="afff9"/>
    <w:rsid w:val="008960C8"/>
    <w:rPr>
      <w:rFonts w:eastAsia="標楷體"/>
      <w:kern w:val="2"/>
      <w:sz w:val="28"/>
      <w:szCs w:val="28"/>
    </w:rPr>
  </w:style>
  <w:style w:type="character" w:customStyle="1" w:styleId="aff5">
    <w:name w:val="表文 字元"/>
    <w:basedOn w:val="a7"/>
    <w:link w:val="aff4"/>
    <w:rsid w:val="008960C8"/>
    <w:rPr>
      <w:rFonts w:eastAsia="標楷體"/>
      <w:color w:val="0000FF"/>
      <w:sz w:val="24"/>
    </w:rPr>
  </w:style>
  <w:style w:type="paragraph" w:customStyle="1" w:styleId="afffb">
    <w:name w:val="圖名"/>
    <w:basedOn w:val="afff9"/>
    <w:link w:val="afffc"/>
    <w:qFormat/>
    <w:rsid w:val="008960C8"/>
    <w:rPr>
      <w:color w:val="000000"/>
    </w:rPr>
  </w:style>
  <w:style w:type="character" w:customStyle="1" w:styleId="afffc">
    <w:name w:val="圖名 字元"/>
    <w:basedOn w:val="a7"/>
    <w:link w:val="afffb"/>
    <w:rsid w:val="008960C8"/>
    <w:rPr>
      <w:rFonts w:eastAsia="標楷體"/>
      <w:color w:val="000000"/>
      <w:kern w:val="2"/>
      <w:sz w:val="28"/>
      <w:szCs w:val="28"/>
    </w:rPr>
  </w:style>
  <w:style w:type="paragraph" w:customStyle="1" w:styleId="afffd">
    <w:name w:val="圖"/>
    <w:qFormat/>
    <w:rsid w:val="008960C8"/>
    <w:pPr>
      <w:ind w:left="697" w:hanging="157"/>
      <w:jc w:val="center"/>
    </w:pPr>
    <w:rPr>
      <w:rFonts w:eastAsia="標楷體"/>
      <w:noProof/>
      <w:kern w:val="2"/>
      <w:sz w:val="28"/>
      <w:szCs w:val="28"/>
    </w:rPr>
  </w:style>
  <w:style w:type="paragraph" w:customStyle="1" w:styleId="afffe">
    <w:name w:val="壹、內文"/>
    <w:qFormat/>
    <w:rsid w:val="008960C8"/>
    <w:pPr>
      <w:ind w:leftChars="262" w:left="629" w:firstLineChars="201" w:firstLine="643"/>
    </w:pPr>
    <w:rPr>
      <w:rFonts w:eastAsia="標楷體"/>
      <w:kern w:val="2"/>
      <w:sz w:val="32"/>
      <w:szCs w:val="24"/>
    </w:rPr>
  </w:style>
  <w:style w:type="paragraph" w:customStyle="1" w:styleId="affff">
    <w:name w:val="表文靠左"/>
    <w:basedOn w:val="a6"/>
    <w:link w:val="affff0"/>
    <w:qFormat/>
    <w:rsid w:val="008960C8"/>
    <w:pPr>
      <w:overflowPunct/>
      <w:autoSpaceDE/>
      <w:autoSpaceDN/>
      <w:adjustRightInd w:val="0"/>
      <w:snapToGrid w:val="0"/>
      <w:spacing w:line="240" w:lineRule="atLeast"/>
      <w:jc w:val="left"/>
    </w:pPr>
    <w:rPr>
      <w:rFonts w:ascii="Times New Roman"/>
      <w:kern w:val="0"/>
      <w:sz w:val="24"/>
      <w:szCs w:val="24"/>
      <w:lang w:val="zh-TW"/>
    </w:rPr>
  </w:style>
  <w:style w:type="character" w:customStyle="1" w:styleId="affff0">
    <w:name w:val="表文靠左 字元"/>
    <w:basedOn w:val="a7"/>
    <w:link w:val="affff"/>
    <w:rsid w:val="008960C8"/>
    <w:rPr>
      <w:rFonts w:eastAsia="標楷體"/>
      <w:sz w:val="24"/>
      <w:szCs w:val="24"/>
      <w:lang w:val="zh-TW"/>
    </w:rPr>
  </w:style>
  <w:style w:type="paragraph" w:customStyle="1" w:styleId="affff1">
    <w:name w:val="表文置中"/>
    <w:qFormat/>
    <w:rsid w:val="008960C8"/>
    <w:pPr>
      <w:adjustRightInd w:val="0"/>
      <w:snapToGrid w:val="0"/>
      <w:jc w:val="center"/>
    </w:pPr>
    <w:rPr>
      <w:rFonts w:eastAsia="標楷體"/>
      <w:kern w:val="2"/>
      <w:sz w:val="24"/>
      <w:szCs w:val="28"/>
    </w:rPr>
  </w:style>
  <w:style w:type="paragraph" w:customStyle="1" w:styleId="affff2">
    <w:name w:val="表格文"/>
    <w:autoRedefine/>
    <w:qFormat/>
    <w:rsid w:val="008960C8"/>
    <w:pPr>
      <w:adjustRightInd w:val="0"/>
      <w:snapToGrid w:val="0"/>
      <w:spacing w:line="240" w:lineRule="atLeast"/>
      <w:ind w:left="-108" w:firstLine="164"/>
    </w:pPr>
    <w:rPr>
      <w:rFonts w:eastAsia="標楷體"/>
      <w:kern w:val="2"/>
      <w:sz w:val="24"/>
      <w:szCs w:val="24"/>
    </w:rPr>
  </w:style>
  <w:style w:type="paragraph" w:customStyle="1" w:styleId="17">
    <w:name w:val="內容1."/>
    <w:basedOn w:val="a6"/>
    <w:uiPriority w:val="99"/>
    <w:rsid w:val="008960C8"/>
    <w:pPr>
      <w:overflowPunct/>
      <w:autoSpaceDE/>
      <w:autoSpaceDN/>
      <w:spacing w:line="480" w:lineRule="exact"/>
      <w:ind w:left="80" w:hangingChars="80" w:hanging="80"/>
      <w:jc w:val="left"/>
    </w:pPr>
    <w:rPr>
      <w:rFonts w:ascii="Times New Roman" w:cs="新細明體"/>
      <w:sz w:val="28"/>
    </w:rPr>
  </w:style>
  <w:style w:type="paragraph" w:customStyle="1" w:styleId="18">
    <w:name w:val="意見1."/>
    <w:basedOn w:val="a6"/>
    <w:qFormat/>
    <w:rsid w:val="008960C8"/>
    <w:pPr>
      <w:widowControl/>
      <w:overflowPunct/>
      <w:autoSpaceDE/>
      <w:autoSpaceDN/>
      <w:spacing w:line="400" w:lineRule="exact"/>
      <w:ind w:hangingChars="100" w:hanging="100"/>
    </w:pPr>
    <w:rPr>
      <w:rFonts w:ascii="Times New Roman"/>
      <w:kern w:val="0"/>
      <w:sz w:val="24"/>
      <w:szCs w:val="24"/>
    </w:rPr>
  </w:style>
  <w:style w:type="paragraph" w:customStyle="1" w:styleId="affff3">
    <w:name w:val="表文_置中"/>
    <w:rsid w:val="008960C8"/>
    <w:pPr>
      <w:widowControl w:val="0"/>
      <w:adjustRightInd w:val="0"/>
      <w:snapToGrid w:val="0"/>
      <w:jc w:val="center"/>
    </w:pPr>
    <w:rPr>
      <w:rFonts w:eastAsia="標楷體"/>
      <w:sz w:val="24"/>
      <w:szCs w:val="28"/>
    </w:rPr>
  </w:style>
  <w:style w:type="paragraph" w:customStyle="1" w:styleId="affff4">
    <w:name w:val="圖_置中"/>
    <w:basedOn w:val="a6"/>
    <w:rsid w:val="008960C8"/>
    <w:pPr>
      <w:widowControl/>
      <w:overflowPunct/>
      <w:autoSpaceDE/>
      <w:autoSpaceDN/>
      <w:ind w:left="697" w:hanging="697"/>
      <w:jc w:val="center"/>
    </w:pPr>
    <w:rPr>
      <w:rFonts w:ascii="Times New Roman" w:cs="新細明體"/>
      <w:noProof/>
      <w:sz w:val="28"/>
    </w:rPr>
  </w:style>
  <w:style w:type="table" w:customStyle="1" w:styleId="19">
    <w:name w:val="表格格線1"/>
    <w:basedOn w:val="a8"/>
    <w:next w:val="afb"/>
    <w:uiPriority w:val="59"/>
    <w:rsid w:val="008960C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說明_內文"/>
    <w:qFormat/>
    <w:rsid w:val="008960C8"/>
    <w:pPr>
      <w:adjustRightInd w:val="0"/>
      <w:snapToGrid w:val="0"/>
      <w:ind w:left="267" w:hanging="624"/>
      <w:jc w:val="both"/>
    </w:pPr>
    <w:rPr>
      <w:rFonts w:ascii="Calibri" w:eastAsia="標楷體" w:hAnsi="Calibri"/>
      <w:kern w:val="2"/>
      <w:sz w:val="24"/>
      <w:szCs w:val="24"/>
    </w:rPr>
  </w:style>
  <w:style w:type="table" w:customStyle="1" w:styleId="211">
    <w:name w:val="表格格線21"/>
    <w:basedOn w:val="a8"/>
    <w:next w:val="afb"/>
    <w:uiPriority w:val="39"/>
    <w:rsid w:val="008960C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8"/>
    <w:next w:val="afb"/>
    <w:uiPriority w:val="39"/>
    <w:rsid w:val="008960C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格格線4"/>
    <w:basedOn w:val="a8"/>
    <w:next w:val="afb"/>
    <w:uiPriority w:val="39"/>
    <w:rsid w:val="008960C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無清單11"/>
    <w:next w:val="a9"/>
    <w:uiPriority w:val="99"/>
    <w:semiHidden/>
    <w:unhideWhenUsed/>
    <w:rsid w:val="008960C8"/>
  </w:style>
  <w:style w:type="table" w:customStyle="1" w:styleId="53">
    <w:name w:val="表格格線5"/>
    <w:basedOn w:val="a8"/>
    <w:next w:val="afb"/>
    <w:uiPriority w:val="59"/>
    <w:rsid w:val="008960C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
    <w:basedOn w:val="a8"/>
    <w:next w:val="afb"/>
    <w:uiPriority w:val="59"/>
    <w:rsid w:val="008960C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條文"/>
    <w:basedOn w:val="a6"/>
    <w:qFormat/>
    <w:rsid w:val="008960C8"/>
    <w:pPr>
      <w:widowControl/>
      <w:overflowPunct/>
      <w:autoSpaceDE/>
      <w:autoSpaceDN/>
      <w:adjustRightInd w:val="0"/>
      <w:snapToGrid w:val="0"/>
      <w:ind w:hangingChars="100" w:hanging="249"/>
    </w:pPr>
    <w:rPr>
      <w:rFonts w:ascii="Calibri" w:hAnsi="Calibri"/>
      <w:sz w:val="24"/>
      <w:szCs w:val="24"/>
    </w:rPr>
  </w:style>
  <w:style w:type="numbering" w:customStyle="1" w:styleId="26">
    <w:name w:val="無清單2"/>
    <w:next w:val="a9"/>
    <w:uiPriority w:val="99"/>
    <w:semiHidden/>
    <w:unhideWhenUsed/>
    <w:rsid w:val="008960C8"/>
  </w:style>
  <w:style w:type="table" w:customStyle="1" w:styleId="63">
    <w:name w:val="表格格線6"/>
    <w:basedOn w:val="a8"/>
    <w:next w:val="afb"/>
    <w:uiPriority w:val="59"/>
    <w:rsid w:val="008960C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無清單3"/>
    <w:next w:val="a9"/>
    <w:uiPriority w:val="99"/>
    <w:semiHidden/>
    <w:unhideWhenUsed/>
    <w:rsid w:val="008960C8"/>
  </w:style>
  <w:style w:type="table" w:customStyle="1" w:styleId="74">
    <w:name w:val="表格格線7"/>
    <w:basedOn w:val="a8"/>
    <w:next w:val="afb"/>
    <w:uiPriority w:val="59"/>
    <w:rsid w:val="008960C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
    <w:basedOn w:val="a8"/>
    <w:next w:val="afb"/>
    <w:uiPriority w:val="59"/>
    <w:rsid w:val="008960C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表格格線8"/>
    <w:basedOn w:val="a8"/>
    <w:next w:val="afb"/>
    <w:uiPriority w:val="59"/>
    <w:rsid w:val="008960C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表格格線9"/>
    <w:basedOn w:val="a8"/>
    <w:next w:val="afb"/>
    <w:uiPriority w:val="59"/>
    <w:rsid w:val="008960C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7">
    <w:name w:val="發言內文"/>
    <w:basedOn w:val="a6"/>
    <w:uiPriority w:val="99"/>
    <w:rsid w:val="008960C8"/>
    <w:pPr>
      <w:widowControl/>
      <w:overflowPunct/>
      <w:autoSpaceDE/>
      <w:autoSpaceDN/>
      <w:ind w:left="240" w:hangingChars="100" w:hanging="240"/>
      <w:jc w:val="left"/>
    </w:pPr>
    <w:rPr>
      <w:rFonts w:ascii="Calibri" w:hAnsi="Calibri" w:cs="Calibri"/>
      <w:kern w:val="0"/>
      <w:sz w:val="24"/>
      <w:szCs w:val="24"/>
    </w:rPr>
  </w:style>
  <w:style w:type="paragraph" w:customStyle="1" w:styleId="1a">
    <w:name w:val="內文(1)"/>
    <w:basedOn w:val="a6"/>
    <w:link w:val="1b"/>
    <w:qFormat/>
    <w:rsid w:val="008960C8"/>
    <w:pPr>
      <w:widowControl/>
      <w:overflowPunct/>
      <w:autoSpaceDE/>
      <w:autoSpaceDN/>
      <w:spacing w:line="520" w:lineRule="exact"/>
      <w:ind w:leftChars="250" w:left="250" w:hangingChars="75" w:hanging="278"/>
      <w:jc w:val="left"/>
    </w:pPr>
    <w:rPr>
      <w:rFonts w:ascii="Times New Roman"/>
      <w:kern w:val="0"/>
      <w:sz w:val="28"/>
      <w:szCs w:val="28"/>
    </w:rPr>
  </w:style>
  <w:style w:type="character" w:customStyle="1" w:styleId="1b">
    <w:name w:val="內文(1) 字元"/>
    <w:basedOn w:val="a7"/>
    <w:link w:val="1a"/>
    <w:rsid w:val="008960C8"/>
    <w:rPr>
      <w:rFonts w:eastAsia="標楷體"/>
      <w:sz w:val="28"/>
      <w:szCs w:val="28"/>
    </w:rPr>
  </w:style>
  <w:style w:type="paragraph" w:customStyle="1" w:styleId="1c">
    <w:name w:val="清單段落1"/>
    <w:basedOn w:val="a6"/>
    <w:rsid w:val="008960C8"/>
    <w:pPr>
      <w:overflowPunct/>
      <w:autoSpaceDE/>
      <w:autoSpaceDN/>
      <w:ind w:leftChars="200" w:left="480"/>
      <w:jc w:val="left"/>
    </w:pPr>
    <w:rPr>
      <w:rFonts w:ascii="Calibri" w:eastAsia="新細明體" w:hAnsi="Calibri"/>
      <w:sz w:val="24"/>
      <w:szCs w:val="24"/>
    </w:rPr>
  </w:style>
  <w:style w:type="paragraph" w:styleId="27">
    <w:name w:val="Body Text 2"/>
    <w:basedOn w:val="a6"/>
    <w:link w:val="28"/>
    <w:semiHidden/>
    <w:rsid w:val="008960C8"/>
    <w:pPr>
      <w:overflowPunct/>
      <w:autoSpaceDE/>
      <w:autoSpaceDN/>
      <w:adjustRightInd w:val="0"/>
      <w:snapToGrid w:val="0"/>
      <w:spacing w:line="380" w:lineRule="exact"/>
      <w:jc w:val="left"/>
    </w:pPr>
    <w:rPr>
      <w:rFonts w:hAnsi="標楷體"/>
      <w:color w:val="000000"/>
      <w:sz w:val="24"/>
      <w:szCs w:val="24"/>
      <w:u w:val="single"/>
    </w:rPr>
  </w:style>
  <w:style w:type="character" w:customStyle="1" w:styleId="28">
    <w:name w:val="本文 2 字元"/>
    <w:basedOn w:val="a7"/>
    <w:link w:val="27"/>
    <w:semiHidden/>
    <w:rsid w:val="008960C8"/>
    <w:rPr>
      <w:rFonts w:ascii="標楷體" w:eastAsia="標楷體" w:hAnsi="標楷體"/>
      <w:color w:val="000000"/>
      <w:kern w:val="2"/>
      <w:sz w:val="24"/>
      <w:szCs w:val="24"/>
      <w:u w:val="single"/>
    </w:rPr>
  </w:style>
  <w:style w:type="paragraph" w:styleId="29">
    <w:name w:val="Body Text Indent 2"/>
    <w:basedOn w:val="a6"/>
    <w:link w:val="2a"/>
    <w:uiPriority w:val="99"/>
    <w:rsid w:val="008960C8"/>
    <w:pPr>
      <w:overflowPunct/>
      <w:autoSpaceDE/>
      <w:autoSpaceDN/>
      <w:adjustRightInd w:val="0"/>
      <w:snapToGrid w:val="0"/>
      <w:spacing w:line="380" w:lineRule="exact"/>
      <w:ind w:leftChars="532" w:left="1277"/>
      <w:jc w:val="left"/>
    </w:pPr>
    <w:rPr>
      <w:rFonts w:hAnsi="標楷體"/>
      <w:szCs w:val="32"/>
    </w:rPr>
  </w:style>
  <w:style w:type="character" w:customStyle="1" w:styleId="2a">
    <w:name w:val="本文縮排 2 字元"/>
    <w:basedOn w:val="a7"/>
    <w:link w:val="29"/>
    <w:uiPriority w:val="99"/>
    <w:rsid w:val="008960C8"/>
    <w:rPr>
      <w:rFonts w:ascii="標楷體" w:eastAsia="標楷體" w:hAnsi="標楷體"/>
      <w:kern w:val="2"/>
      <w:sz w:val="32"/>
      <w:szCs w:val="32"/>
    </w:rPr>
  </w:style>
  <w:style w:type="paragraph" w:styleId="affff8">
    <w:name w:val="TOC Heading"/>
    <w:basedOn w:val="a6"/>
    <w:uiPriority w:val="39"/>
    <w:qFormat/>
    <w:rsid w:val="008960C8"/>
    <w:pPr>
      <w:overflowPunct/>
      <w:autoSpaceDE/>
      <w:autoSpaceDN/>
      <w:spacing w:line="360" w:lineRule="auto"/>
      <w:jc w:val="center"/>
    </w:pPr>
    <w:rPr>
      <w:rFonts w:ascii="Times New Roman"/>
      <w:b/>
      <w:szCs w:val="24"/>
    </w:rPr>
  </w:style>
  <w:style w:type="paragraph" w:customStyle="1" w:styleId="95">
    <w:name w:val="表文_9點"/>
    <w:rsid w:val="008960C8"/>
    <w:pPr>
      <w:spacing w:line="0" w:lineRule="atLeast"/>
      <w:jc w:val="center"/>
    </w:pPr>
    <w:rPr>
      <w:rFonts w:eastAsia="標楷體" w:hAnsi="微軟正黑體" w:cs="新細明體"/>
      <w:sz w:val="18"/>
    </w:rPr>
  </w:style>
  <w:style w:type="paragraph" w:styleId="affff9">
    <w:name w:val="annotation text"/>
    <w:basedOn w:val="a6"/>
    <w:link w:val="affffa"/>
    <w:uiPriority w:val="99"/>
    <w:semiHidden/>
    <w:unhideWhenUsed/>
    <w:rsid w:val="008960C8"/>
    <w:pPr>
      <w:overflowPunct/>
      <w:autoSpaceDE/>
      <w:autoSpaceDN/>
      <w:jc w:val="left"/>
    </w:pPr>
    <w:rPr>
      <w:rFonts w:ascii="Calibri" w:hAnsi="Calibri"/>
      <w:sz w:val="24"/>
      <w:szCs w:val="24"/>
    </w:rPr>
  </w:style>
  <w:style w:type="character" w:customStyle="1" w:styleId="affffa">
    <w:name w:val="註解文字 字元"/>
    <w:basedOn w:val="a7"/>
    <w:link w:val="affff9"/>
    <w:uiPriority w:val="99"/>
    <w:semiHidden/>
    <w:rsid w:val="008960C8"/>
    <w:rPr>
      <w:rFonts w:ascii="Calibri" w:eastAsia="標楷體" w:hAnsi="Calibri"/>
      <w:kern w:val="2"/>
      <w:sz w:val="24"/>
      <w:szCs w:val="24"/>
    </w:rPr>
  </w:style>
  <w:style w:type="paragraph" w:styleId="affffb">
    <w:name w:val="annotation subject"/>
    <w:basedOn w:val="affff9"/>
    <w:next w:val="affff9"/>
    <w:link w:val="affffc"/>
    <w:uiPriority w:val="99"/>
    <w:semiHidden/>
    <w:unhideWhenUsed/>
    <w:rsid w:val="008960C8"/>
    <w:rPr>
      <w:b/>
      <w:bCs/>
    </w:rPr>
  </w:style>
  <w:style w:type="character" w:customStyle="1" w:styleId="affffc">
    <w:name w:val="註解主旨 字元"/>
    <w:basedOn w:val="affffa"/>
    <w:link w:val="affffb"/>
    <w:uiPriority w:val="99"/>
    <w:semiHidden/>
    <w:rsid w:val="008960C8"/>
    <w:rPr>
      <w:rFonts w:ascii="Calibri" w:eastAsia="標楷體" w:hAnsi="Calibri"/>
      <w:b/>
      <w:bCs/>
      <w:kern w:val="2"/>
      <w:sz w:val="24"/>
      <w:szCs w:val="24"/>
    </w:rPr>
  </w:style>
  <w:style w:type="paragraph" w:styleId="afff4">
    <w:name w:val="Title"/>
    <w:basedOn w:val="a6"/>
    <w:next w:val="a6"/>
    <w:link w:val="afff3"/>
    <w:uiPriority w:val="10"/>
    <w:qFormat/>
    <w:rsid w:val="008960C8"/>
    <w:pPr>
      <w:overflowPunct/>
      <w:autoSpaceDE/>
      <w:autoSpaceDN/>
      <w:spacing w:before="240" w:after="60"/>
      <w:jc w:val="center"/>
      <w:outlineLvl w:val="0"/>
    </w:pPr>
    <w:rPr>
      <w:rFonts w:ascii="Calibri Light" w:eastAsia="新細明體" w:hAnsi="Calibri Light"/>
      <w:b/>
      <w:bCs/>
      <w:kern w:val="0"/>
      <w:szCs w:val="32"/>
    </w:rPr>
  </w:style>
  <w:style w:type="character" w:customStyle="1" w:styleId="1d">
    <w:name w:val="標題 字元1"/>
    <w:basedOn w:val="a7"/>
    <w:uiPriority w:val="10"/>
    <w:rsid w:val="008960C8"/>
    <w:rPr>
      <w:rFonts w:asciiTheme="majorHAnsi" w:hAnsiTheme="majorHAnsi" w:cstheme="majorBidi"/>
      <w:b/>
      <w:bCs/>
      <w:kern w:val="2"/>
      <w:sz w:val="32"/>
      <w:szCs w:val="32"/>
    </w:rPr>
  </w:style>
  <w:style w:type="paragraph" w:customStyle="1" w:styleId="affffd">
    <w:name w:val="表字中"/>
    <w:basedOn w:val="a6"/>
    <w:rsid w:val="008960C8"/>
    <w:pPr>
      <w:overflowPunct/>
      <w:autoSpaceDE/>
      <w:autoSpaceDN/>
      <w:jc w:val="center"/>
    </w:pPr>
    <w:rPr>
      <w:rFonts w:ascii="Times New Roman"/>
      <w:sz w:val="24"/>
      <w:szCs w:val="24"/>
    </w:rPr>
  </w:style>
  <w:style w:type="paragraph" w:customStyle="1" w:styleId="affffe">
    <w:name w:val="圖表說明"/>
    <w:next w:val="a6"/>
    <w:link w:val="afffff"/>
    <w:rsid w:val="009F360F"/>
    <w:rPr>
      <w:rFonts w:eastAsia="標楷體"/>
      <w:snapToGrid w:val="0"/>
    </w:rPr>
  </w:style>
  <w:style w:type="character" w:customStyle="1" w:styleId="afffff">
    <w:name w:val="圖表說明 字元"/>
    <w:link w:val="affffe"/>
    <w:rsid w:val="009F360F"/>
    <w:rPr>
      <w:rFonts w:eastAsia="標楷體"/>
      <w:snapToGrid w:val="0"/>
    </w:rPr>
  </w:style>
  <w:style w:type="paragraph" w:styleId="afffff0">
    <w:name w:val="No Spacing"/>
    <w:uiPriority w:val="1"/>
    <w:qFormat/>
    <w:rsid w:val="001A26D9"/>
    <w:pPr>
      <w:spacing w:beforeLines="25"/>
      <w:jc w:val="both"/>
    </w:pPr>
    <w:rPr>
      <w:sz w:val="24"/>
      <w:szCs w:val="24"/>
    </w:rPr>
  </w:style>
  <w:style w:type="paragraph" w:styleId="afffff1">
    <w:name w:val="Salutation"/>
    <w:basedOn w:val="a6"/>
    <w:next w:val="a6"/>
    <w:link w:val="afffff2"/>
    <w:uiPriority w:val="99"/>
    <w:unhideWhenUsed/>
    <w:rsid w:val="00C97460"/>
  </w:style>
  <w:style w:type="character" w:customStyle="1" w:styleId="afffff2">
    <w:name w:val="問候 字元"/>
    <w:basedOn w:val="a7"/>
    <w:link w:val="afffff1"/>
    <w:uiPriority w:val="99"/>
    <w:rsid w:val="00C97460"/>
    <w:rPr>
      <w:rFonts w:ascii="標楷體" w:eastAsia="標楷體"/>
      <w:kern w:val="2"/>
      <w:sz w:val="32"/>
    </w:rPr>
  </w:style>
  <w:style w:type="paragraph" w:styleId="afffff3">
    <w:name w:val="Closing"/>
    <w:basedOn w:val="a6"/>
    <w:link w:val="afffff4"/>
    <w:uiPriority w:val="99"/>
    <w:unhideWhenUsed/>
    <w:rsid w:val="00C97460"/>
    <w:pPr>
      <w:ind w:leftChars="1800" w:left="100"/>
    </w:pPr>
  </w:style>
  <w:style w:type="character" w:customStyle="1" w:styleId="afffff4">
    <w:name w:val="結語 字元"/>
    <w:basedOn w:val="a7"/>
    <w:link w:val="afffff3"/>
    <w:uiPriority w:val="99"/>
    <w:rsid w:val="00C97460"/>
    <w:rPr>
      <w:rFonts w:ascii="標楷體" w:eastAsia="標楷體"/>
      <w:kern w:val="2"/>
      <w:sz w:val="32"/>
    </w:rPr>
  </w:style>
  <w:style w:type="paragraph" w:customStyle="1" w:styleId="afffff5">
    <w:name w:val="字元 字元 字元"/>
    <w:basedOn w:val="a6"/>
    <w:semiHidden/>
    <w:rsid w:val="00055721"/>
    <w:pPr>
      <w:widowControl/>
      <w:overflowPunct/>
      <w:autoSpaceDE/>
      <w:autoSpaceDN/>
      <w:spacing w:after="160" w:line="240" w:lineRule="exact"/>
      <w:jc w:val="left"/>
    </w:pPr>
    <w:rPr>
      <w:rFonts w:ascii="Verdana" w:eastAsia="Times New Roman" w:hAnsi="Verdana"/>
      <w:kern w:val="0"/>
      <w:sz w:val="20"/>
      <w:lang w:eastAsia="en-US"/>
    </w:rPr>
  </w:style>
  <w:style w:type="paragraph" w:customStyle="1" w:styleId="2b">
    <w:name w:val="字元 字元2 字元"/>
    <w:basedOn w:val="aff7"/>
    <w:semiHidden/>
    <w:rsid w:val="00055721"/>
    <w:pPr>
      <w:widowControl/>
      <w:overflowPunct/>
      <w:autoSpaceDE/>
      <w:autoSpaceDN/>
      <w:adjustRightInd w:val="0"/>
      <w:snapToGrid w:val="0"/>
      <w:spacing w:after="0" w:line="360" w:lineRule="auto"/>
      <w:ind w:firstLine="510"/>
      <w:textAlignment w:val="center"/>
    </w:pPr>
    <w:rPr>
      <w:rFonts w:ascii="Times New Roman" w:eastAsia="新細明體" w:cs="Tahoma"/>
      <w:color w:val="000000"/>
      <w:kern w:val="0"/>
      <w:sz w:val="22"/>
      <w:szCs w:val="19"/>
      <w:lang w:eastAsia="en-US"/>
    </w:rPr>
  </w:style>
  <w:style w:type="paragraph" w:customStyle="1" w:styleId="212">
    <w:name w:val="字元 字元2 字元 字元 字元1 字元"/>
    <w:basedOn w:val="a6"/>
    <w:semiHidden/>
    <w:rsid w:val="00055721"/>
    <w:pPr>
      <w:widowControl/>
      <w:overflowPunct/>
      <w:autoSpaceDE/>
      <w:autoSpaceDN/>
      <w:spacing w:after="160" w:line="240" w:lineRule="exact"/>
      <w:jc w:val="left"/>
    </w:pPr>
    <w:rPr>
      <w:rFonts w:ascii="Verdana" w:eastAsia="Times New Roman" w:hAnsi="Verdana"/>
      <w:kern w:val="0"/>
      <w:sz w:val="20"/>
      <w:lang w:eastAsia="en-US"/>
    </w:rPr>
  </w:style>
  <w:style w:type="paragraph" w:customStyle="1" w:styleId="1e">
    <w:name w:val="字元1 字元 字元 字元"/>
    <w:basedOn w:val="a6"/>
    <w:rsid w:val="00055721"/>
    <w:pPr>
      <w:widowControl/>
      <w:overflowPunct/>
      <w:autoSpaceDE/>
      <w:autoSpaceDN/>
      <w:spacing w:after="160" w:line="240" w:lineRule="exact"/>
      <w:jc w:val="left"/>
    </w:pPr>
    <w:rPr>
      <w:rFonts w:ascii="Tahoma" w:eastAsia="新細明體" w:hAnsi="Tahoma"/>
      <w:kern w:val="0"/>
      <w:sz w:val="20"/>
      <w:lang w:eastAsia="en-US"/>
    </w:rPr>
  </w:style>
  <w:style w:type="paragraph" w:styleId="afffff6">
    <w:name w:val="Note Heading"/>
    <w:basedOn w:val="a6"/>
    <w:next w:val="a6"/>
    <w:link w:val="afffff7"/>
    <w:uiPriority w:val="99"/>
    <w:unhideWhenUsed/>
    <w:rsid w:val="00E2684F"/>
    <w:pPr>
      <w:jc w:val="center"/>
    </w:pPr>
    <w:rPr>
      <w:rFonts w:hAnsi="標楷體"/>
      <w:color w:val="0000FF"/>
      <w:sz w:val="28"/>
      <w:szCs w:val="28"/>
    </w:rPr>
  </w:style>
  <w:style w:type="character" w:customStyle="1" w:styleId="afffff7">
    <w:name w:val="註釋標題 字元"/>
    <w:basedOn w:val="a7"/>
    <w:link w:val="afffff6"/>
    <w:uiPriority w:val="99"/>
    <w:rsid w:val="00E2684F"/>
    <w:rPr>
      <w:rFonts w:ascii="標楷體" w:eastAsia="標楷體" w:hAnsi="標楷體"/>
      <w:color w:val="0000FF"/>
      <w:kern w:val="2"/>
      <w:sz w:val="28"/>
      <w:szCs w:val="28"/>
    </w:rPr>
  </w:style>
  <w:style w:type="paragraph" w:customStyle="1" w:styleId="afffff8">
    <w:name w:val="文章標題"/>
    <w:autoRedefine/>
    <w:rsid w:val="00E2684F"/>
    <w:pPr>
      <w:autoSpaceDE w:val="0"/>
      <w:autoSpaceDN w:val="0"/>
      <w:adjustRightInd w:val="0"/>
      <w:snapToGrid w:val="0"/>
      <w:textAlignment w:val="bottom"/>
    </w:pPr>
    <w:rPr>
      <w:rFonts w:eastAsia="標楷體"/>
      <w:color w:val="000000"/>
      <w:spacing w:val="12"/>
      <w:kern w:val="2"/>
      <w:sz w:val="28"/>
      <w:szCs w:val="28"/>
    </w:rPr>
  </w:style>
  <w:style w:type="character" w:customStyle="1" w:styleId="afd">
    <w:name w:val="清單段落 字元"/>
    <w:link w:val="afc"/>
    <w:uiPriority w:val="34"/>
    <w:rsid w:val="00B56188"/>
    <w:rPr>
      <w:rFonts w:ascii="標楷體" w:eastAsia="標楷體"/>
      <w:kern w:val="2"/>
      <w:sz w:val="32"/>
    </w:rPr>
  </w:style>
  <w:style w:type="paragraph" w:customStyle="1" w:styleId="afffff9">
    <w:name w:val="調查層面"/>
    <w:basedOn w:val="1"/>
    <w:qFormat/>
    <w:rsid w:val="00710210"/>
    <w:rPr>
      <w:rFonts w:hAnsi="標楷體"/>
    </w:rPr>
  </w:style>
  <w:style w:type="character" w:customStyle="1" w:styleId="st1">
    <w:name w:val="st1"/>
    <w:basedOn w:val="a7"/>
    <w:rsid w:val="00841478"/>
  </w:style>
  <w:style w:type="paragraph" w:styleId="HTML">
    <w:name w:val="HTML Preformatted"/>
    <w:basedOn w:val="a6"/>
    <w:link w:val="HTML0"/>
    <w:uiPriority w:val="99"/>
    <w:unhideWhenUsed/>
    <w:rsid w:val="00693D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693DCA"/>
    <w:rPr>
      <w:rFonts w:ascii="細明體" w:eastAsia="細明體" w:hAnsi="細明體" w:cs="細明體"/>
      <w:sz w:val="24"/>
      <w:szCs w:val="24"/>
    </w:rPr>
  </w:style>
  <w:style w:type="paragraph" w:customStyle="1" w:styleId="Default">
    <w:name w:val="Default"/>
    <w:rsid w:val="00A87354"/>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2900">
      <w:bodyDiv w:val="1"/>
      <w:marLeft w:val="0"/>
      <w:marRight w:val="0"/>
      <w:marTop w:val="0"/>
      <w:marBottom w:val="0"/>
      <w:divBdr>
        <w:top w:val="none" w:sz="0" w:space="0" w:color="auto"/>
        <w:left w:val="none" w:sz="0" w:space="0" w:color="auto"/>
        <w:bottom w:val="none" w:sz="0" w:space="0" w:color="auto"/>
        <w:right w:val="none" w:sz="0" w:space="0" w:color="auto"/>
      </w:divBdr>
      <w:divsChild>
        <w:div w:id="208883380">
          <w:marLeft w:val="0"/>
          <w:marRight w:val="0"/>
          <w:marTop w:val="0"/>
          <w:marBottom w:val="0"/>
          <w:divBdr>
            <w:top w:val="none" w:sz="0" w:space="0" w:color="auto"/>
            <w:left w:val="none" w:sz="0" w:space="0" w:color="auto"/>
            <w:bottom w:val="none" w:sz="0" w:space="0" w:color="auto"/>
            <w:right w:val="none" w:sz="0" w:space="0" w:color="auto"/>
          </w:divBdr>
          <w:divsChild>
            <w:div w:id="199525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38988">
      <w:bodyDiv w:val="1"/>
      <w:marLeft w:val="0"/>
      <w:marRight w:val="0"/>
      <w:marTop w:val="0"/>
      <w:marBottom w:val="0"/>
      <w:divBdr>
        <w:top w:val="none" w:sz="0" w:space="0" w:color="auto"/>
        <w:left w:val="none" w:sz="0" w:space="0" w:color="auto"/>
        <w:bottom w:val="none" w:sz="0" w:space="0" w:color="auto"/>
        <w:right w:val="none" w:sz="0" w:space="0" w:color="auto"/>
      </w:divBdr>
    </w:div>
    <w:div w:id="59180338">
      <w:bodyDiv w:val="1"/>
      <w:marLeft w:val="0"/>
      <w:marRight w:val="0"/>
      <w:marTop w:val="0"/>
      <w:marBottom w:val="0"/>
      <w:divBdr>
        <w:top w:val="none" w:sz="0" w:space="0" w:color="auto"/>
        <w:left w:val="none" w:sz="0" w:space="0" w:color="auto"/>
        <w:bottom w:val="none" w:sz="0" w:space="0" w:color="auto"/>
        <w:right w:val="none" w:sz="0" w:space="0" w:color="auto"/>
      </w:divBdr>
    </w:div>
    <w:div w:id="127086828">
      <w:bodyDiv w:val="1"/>
      <w:marLeft w:val="0"/>
      <w:marRight w:val="0"/>
      <w:marTop w:val="0"/>
      <w:marBottom w:val="0"/>
      <w:divBdr>
        <w:top w:val="none" w:sz="0" w:space="0" w:color="auto"/>
        <w:left w:val="none" w:sz="0" w:space="0" w:color="auto"/>
        <w:bottom w:val="none" w:sz="0" w:space="0" w:color="auto"/>
        <w:right w:val="none" w:sz="0" w:space="0" w:color="auto"/>
      </w:divBdr>
      <w:divsChild>
        <w:div w:id="1212960213">
          <w:marLeft w:val="0"/>
          <w:marRight w:val="0"/>
          <w:marTop w:val="0"/>
          <w:marBottom w:val="0"/>
          <w:divBdr>
            <w:top w:val="none" w:sz="0" w:space="0" w:color="auto"/>
            <w:left w:val="none" w:sz="0" w:space="0" w:color="auto"/>
            <w:bottom w:val="none" w:sz="0" w:space="0" w:color="auto"/>
            <w:right w:val="none" w:sz="0" w:space="0" w:color="auto"/>
          </w:divBdr>
          <w:divsChild>
            <w:div w:id="1457334497">
              <w:marLeft w:val="0"/>
              <w:marRight w:val="0"/>
              <w:marTop w:val="0"/>
              <w:marBottom w:val="0"/>
              <w:divBdr>
                <w:top w:val="none" w:sz="0" w:space="0" w:color="auto"/>
                <w:left w:val="none" w:sz="0" w:space="0" w:color="auto"/>
                <w:bottom w:val="none" w:sz="0" w:space="0" w:color="auto"/>
                <w:right w:val="none" w:sz="0" w:space="0" w:color="auto"/>
              </w:divBdr>
              <w:divsChild>
                <w:div w:id="161551797">
                  <w:marLeft w:val="150"/>
                  <w:marRight w:val="150"/>
                  <w:marTop w:val="0"/>
                  <w:marBottom w:val="0"/>
                  <w:divBdr>
                    <w:top w:val="none" w:sz="0" w:space="0" w:color="auto"/>
                    <w:left w:val="none" w:sz="0" w:space="0" w:color="auto"/>
                    <w:bottom w:val="none" w:sz="0" w:space="0" w:color="auto"/>
                    <w:right w:val="none" w:sz="0" w:space="0" w:color="auto"/>
                  </w:divBdr>
                  <w:divsChild>
                    <w:div w:id="30496734">
                      <w:marLeft w:val="0"/>
                      <w:marRight w:val="0"/>
                      <w:marTop w:val="0"/>
                      <w:marBottom w:val="0"/>
                      <w:divBdr>
                        <w:top w:val="none" w:sz="0" w:space="0" w:color="auto"/>
                        <w:left w:val="none" w:sz="0" w:space="0" w:color="auto"/>
                        <w:bottom w:val="none" w:sz="0" w:space="0" w:color="auto"/>
                        <w:right w:val="none" w:sz="0" w:space="0" w:color="auto"/>
                      </w:divBdr>
                      <w:divsChild>
                        <w:div w:id="1390568642">
                          <w:marLeft w:val="0"/>
                          <w:marRight w:val="0"/>
                          <w:marTop w:val="0"/>
                          <w:marBottom w:val="0"/>
                          <w:divBdr>
                            <w:top w:val="none" w:sz="0" w:space="0" w:color="auto"/>
                            <w:left w:val="none" w:sz="0" w:space="0" w:color="auto"/>
                            <w:bottom w:val="none" w:sz="0" w:space="0" w:color="auto"/>
                            <w:right w:val="none" w:sz="0" w:space="0" w:color="auto"/>
                          </w:divBdr>
                          <w:divsChild>
                            <w:div w:id="1244948563">
                              <w:marLeft w:val="0"/>
                              <w:marRight w:val="0"/>
                              <w:marTop w:val="0"/>
                              <w:marBottom w:val="0"/>
                              <w:divBdr>
                                <w:top w:val="none" w:sz="0" w:space="0" w:color="auto"/>
                                <w:left w:val="none" w:sz="0" w:space="0" w:color="auto"/>
                                <w:bottom w:val="none" w:sz="0" w:space="0" w:color="auto"/>
                                <w:right w:val="none" w:sz="0" w:space="0" w:color="auto"/>
                              </w:divBdr>
                              <w:divsChild>
                                <w:div w:id="851605467">
                                  <w:marLeft w:val="0"/>
                                  <w:marRight w:val="0"/>
                                  <w:marTop w:val="0"/>
                                  <w:marBottom w:val="0"/>
                                  <w:divBdr>
                                    <w:top w:val="none" w:sz="0" w:space="0" w:color="auto"/>
                                    <w:left w:val="none" w:sz="0" w:space="0" w:color="auto"/>
                                    <w:bottom w:val="none" w:sz="0" w:space="0" w:color="auto"/>
                                    <w:right w:val="none" w:sz="0" w:space="0" w:color="auto"/>
                                  </w:divBdr>
                                  <w:divsChild>
                                    <w:div w:id="1719740630">
                                      <w:marLeft w:val="0"/>
                                      <w:marRight w:val="0"/>
                                      <w:marTop w:val="0"/>
                                      <w:marBottom w:val="0"/>
                                      <w:divBdr>
                                        <w:top w:val="none" w:sz="0" w:space="0" w:color="auto"/>
                                        <w:left w:val="none" w:sz="0" w:space="0" w:color="auto"/>
                                        <w:bottom w:val="none" w:sz="0" w:space="0" w:color="auto"/>
                                        <w:right w:val="none" w:sz="0" w:space="0" w:color="auto"/>
                                      </w:divBdr>
                                      <w:divsChild>
                                        <w:div w:id="1795829919">
                                          <w:marLeft w:val="0"/>
                                          <w:marRight w:val="0"/>
                                          <w:marTop w:val="0"/>
                                          <w:marBottom w:val="0"/>
                                          <w:divBdr>
                                            <w:top w:val="none" w:sz="0" w:space="0" w:color="auto"/>
                                            <w:left w:val="none" w:sz="0" w:space="0" w:color="auto"/>
                                            <w:bottom w:val="none" w:sz="0" w:space="0" w:color="auto"/>
                                            <w:right w:val="none" w:sz="0" w:space="0" w:color="auto"/>
                                          </w:divBdr>
                                          <w:divsChild>
                                            <w:div w:id="32185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1137064">
      <w:bodyDiv w:val="1"/>
      <w:marLeft w:val="0"/>
      <w:marRight w:val="0"/>
      <w:marTop w:val="0"/>
      <w:marBottom w:val="0"/>
      <w:divBdr>
        <w:top w:val="none" w:sz="0" w:space="0" w:color="auto"/>
        <w:left w:val="none" w:sz="0" w:space="0" w:color="auto"/>
        <w:bottom w:val="none" w:sz="0" w:space="0" w:color="auto"/>
        <w:right w:val="none" w:sz="0" w:space="0" w:color="auto"/>
      </w:divBdr>
    </w:div>
    <w:div w:id="231159612">
      <w:bodyDiv w:val="1"/>
      <w:marLeft w:val="0"/>
      <w:marRight w:val="0"/>
      <w:marTop w:val="0"/>
      <w:marBottom w:val="0"/>
      <w:divBdr>
        <w:top w:val="none" w:sz="0" w:space="0" w:color="auto"/>
        <w:left w:val="none" w:sz="0" w:space="0" w:color="auto"/>
        <w:bottom w:val="none" w:sz="0" w:space="0" w:color="auto"/>
        <w:right w:val="none" w:sz="0" w:space="0" w:color="auto"/>
      </w:divBdr>
      <w:divsChild>
        <w:div w:id="1451364870">
          <w:marLeft w:val="0"/>
          <w:marRight w:val="0"/>
          <w:marTop w:val="0"/>
          <w:marBottom w:val="0"/>
          <w:divBdr>
            <w:top w:val="single" w:sz="6" w:space="0" w:color="CBD7EC"/>
            <w:left w:val="none" w:sz="0" w:space="0" w:color="auto"/>
            <w:bottom w:val="single" w:sz="6" w:space="0" w:color="CBD7EC"/>
            <w:right w:val="none" w:sz="0" w:space="0" w:color="auto"/>
          </w:divBdr>
          <w:divsChild>
            <w:div w:id="1428506167">
              <w:marLeft w:val="0"/>
              <w:marRight w:val="0"/>
              <w:marTop w:val="0"/>
              <w:marBottom w:val="0"/>
              <w:divBdr>
                <w:top w:val="none" w:sz="0" w:space="0" w:color="auto"/>
                <w:left w:val="none" w:sz="0" w:space="0" w:color="auto"/>
                <w:bottom w:val="none" w:sz="0" w:space="0" w:color="auto"/>
                <w:right w:val="none" w:sz="0" w:space="0" w:color="auto"/>
              </w:divBdr>
              <w:divsChild>
                <w:div w:id="1136025489">
                  <w:marLeft w:val="0"/>
                  <w:marRight w:val="0"/>
                  <w:marTop w:val="0"/>
                  <w:marBottom w:val="0"/>
                  <w:divBdr>
                    <w:top w:val="none" w:sz="0" w:space="0" w:color="auto"/>
                    <w:left w:val="none" w:sz="0" w:space="0" w:color="auto"/>
                    <w:bottom w:val="single" w:sz="6" w:space="8" w:color="CBD7EC"/>
                    <w:right w:val="none" w:sz="0" w:space="0" w:color="auto"/>
                  </w:divBdr>
                  <w:divsChild>
                    <w:div w:id="99098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640732">
      <w:bodyDiv w:val="1"/>
      <w:marLeft w:val="0"/>
      <w:marRight w:val="0"/>
      <w:marTop w:val="0"/>
      <w:marBottom w:val="0"/>
      <w:divBdr>
        <w:top w:val="none" w:sz="0" w:space="0" w:color="auto"/>
        <w:left w:val="none" w:sz="0" w:space="0" w:color="auto"/>
        <w:bottom w:val="none" w:sz="0" w:space="0" w:color="auto"/>
        <w:right w:val="none" w:sz="0" w:space="0" w:color="auto"/>
      </w:divBdr>
    </w:div>
    <w:div w:id="260379513">
      <w:bodyDiv w:val="1"/>
      <w:marLeft w:val="0"/>
      <w:marRight w:val="0"/>
      <w:marTop w:val="0"/>
      <w:marBottom w:val="0"/>
      <w:divBdr>
        <w:top w:val="none" w:sz="0" w:space="0" w:color="auto"/>
        <w:left w:val="none" w:sz="0" w:space="0" w:color="auto"/>
        <w:bottom w:val="none" w:sz="0" w:space="0" w:color="auto"/>
        <w:right w:val="none" w:sz="0" w:space="0" w:color="auto"/>
      </w:divBdr>
    </w:div>
    <w:div w:id="297106124">
      <w:bodyDiv w:val="1"/>
      <w:marLeft w:val="0"/>
      <w:marRight w:val="0"/>
      <w:marTop w:val="0"/>
      <w:marBottom w:val="0"/>
      <w:divBdr>
        <w:top w:val="none" w:sz="0" w:space="0" w:color="auto"/>
        <w:left w:val="none" w:sz="0" w:space="0" w:color="auto"/>
        <w:bottom w:val="none" w:sz="0" w:space="0" w:color="auto"/>
        <w:right w:val="none" w:sz="0" w:space="0" w:color="auto"/>
      </w:divBdr>
    </w:div>
    <w:div w:id="305202341">
      <w:bodyDiv w:val="1"/>
      <w:marLeft w:val="0"/>
      <w:marRight w:val="0"/>
      <w:marTop w:val="0"/>
      <w:marBottom w:val="0"/>
      <w:divBdr>
        <w:top w:val="none" w:sz="0" w:space="0" w:color="auto"/>
        <w:left w:val="none" w:sz="0" w:space="0" w:color="auto"/>
        <w:bottom w:val="none" w:sz="0" w:space="0" w:color="auto"/>
        <w:right w:val="none" w:sz="0" w:space="0" w:color="auto"/>
      </w:divBdr>
      <w:divsChild>
        <w:div w:id="1217620152">
          <w:marLeft w:val="0"/>
          <w:marRight w:val="0"/>
          <w:marTop w:val="0"/>
          <w:marBottom w:val="0"/>
          <w:divBdr>
            <w:top w:val="none" w:sz="0" w:space="0" w:color="auto"/>
            <w:left w:val="none" w:sz="0" w:space="0" w:color="auto"/>
            <w:bottom w:val="none" w:sz="0" w:space="0" w:color="auto"/>
            <w:right w:val="none" w:sz="0" w:space="0" w:color="auto"/>
          </w:divBdr>
          <w:divsChild>
            <w:div w:id="1729959082">
              <w:marLeft w:val="0"/>
              <w:marRight w:val="0"/>
              <w:marTop w:val="0"/>
              <w:marBottom w:val="0"/>
              <w:divBdr>
                <w:top w:val="none" w:sz="0" w:space="0" w:color="auto"/>
                <w:left w:val="none" w:sz="0" w:space="0" w:color="auto"/>
                <w:bottom w:val="none" w:sz="0" w:space="0" w:color="auto"/>
                <w:right w:val="none" w:sz="0" w:space="0" w:color="auto"/>
              </w:divBdr>
              <w:divsChild>
                <w:div w:id="185868353">
                  <w:marLeft w:val="0"/>
                  <w:marRight w:val="0"/>
                  <w:marTop w:val="0"/>
                  <w:marBottom w:val="0"/>
                  <w:divBdr>
                    <w:top w:val="none" w:sz="0" w:space="0" w:color="auto"/>
                    <w:left w:val="none" w:sz="0" w:space="0" w:color="auto"/>
                    <w:bottom w:val="none" w:sz="0" w:space="0" w:color="auto"/>
                    <w:right w:val="none" w:sz="0" w:space="0" w:color="auto"/>
                  </w:divBdr>
                  <w:divsChild>
                    <w:div w:id="178589714">
                      <w:marLeft w:val="0"/>
                      <w:marRight w:val="0"/>
                      <w:marTop w:val="0"/>
                      <w:marBottom w:val="0"/>
                      <w:divBdr>
                        <w:top w:val="none" w:sz="0" w:space="0" w:color="auto"/>
                        <w:left w:val="none" w:sz="0" w:space="0" w:color="auto"/>
                        <w:bottom w:val="none" w:sz="0" w:space="0" w:color="auto"/>
                        <w:right w:val="none" w:sz="0" w:space="0" w:color="auto"/>
                      </w:divBdr>
                      <w:divsChild>
                        <w:div w:id="81725494">
                          <w:marLeft w:val="0"/>
                          <w:marRight w:val="0"/>
                          <w:marTop w:val="120"/>
                          <w:marBottom w:val="360"/>
                          <w:divBdr>
                            <w:top w:val="none" w:sz="0" w:space="0" w:color="auto"/>
                            <w:left w:val="none" w:sz="0" w:space="0" w:color="auto"/>
                            <w:bottom w:val="none" w:sz="0" w:space="0" w:color="auto"/>
                            <w:right w:val="none" w:sz="0" w:space="0" w:color="auto"/>
                          </w:divBdr>
                          <w:divsChild>
                            <w:div w:id="131930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2628083">
      <w:bodyDiv w:val="1"/>
      <w:marLeft w:val="0"/>
      <w:marRight w:val="0"/>
      <w:marTop w:val="0"/>
      <w:marBottom w:val="0"/>
      <w:divBdr>
        <w:top w:val="none" w:sz="0" w:space="0" w:color="auto"/>
        <w:left w:val="none" w:sz="0" w:space="0" w:color="auto"/>
        <w:bottom w:val="none" w:sz="0" w:space="0" w:color="auto"/>
        <w:right w:val="none" w:sz="0" w:space="0" w:color="auto"/>
      </w:divBdr>
    </w:div>
    <w:div w:id="433214009">
      <w:bodyDiv w:val="1"/>
      <w:marLeft w:val="0"/>
      <w:marRight w:val="0"/>
      <w:marTop w:val="0"/>
      <w:marBottom w:val="0"/>
      <w:divBdr>
        <w:top w:val="none" w:sz="0" w:space="0" w:color="auto"/>
        <w:left w:val="none" w:sz="0" w:space="0" w:color="auto"/>
        <w:bottom w:val="none" w:sz="0" w:space="0" w:color="auto"/>
        <w:right w:val="none" w:sz="0" w:space="0" w:color="auto"/>
      </w:divBdr>
      <w:divsChild>
        <w:div w:id="473331834">
          <w:marLeft w:val="0"/>
          <w:marRight w:val="0"/>
          <w:marTop w:val="0"/>
          <w:marBottom w:val="0"/>
          <w:divBdr>
            <w:top w:val="none" w:sz="0" w:space="0" w:color="auto"/>
            <w:left w:val="none" w:sz="0" w:space="0" w:color="auto"/>
            <w:bottom w:val="none" w:sz="0" w:space="0" w:color="auto"/>
            <w:right w:val="none" w:sz="0" w:space="0" w:color="auto"/>
          </w:divBdr>
          <w:divsChild>
            <w:div w:id="623538328">
              <w:marLeft w:val="0"/>
              <w:marRight w:val="0"/>
              <w:marTop w:val="0"/>
              <w:marBottom w:val="0"/>
              <w:divBdr>
                <w:top w:val="none" w:sz="0" w:space="0" w:color="auto"/>
                <w:left w:val="none" w:sz="0" w:space="0" w:color="auto"/>
                <w:bottom w:val="none" w:sz="0" w:space="0" w:color="auto"/>
                <w:right w:val="none" w:sz="0" w:space="0" w:color="auto"/>
              </w:divBdr>
              <w:divsChild>
                <w:div w:id="1695233652">
                  <w:marLeft w:val="150"/>
                  <w:marRight w:val="150"/>
                  <w:marTop w:val="0"/>
                  <w:marBottom w:val="0"/>
                  <w:divBdr>
                    <w:top w:val="none" w:sz="0" w:space="0" w:color="auto"/>
                    <w:left w:val="none" w:sz="0" w:space="0" w:color="auto"/>
                    <w:bottom w:val="none" w:sz="0" w:space="0" w:color="auto"/>
                    <w:right w:val="none" w:sz="0" w:space="0" w:color="auto"/>
                  </w:divBdr>
                  <w:divsChild>
                    <w:div w:id="693964376">
                      <w:marLeft w:val="0"/>
                      <w:marRight w:val="0"/>
                      <w:marTop w:val="0"/>
                      <w:marBottom w:val="0"/>
                      <w:divBdr>
                        <w:top w:val="none" w:sz="0" w:space="0" w:color="auto"/>
                        <w:left w:val="none" w:sz="0" w:space="0" w:color="auto"/>
                        <w:bottom w:val="none" w:sz="0" w:space="0" w:color="auto"/>
                        <w:right w:val="none" w:sz="0" w:space="0" w:color="auto"/>
                      </w:divBdr>
                      <w:divsChild>
                        <w:div w:id="1035424368">
                          <w:marLeft w:val="0"/>
                          <w:marRight w:val="0"/>
                          <w:marTop w:val="0"/>
                          <w:marBottom w:val="0"/>
                          <w:divBdr>
                            <w:top w:val="none" w:sz="0" w:space="0" w:color="auto"/>
                            <w:left w:val="none" w:sz="0" w:space="0" w:color="auto"/>
                            <w:bottom w:val="none" w:sz="0" w:space="0" w:color="auto"/>
                            <w:right w:val="none" w:sz="0" w:space="0" w:color="auto"/>
                          </w:divBdr>
                          <w:divsChild>
                            <w:div w:id="1284314352">
                              <w:marLeft w:val="0"/>
                              <w:marRight w:val="0"/>
                              <w:marTop w:val="0"/>
                              <w:marBottom w:val="0"/>
                              <w:divBdr>
                                <w:top w:val="none" w:sz="0" w:space="0" w:color="auto"/>
                                <w:left w:val="none" w:sz="0" w:space="0" w:color="auto"/>
                                <w:bottom w:val="none" w:sz="0" w:space="0" w:color="auto"/>
                                <w:right w:val="none" w:sz="0" w:space="0" w:color="auto"/>
                              </w:divBdr>
                              <w:divsChild>
                                <w:div w:id="571739366">
                                  <w:marLeft w:val="0"/>
                                  <w:marRight w:val="0"/>
                                  <w:marTop w:val="0"/>
                                  <w:marBottom w:val="0"/>
                                  <w:divBdr>
                                    <w:top w:val="none" w:sz="0" w:space="0" w:color="auto"/>
                                    <w:left w:val="none" w:sz="0" w:space="0" w:color="auto"/>
                                    <w:bottom w:val="none" w:sz="0" w:space="0" w:color="auto"/>
                                    <w:right w:val="none" w:sz="0" w:space="0" w:color="auto"/>
                                  </w:divBdr>
                                  <w:divsChild>
                                    <w:div w:id="1845436779">
                                      <w:marLeft w:val="0"/>
                                      <w:marRight w:val="0"/>
                                      <w:marTop w:val="0"/>
                                      <w:marBottom w:val="0"/>
                                      <w:divBdr>
                                        <w:top w:val="none" w:sz="0" w:space="0" w:color="auto"/>
                                        <w:left w:val="none" w:sz="0" w:space="0" w:color="auto"/>
                                        <w:bottom w:val="none" w:sz="0" w:space="0" w:color="auto"/>
                                        <w:right w:val="none" w:sz="0" w:space="0" w:color="auto"/>
                                      </w:divBdr>
                                      <w:divsChild>
                                        <w:div w:id="2019458163">
                                          <w:marLeft w:val="0"/>
                                          <w:marRight w:val="0"/>
                                          <w:marTop w:val="0"/>
                                          <w:marBottom w:val="0"/>
                                          <w:divBdr>
                                            <w:top w:val="none" w:sz="0" w:space="0" w:color="auto"/>
                                            <w:left w:val="none" w:sz="0" w:space="0" w:color="auto"/>
                                            <w:bottom w:val="none" w:sz="0" w:space="0" w:color="auto"/>
                                            <w:right w:val="none" w:sz="0" w:space="0" w:color="auto"/>
                                          </w:divBdr>
                                          <w:divsChild>
                                            <w:div w:id="14395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689490">
      <w:bodyDiv w:val="1"/>
      <w:marLeft w:val="0"/>
      <w:marRight w:val="0"/>
      <w:marTop w:val="0"/>
      <w:marBottom w:val="0"/>
      <w:divBdr>
        <w:top w:val="none" w:sz="0" w:space="0" w:color="auto"/>
        <w:left w:val="none" w:sz="0" w:space="0" w:color="auto"/>
        <w:bottom w:val="none" w:sz="0" w:space="0" w:color="auto"/>
        <w:right w:val="none" w:sz="0" w:space="0" w:color="auto"/>
      </w:divBdr>
    </w:div>
    <w:div w:id="557479880">
      <w:bodyDiv w:val="1"/>
      <w:marLeft w:val="0"/>
      <w:marRight w:val="0"/>
      <w:marTop w:val="0"/>
      <w:marBottom w:val="0"/>
      <w:divBdr>
        <w:top w:val="none" w:sz="0" w:space="0" w:color="auto"/>
        <w:left w:val="none" w:sz="0" w:space="0" w:color="auto"/>
        <w:bottom w:val="none" w:sz="0" w:space="0" w:color="auto"/>
        <w:right w:val="none" w:sz="0" w:space="0" w:color="auto"/>
      </w:divBdr>
    </w:div>
    <w:div w:id="571550058">
      <w:bodyDiv w:val="1"/>
      <w:marLeft w:val="0"/>
      <w:marRight w:val="0"/>
      <w:marTop w:val="0"/>
      <w:marBottom w:val="0"/>
      <w:divBdr>
        <w:top w:val="none" w:sz="0" w:space="0" w:color="auto"/>
        <w:left w:val="none" w:sz="0" w:space="0" w:color="auto"/>
        <w:bottom w:val="none" w:sz="0" w:space="0" w:color="auto"/>
        <w:right w:val="none" w:sz="0" w:space="0" w:color="auto"/>
      </w:divBdr>
      <w:divsChild>
        <w:div w:id="2111466511">
          <w:marLeft w:val="0"/>
          <w:marRight w:val="0"/>
          <w:marTop w:val="0"/>
          <w:marBottom w:val="0"/>
          <w:divBdr>
            <w:top w:val="none" w:sz="0" w:space="0" w:color="auto"/>
            <w:left w:val="none" w:sz="0" w:space="0" w:color="auto"/>
            <w:bottom w:val="none" w:sz="0" w:space="0" w:color="auto"/>
            <w:right w:val="none" w:sz="0" w:space="0" w:color="auto"/>
          </w:divBdr>
          <w:divsChild>
            <w:div w:id="1698919816">
              <w:marLeft w:val="0"/>
              <w:marRight w:val="0"/>
              <w:marTop w:val="100"/>
              <w:marBottom w:val="100"/>
              <w:divBdr>
                <w:top w:val="none" w:sz="0" w:space="0" w:color="auto"/>
                <w:left w:val="none" w:sz="0" w:space="0" w:color="auto"/>
                <w:bottom w:val="none" w:sz="0" w:space="0" w:color="auto"/>
                <w:right w:val="none" w:sz="0" w:space="0" w:color="auto"/>
              </w:divBdr>
              <w:divsChild>
                <w:div w:id="790519854">
                  <w:marLeft w:val="0"/>
                  <w:marRight w:val="0"/>
                  <w:marTop w:val="45"/>
                  <w:marBottom w:val="120"/>
                  <w:divBdr>
                    <w:top w:val="none" w:sz="0" w:space="0" w:color="auto"/>
                    <w:left w:val="none" w:sz="0" w:space="0" w:color="auto"/>
                    <w:bottom w:val="none" w:sz="0" w:space="0" w:color="auto"/>
                    <w:right w:val="none" w:sz="0" w:space="0" w:color="auto"/>
                  </w:divBdr>
                  <w:divsChild>
                    <w:div w:id="2077241138">
                      <w:marLeft w:val="0"/>
                      <w:marRight w:val="0"/>
                      <w:marTop w:val="0"/>
                      <w:marBottom w:val="0"/>
                      <w:divBdr>
                        <w:top w:val="none" w:sz="0" w:space="0" w:color="auto"/>
                        <w:left w:val="none" w:sz="0" w:space="0" w:color="auto"/>
                        <w:bottom w:val="none" w:sz="0" w:space="0" w:color="auto"/>
                        <w:right w:val="none" w:sz="0" w:space="0" w:color="auto"/>
                      </w:divBdr>
                      <w:divsChild>
                        <w:div w:id="1661734666">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632911201">
      <w:bodyDiv w:val="1"/>
      <w:marLeft w:val="0"/>
      <w:marRight w:val="0"/>
      <w:marTop w:val="0"/>
      <w:marBottom w:val="0"/>
      <w:divBdr>
        <w:top w:val="none" w:sz="0" w:space="0" w:color="auto"/>
        <w:left w:val="none" w:sz="0" w:space="0" w:color="auto"/>
        <w:bottom w:val="none" w:sz="0" w:space="0" w:color="auto"/>
        <w:right w:val="none" w:sz="0" w:space="0" w:color="auto"/>
      </w:divBdr>
    </w:div>
    <w:div w:id="730034857">
      <w:bodyDiv w:val="1"/>
      <w:marLeft w:val="0"/>
      <w:marRight w:val="0"/>
      <w:marTop w:val="0"/>
      <w:marBottom w:val="0"/>
      <w:divBdr>
        <w:top w:val="none" w:sz="0" w:space="0" w:color="auto"/>
        <w:left w:val="none" w:sz="0" w:space="0" w:color="auto"/>
        <w:bottom w:val="none" w:sz="0" w:space="0" w:color="auto"/>
        <w:right w:val="none" w:sz="0" w:space="0" w:color="auto"/>
      </w:divBdr>
    </w:div>
    <w:div w:id="779371912">
      <w:bodyDiv w:val="1"/>
      <w:marLeft w:val="0"/>
      <w:marRight w:val="0"/>
      <w:marTop w:val="0"/>
      <w:marBottom w:val="0"/>
      <w:divBdr>
        <w:top w:val="none" w:sz="0" w:space="0" w:color="auto"/>
        <w:left w:val="none" w:sz="0" w:space="0" w:color="auto"/>
        <w:bottom w:val="none" w:sz="0" w:space="0" w:color="auto"/>
        <w:right w:val="none" w:sz="0" w:space="0" w:color="auto"/>
      </w:divBdr>
    </w:div>
    <w:div w:id="788739902">
      <w:bodyDiv w:val="1"/>
      <w:marLeft w:val="0"/>
      <w:marRight w:val="0"/>
      <w:marTop w:val="0"/>
      <w:marBottom w:val="0"/>
      <w:divBdr>
        <w:top w:val="none" w:sz="0" w:space="0" w:color="auto"/>
        <w:left w:val="none" w:sz="0" w:space="0" w:color="auto"/>
        <w:bottom w:val="none" w:sz="0" w:space="0" w:color="auto"/>
        <w:right w:val="none" w:sz="0" w:space="0" w:color="auto"/>
      </w:divBdr>
    </w:div>
    <w:div w:id="825585729">
      <w:bodyDiv w:val="1"/>
      <w:marLeft w:val="0"/>
      <w:marRight w:val="0"/>
      <w:marTop w:val="0"/>
      <w:marBottom w:val="0"/>
      <w:divBdr>
        <w:top w:val="none" w:sz="0" w:space="0" w:color="auto"/>
        <w:left w:val="none" w:sz="0" w:space="0" w:color="auto"/>
        <w:bottom w:val="none" w:sz="0" w:space="0" w:color="auto"/>
        <w:right w:val="none" w:sz="0" w:space="0" w:color="auto"/>
      </w:divBdr>
    </w:div>
    <w:div w:id="847788277">
      <w:bodyDiv w:val="1"/>
      <w:marLeft w:val="0"/>
      <w:marRight w:val="0"/>
      <w:marTop w:val="0"/>
      <w:marBottom w:val="0"/>
      <w:divBdr>
        <w:top w:val="none" w:sz="0" w:space="0" w:color="auto"/>
        <w:left w:val="none" w:sz="0" w:space="0" w:color="auto"/>
        <w:bottom w:val="none" w:sz="0" w:space="0" w:color="auto"/>
        <w:right w:val="none" w:sz="0" w:space="0" w:color="auto"/>
      </w:divBdr>
    </w:div>
    <w:div w:id="875384659">
      <w:bodyDiv w:val="1"/>
      <w:marLeft w:val="0"/>
      <w:marRight w:val="0"/>
      <w:marTop w:val="0"/>
      <w:marBottom w:val="0"/>
      <w:divBdr>
        <w:top w:val="none" w:sz="0" w:space="0" w:color="auto"/>
        <w:left w:val="none" w:sz="0" w:space="0" w:color="auto"/>
        <w:bottom w:val="none" w:sz="0" w:space="0" w:color="auto"/>
        <w:right w:val="none" w:sz="0" w:space="0" w:color="auto"/>
      </w:divBdr>
    </w:div>
    <w:div w:id="930545726">
      <w:bodyDiv w:val="1"/>
      <w:marLeft w:val="0"/>
      <w:marRight w:val="0"/>
      <w:marTop w:val="0"/>
      <w:marBottom w:val="0"/>
      <w:divBdr>
        <w:top w:val="none" w:sz="0" w:space="0" w:color="auto"/>
        <w:left w:val="none" w:sz="0" w:space="0" w:color="auto"/>
        <w:bottom w:val="none" w:sz="0" w:space="0" w:color="auto"/>
        <w:right w:val="none" w:sz="0" w:space="0" w:color="auto"/>
      </w:divBdr>
    </w:div>
    <w:div w:id="949510923">
      <w:bodyDiv w:val="1"/>
      <w:marLeft w:val="0"/>
      <w:marRight w:val="0"/>
      <w:marTop w:val="0"/>
      <w:marBottom w:val="0"/>
      <w:divBdr>
        <w:top w:val="none" w:sz="0" w:space="0" w:color="auto"/>
        <w:left w:val="none" w:sz="0" w:space="0" w:color="auto"/>
        <w:bottom w:val="none" w:sz="0" w:space="0" w:color="auto"/>
        <w:right w:val="none" w:sz="0" w:space="0" w:color="auto"/>
      </w:divBdr>
    </w:div>
    <w:div w:id="1003704608">
      <w:bodyDiv w:val="1"/>
      <w:marLeft w:val="0"/>
      <w:marRight w:val="0"/>
      <w:marTop w:val="0"/>
      <w:marBottom w:val="0"/>
      <w:divBdr>
        <w:top w:val="none" w:sz="0" w:space="0" w:color="auto"/>
        <w:left w:val="none" w:sz="0" w:space="0" w:color="auto"/>
        <w:bottom w:val="none" w:sz="0" w:space="0" w:color="auto"/>
        <w:right w:val="none" w:sz="0" w:space="0" w:color="auto"/>
      </w:divBdr>
    </w:div>
    <w:div w:id="1010793782">
      <w:bodyDiv w:val="1"/>
      <w:marLeft w:val="0"/>
      <w:marRight w:val="0"/>
      <w:marTop w:val="0"/>
      <w:marBottom w:val="0"/>
      <w:divBdr>
        <w:top w:val="none" w:sz="0" w:space="0" w:color="auto"/>
        <w:left w:val="none" w:sz="0" w:space="0" w:color="auto"/>
        <w:bottom w:val="none" w:sz="0" w:space="0" w:color="auto"/>
        <w:right w:val="none" w:sz="0" w:space="0" w:color="auto"/>
      </w:divBdr>
    </w:div>
    <w:div w:id="1078675107">
      <w:bodyDiv w:val="1"/>
      <w:marLeft w:val="0"/>
      <w:marRight w:val="0"/>
      <w:marTop w:val="0"/>
      <w:marBottom w:val="0"/>
      <w:divBdr>
        <w:top w:val="none" w:sz="0" w:space="0" w:color="auto"/>
        <w:left w:val="none" w:sz="0" w:space="0" w:color="auto"/>
        <w:bottom w:val="none" w:sz="0" w:space="0" w:color="auto"/>
        <w:right w:val="none" w:sz="0" w:space="0" w:color="auto"/>
      </w:divBdr>
      <w:divsChild>
        <w:div w:id="1316061138">
          <w:marLeft w:val="0"/>
          <w:marRight w:val="0"/>
          <w:marTop w:val="0"/>
          <w:marBottom w:val="0"/>
          <w:divBdr>
            <w:top w:val="none" w:sz="0" w:space="0" w:color="auto"/>
            <w:left w:val="none" w:sz="0" w:space="0" w:color="auto"/>
            <w:bottom w:val="none" w:sz="0" w:space="0" w:color="auto"/>
            <w:right w:val="none" w:sz="0" w:space="0" w:color="auto"/>
          </w:divBdr>
          <w:divsChild>
            <w:div w:id="176726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97099">
      <w:bodyDiv w:val="1"/>
      <w:marLeft w:val="0"/>
      <w:marRight w:val="0"/>
      <w:marTop w:val="0"/>
      <w:marBottom w:val="0"/>
      <w:divBdr>
        <w:top w:val="none" w:sz="0" w:space="0" w:color="auto"/>
        <w:left w:val="none" w:sz="0" w:space="0" w:color="auto"/>
        <w:bottom w:val="none" w:sz="0" w:space="0" w:color="auto"/>
        <w:right w:val="none" w:sz="0" w:space="0" w:color="auto"/>
      </w:divBdr>
    </w:div>
    <w:div w:id="1091008918">
      <w:bodyDiv w:val="1"/>
      <w:marLeft w:val="0"/>
      <w:marRight w:val="0"/>
      <w:marTop w:val="0"/>
      <w:marBottom w:val="0"/>
      <w:divBdr>
        <w:top w:val="none" w:sz="0" w:space="0" w:color="auto"/>
        <w:left w:val="none" w:sz="0" w:space="0" w:color="auto"/>
        <w:bottom w:val="none" w:sz="0" w:space="0" w:color="auto"/>
        <w:right w:val="none" w:sz="0" w:space="0" w:color="auto"/>
      </w:divBdr>
      <w:divsChild>
        <w:div w:id="645939283">
          <w:marLeft w:val="0"/>
          <w:marRight w:val="0"/>
          <w:marTop w:val="0"/>
          <w:marBottom w:val="120"/>
          <w:divBdr>
            <w:top w:val="none" w:sz="0" w:space="0" w:color="auto"/>
            <w:left w:val="none" w:sz="0" w:space="0" w:color="auto"/>
            <w:bottom w:val="none" w:sz="0" w:space="0" w:color="auto"/>
            <w:right w:val="none" w:sz="0" w:space="0" w:color="auto"/>
          </w:divBdr>
          <w:divsChild>
            <w:div w:id="1215198454">
              <w:marLeft w:val="0"/>
              <w:marRight w:val="0"/>
              <w:marTop w:val="0"/>
              <w:marBottom w:val="120"/>
              <w:divBdr>
                <w:top w:val="none" w:sz="0" w:space="0" w:color="auto"/>
                <w:left w:val="none" w:sz="0" w:space="0" w:color="auto"/>
                <w:bottom w:val="none" w:sz="0" w:space="0" w:color="auto"/>
                <w:right w:val="none" w:sz="0" w:space="0" w:color="auto"/>
              </w:divBdr>
              <w:divsChild>
                <w:div w:id="549534719">
                  <w:marLeft w:val="0"/>
                  <w:marRight w:val="0"/>
                  <w:marTop w:val="0"/>
                  <w:marBottom w:val="0"/>
                  <w:divBdr>
                    <w:top w:val="none" w:sz="0" w:space="0" w:color="auto"/>
                    <w:left w:val="none" w:sz="0" w:space="0" w:color="auto"/>
                    <w:bottom w:val="none" w:sz="0" w:space="0" w:color="auto"/>
                    <w:right w:val="none" w:sz="0" w:space="0" w:color="auto"/>
                  </w:divBdr>
                  <w:divsChild>
                    <w:div w:id="2089690449">
                      <w:marLeft w:val="0"/>
                      <w:marRight w:val="0"/>
                      <w:marTop w:val="0"/>
                      <w:marBottom w:val="120"/>
                      <w:divBdr>
                        <w:top w:val="single" w:sz="48" w:space="19" w:color="F3F3F3"/>
                        <w:left w:val="single" w:sz="48" w:space="20" w:color="F3F3F3"/>
                        <w:bottom w:val="single" w:sz="48" w:space="15" w:color="F3F3F3"/>
                        <w:right w:val="single" w:sz="48" w:space="20" w:color="F3F3F3"/>
                      </w:divBdr>
                      <w:divsChild>
                        <w:div w:id="404380421">
                          <w:marLeft w:val="0"/>
                          <w:marRight w:val="0"/>
                          <w:marTop w:val="0"/>
                          <w:marBottom w:val="0"/>
                          <w:divBdr>
                            <w:top w:val="none" w:sz="0" w:space="0" w:color="auto"/>
                            <w:left w:val="none" w:sz="0" w:space="0" w:color="auto"/>
                            <w:bottom w:val="none" w:sz="0" w:space="0" w:color="auto"/>
                            <w:right w:val="none" w:sz="0" w:space="0" w:color="auto"/>
                          </w:divBdr>
                          <w:divsChild>
                            <w:div w:id="1285386659">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319604">
      <w:bodyDiv w:val="1"/>
      <w:marLeft w:val="0"/>
      <w:marRight w:val="0"/>
      <w:marTop w:val="0"/>
      <w:marBottom w:val="0"/>
      <w:divBdr>
        <w:top w:val="none" w:sz="0" w:space="0" w:color="auto"/>
        <w:left w:val="none" w:sz="0" w:space="0" w:color="auto"/>
        <w:bottom w:val="none" w:sz="0" w:space="0" w:color="auto"/>
        <w:right w:val="none" w:sz="0" w:space="0" w:color="auto"/>
      </w:divBdr>
      <w:divsChild>
        <w:div w:id="776287932">
          <w:marLeft w:val="0"/>
          <w:marRight w:val="0"/>
          <w:marTop w:val="0"/>
          <w:marBottom w:val="0"/>
          <w:divBdr>
            <w:top w:val="none" w:sz="0" w:space="0" w:color="auto"/>
            <w:left w:val="none" w:sz="0" w:space="0" w:color="auto"/>
            <w:bottom w:val="none" w:sz="0" w:space="0" w:color="auto"/>
            <w:right w:val="none" w:sz="0" w:space="0" w:color="auto"/>
          </w:divBdr>
          <w:divsChild>
            <w:div w:id="2107460291">
              <w:marLeft w:val="0"/>
              <w:marRight w:val="0"/>
              <w:marTop w:val="0"/>
              <w:marBottom w:val="0"/>
              <w:divBdr>
                <w:top w:val="none" w:sz="0" w:space="0" w:color="auto"/>
                <w:left w:val="none" w:sz="0" w:space="0" w:color="auto"/>
                <w:bottom w:val="none" w:sz="0" w:space="0" w:color="auto"/>
                <w:right w:val="none" w:sz="0" w:space="0" w:color="auto"/>
              </w:divBdr>
              <w:divsChild>
                <w:div w:id="1382293156">
                  <w:marLeft w:val="0"/>
                  <w:marRight w:val="75"/>
                  <w:marTop w:val="0"/>
                  <w:marBottom w:val="0"/>
                  <w:divBdr>
                    <w:top w:val="none" w:sz="0" w:space="0" w:color="auto"/>
                    <w:left w:val="none" w:sz="0" w:space="0" w:color="auto"/>
                    <w:bottom w:val="none" w:sz="0" w:space="0" w:color="auto"/>
                    <w:right w:val="none" w:sz="0" w:space="0" w:color="auto"/>
                  </w:divBdr>
                </w:div>
                <w:div w:id="498543159">
                  <w:marLeft w:val="0"/>
                  <w:marRight w:val="75"/>
                  <w:marTop w:val="0"/>
                  <w:marBottom w:val="0"/>
                  <w:divBdr>
                    <w:top w:val="none" w:sz="0" w:space="0" w:color="auto"/>
                    <w:left w:val="none" w:sz="0" w:space="0" w:color="auto"/>
                    <w:bottom w:val="none" w:sz="0" w:space="0" w:color="auto"/>
                    <w:right w:val="none" w:sz="0" w:space="0" w:color="auto"/>
                  </w:divBdr>
                </w:div>
                <w:div w:id="239370038">
                  <w:marLeft w:val="210"/>
                  <w:marRight w:val="120"/>
                  <w:marTop w:val="120"/>
                  <w:marBottom w:val="0"/>
                  <w:divBdr>
                    <w:top w:val="none" w:sz="0" w:space="0" w:color="auto"/>
                    <w:left w:val="none" w:sz="0" w:space="0" w:color="auto"/>
                    <w:bottom w:val="none" w:sz="0" w:space="0" w:color="auto"/>
                    <w:right w:val="none" w:sz="0" w:space="0" w:color="auto"/>
                  </w:divBdr>
                </w:div>
                <w:div w:id="1736656756">
                  <w:marLeft w:val="210"/>
                  <w:marRight w:val="120"/>
                  <w:marTop w:val="120"/>
                  <w:marBottom w:val="0"/>
                  <w:divBdr>
                    <w:top w:val="none" w:sz="0" w:space="0" w:color="auto"/>
                    <w:left w:val="none" w:sz="0" w:space="0" w:color="auto"/>
                    <w:bottom w:val="none" w:sz="0" w:space="0" w:color="auto"/>
                    <w:right w:val="none" w:sz="0" w:space="0" w:color="auto"/>
                  </w:divBdr>
                </w:div>
                <w:div w:id="1346250067">
                  <w:marLeft w:val="210"/>
                  <w:marRight w:val="120"/>
                  <w:marTop w:val="120"/>
                  <w:marBottom w:val="0"/>
                  <w:divBdr>
                    <w:top w:val="none" w:sz="0" w:space="0" w:color="auto"/>
                    <w:left w:val="none" w:sz="0" w:space="0" w:color="auto"/>
                    <w:bottom w:val="none" w:sz="0" w:space="0" w:color="auto"/>
                    <w:right w:val="none" w:sz="0" w:space="0" w:color="auto"/>
                  </w:divBdr>
                </w:div>
                <w:div w:id="1961181045">
                  <w:marLeft w:val="450"/>
                  <w:marRight w:val="0"/>
                  <w:marTop w:val="0"/>
                  <w:marBottom w:val="0"/>
                  <w:divBdr>
                    <w:top w:val="none" w:sz="0" w:space="0" w:color="auto"/>
                    <w:left w:val="none" w:sz="0" w:space="0" w:color="auto"/>
                    <w:bottom w:val="none" w:sz="0" w:space="0" w:color="auto"/>
                    <w:right w:val="none" w:sz="0" w:space="0" w:color="auto"/>
                  </w:divBdr>
                  <w:divsChild>
                    <w:div w:id="164176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212403">
      <w:bodyDiv w:val="1"/>
      <w:marLeft w:val="0"/>
      <w:marRight w:val="0"/>
      <w:marTop w:val="0"/>
      <w:marBottom w:val="0"/>
      <w:divBdr>
        <w:top w:val="none" w:sz="0" w:space="0" w:color="auto"/>
        <w:left w:val="none" w:sz="0" w:space="0" w:color="auto"/>
        <w:bottom w:val="none" w:sz="0" w:space="0" w:color="auto"/>
        <w:right w:val="none" w:sz="0" w:space="0" w:color="auto"/>
      </w:divBdr>
    </w:div>
    <w:div w:id="1231576772">
      <w:bodyDiv w:val="1"/>
      <w:marLeft w:val="0"/>
      <w:marRight w:val="0"/>
      <w:marTop w:val="0"/>
      <w:marBottom w:val="0"/>
      <w:divBdr>
        <w:top w:val="none" w:sz="0" w:space="0" w:color="auto"/>
        <w:left w:val="none" w:sz="0" w:space="0" w:color="auto"/>
        <w:bottom w:val="none" w:sz="0" w:space="0" w:color="auto"/>
        <w:right w:val="none" w:sz="0" w:space="0" w:color="auto"/>
      </w:divBdr>
    </w:div>
    <w:div w:id="1242443989">
      <w:bodyDiv w:val="1"/>
      <w:marLeft w:val="0"/>
      <w:marRight w:val="0"/>
      <w:marTop w:val="0"/>
      <w:marBottom w:val="0"/>
      <w:divBdr>
        <w:top w:val="none" w:sz="0" w:space="0" w:color="auto"/>
        <w:left w:val="none" w:sz="0" w:space="0" w:color="auto"/>
        <w:bottom w:val="none" w:sz="0" w:space="0" w:color="auto"/>
        <w:right w:val="none" w:sz="0" w:space="0" w:color="auto"/>
      </w:divBdr>
    </w:div>
    <w:div w:id="1256091463">
      <w:bodyDiv w:val="1"/>
      <w:marLeft w:val="0"/>
      <w:marRight w:val="0"/>
      <w:marTop w:val="0"/>
      <w:marBottom w:val="0"/>
      <w:divBdr>
        <w:top w:val="none" w:sz="0" w:space="0" w:color="auto"/>
        <w:left w:val="none" w:sz="0" w:space="0" w:color="auto"/>
        <w:bottom w:val="none" w:sz="0" w:space="0" w:color="auto"/>
        <w:right w:val="none" w:sz="0" w:space="0" w:color="auto"/>
      </w:divBdr>
    </w:div>
    <w:div w:id="1269199507">
      <w:bodyDiv w:val="1"/>
      <w:marLeft w:val="0"/>
      <w:marRight w:val="0"/>
      <w:marTop w:val="0"/>
      <w:marBottom w:val="0"/>
      <w:divBdr>
        <w:top w:val="none" w:sz="0" w:space="0" w:color="auto"/>
        <w:left w:val="none" w:sz="0" w:space="0" w:color="auto"/>
        <w:bottom w:val="none" w:sz="0" w:space="0" w:color="auto"/>
        <w:right w:val="none" w:sz="0" w:space="0" w:color="auto"/>
      </w:divBdr>
      <w:divsChild>
        <w:div w:id="1414399872">
          <w:marLeft w:val="0"/>
          <w:marRight w:val="0"/>
          <w:marTop w:val="0"/>
          <w:marBottom w:val="0"/>
          <w:divBdr>
            <w:top w:val="none" w:sz="0" w:space="0" w:color="auto"/>
            <w:left w:val="none" w:sz="0" w:space="0" w:color="auto"/>
            <w:bottom w:val="none" w:sz="0" w:space="0" w:color="auto"/>
            <w:right w:val="none" w:sz="0" w:space="0" w:color="auto"/>
          </w:divBdr>
          <w:divsChild>
            <w:div w:id="2057461809">
              <w:marLeft w:val="0"/>
              <w:marRight w:val="0"/>
              <w:marTop w:val="15"/>
              <w:marBottom w:val="0"/>
              <w:divBdr>
                <w:top w:val="none" w:sz="0" w:space="0" w:color="auto"/>
                <w:left w:val="none" w:sz="0" w:space="0" w:color="auto"/>
                <w:bottom w:val="none" w:sz="0" w:space="0" w:color="auto"/>
                <w:right w:val="none" w:sz="0" w:space="0" w:color="auto"/>
              </w:divBdr>
              <w:divsChild>
                <w:div w:id="412557421">
                  <w:marLeft w:val="345"/>
                  <w:marRight w:val="195"/>
                  <w:marTop w:val="0"/>
                  <w:marBottom w:val="225"/>
                  <w:divBdr>
                    <w:top w:val="none" w:sz="0" w:space="0" w:color="auto"/>
                    <w:left w:val="none" w:sz="0" w:space="0" w:color="auto"/>
                    <w:bottom w:val="none" w:sz="0" w:space="0" w:color="auto"/>
                    <w:right w:val="none" w:sz="0" w:space="0" w:color="auto"/>
                  </w:divBdr>
                </w:div>
                <w:div w:id="143200740">
                  <w:marLeft w:val="345"/>
                  <w:marRight w:val="195"/>
                  <w:marTop w:val="0"/>
                  <w:marBottom w:val="225"/>
                  <w:divBdr>
                    <w:top w:val="none" w:sz="0" w:space="0" w:color="auto"/>
                    <w:left w:val="none" w:sz="0" w:space="0" w:color="auto"/>
                    <w:bottom w:val="none" w:sz="0" w:space="0" w:color="auto"/>
                    <w:right w:val="none" w:sz="0" w:space="0" w:color="auto"/>
                  </w:divBdr>
                </w:div>
              </w:divsChild>
            </w:div>
          </w:divsChild>
        </w:div>
      </w:divsChild>
    </w:div>
    <w:div w:id="1279026544">
      <w:bodyDiv w:val="1"/>
      <w:marLeft w:val="0"/>
      <w:marRight w:val="0"/>
      <w:marTop w:val="0"/>
      <w:marBottom w:val="0"/>
      <w:divBdr>
        <w:top w:val="none" w:sz="0" w:space="0" w:color="auto"/>
        <w:left w:val="none" w:sz="0" w:space="0" w:color="auto"/>
        <w:bottom w:val="none" w:sz="0" w:space="0" w:color="auto"/>
        <w:right w:val="none" w:sz="0" w:space="0" w:color="auto"/>
      </w:divBdr>
      <w:divsChild>
        <w:div w:id="1399088591">
          <w:marLeft w:val="0"/>
          <w:marRight w:val="0"/>
          <w:marTop w:val="0"/>
          <w:marBottom w:val="0"/>
          <w:divBdr>
            <w:top w:val="none" w:sz="0" w:space="0" w:color="auto"/>
            <w:left w:val="none" w:sz="0" w:space="0" w:color="auto"/>
            <w:bottom w:val="none" w:sz="0" w:space="0" w:color="auto"/>
            <w:right w:val="none" w:sz="0" w:space="0" w:color="auto"/>
          </w:divBdr>
          <w:divsChild>
            <w:div w:id="1471634030">
              <w:marLeft w:val="0"/>
              <w:marRight w:val="0"/>
              <w:marTop w:val="0"/>
              <w:marBottom w:val="0"/>
              <w:divBdr>
                <w:top w:val="none" w:sz="0" w:space="0" w:color="auto"/>
                <w:left w:val="none" w:sz="0" w:space="0" w:color="auto"/>
                <w:bottom w:val="none" w:sz="0" w:space="0" w:color="auto"/>
                <w:right w:val="none" w:sz="0" w:space="0" w:color="auto"/>
              </w:divBdr>
              <w:divsChild>
                <w:div w:id="1325933493">
                  <w:marLeft w:val="0"/>
                  <w:marRight w:val="0"/>
                  <w:marTop w:val="0"/>
                  <w:marBottom w:val="0"/>
                  <w:divBdr>
                    <w:top w:val="none" w:sz="0" w:space="0" w:color="auto"/>
                    <w:left w:val="none" w:sz="0" w:space="0" w:color="auto"/>
                    <w:bottom w:val="none" w:sz="0" w:space="0" w:color="auto"/>
                    <w:right w:val="none" w:sz="0" w:space="0" w:color="auto"/>
                  </w:divBdr>
                  <w:divsChild>
                    <w:div w:id="2123644357">
                      <w:marLeft w:val="0"/>
                      <w:marRight w:val="0"/>
                      <w:marTop w:val="0"/>
                      <w:marBottom w:val="0"/>
                      <w:divBdr>
                        <w:top w:val="none" w:sz="0" w:space="0" w:color="auto"/>
                        <w:left w:val="none" w:sz="0" w:space="0" w:color="auto"/>
                        <w:bottom w:val="none" w:sz="0" w:space="0" w:color="auto"/>
                        <w:right w:val="none" w:sz="0" w:space="0" w:color="auto"/>
                      </w:divBdr>
                      <w:divsChild>
                        <w:div w:id="916941068">
                          <w:marLeft w:val="0"/>
                          <w:marRight w:val="0"/>
                          <w:marTop w:val="150"/>
                          <w:marBottom w:val="0"/>
                          <w:divBdr>
                            <w:top w:val="none" w:sz="0" w:space="0" w:color="auto"/>
                            <w:left w:val="none" w:sz="0" w:space="0" w:color="auto"/>
                            <w:bottom w:val="none" w:sz="0" w:space="0" w:color="auto"/>
                            <w:right w:val="none" w:sz="0" w:space="0" w:color="auto"/>
                          </w:divBdr>
                        </w:div>
                        <w:div w:id="370766063">
                          <w:marLeft w:val="0"/>
                          <w:marRight w:val="0"/>
                          <w:marTop w:val="0"/>
                          <w:marBottom w:val="0"/>
                          <w:divBdr>
                            <w:top w:val="none" w:sz="0" w:space="0" w:color="auto"/>
                            <w:left w:val="none" w:sz="0" w:space="0" w:color="auto"/>
                            <w:bottom w:val="none" w:sz="0" w:space="0" w:color="auto"/>
                            <w:right w:val="none" w:sz="0" w:space="0" w:color="auto"/>
                          </w:divBdr>
                        </w:div>
                        <w:div w:id="521826232">
                          <w:marLeft w:val="0"/>
                          <w:marRight w:val="0"/>
                          <w:marTop w:val="0"/>
                          <w:marBottom w:val="0"/>
                          <w:divBdr>
                            <w:top w:val="none" w:sz="0" w:space="0" w:color="auto"/>
                            <w:left w:val="none" w:sz="0" w:space="0" w:color="auto"/>
                            <w:bottom w:val="none" w:sz="0" w:space="0" w:color="auto"/>
                            <w:right w:val="none" w:sz="0" w:space="0" w:color="auto"/>
                          </w:divBdr>
                          <w:divsChild>
                            <w:div w:id="1029725668">
                              <w:marLeft w:val="0"/>
                              <w:marRight w:val="0"/>
                              <w:marTop w:val="0"/>
                              <w:marBottom w:val="0"/>
                              <w:divBdr>
                                <w:top w:val="none" w:sz="0" w:space="0" w:color="auto"/>
                                <w:left w:val="none" w:sz="0" w:space="0" w:color="auto"/>
                                <w:bottom w:val="none" w:sz="0" w:space="0" w:color="auto"/>
                                <w:right w:val="none" w:sz="0" w:space="0" w:color="auto"/>
                              </w:divBdr>
                              <w:divsChild>
                                <w:div w:id="56650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2541292">
      <w:bodyDiv w:val="1"/>
      <w:marLeft w:val="0"/>
      <w:marRight w:val="0"/>
      <w:marTop w:val="0"/>
      <w:marBottom w:val="0"/>
      <w:divBdr>
        <w:top w:val="none" w:sz="0" w:space="0" w:color="auto"/>
        <w:left w:val="none" w:sz="0" w:space="0" w:color="auto"/>
        <w:bottom w:val="none" w:sz="0" w:space="0" w:color="auto"/>
        <w:right w:val="none" w:sz="0" w:space="0" w:color="auto"/>
      </w:divBdr>
    </w:div>
    <w:div w:id="1296106243">
      <w:bodyDiv w:val="1"/>
      <w:marLeft w:val="0"/>
      <w:marRight w:val="0"/>
      <w:marTop w:val="0"/>
      <w:marBottom w:val="0"/>
      <w:divBdr>
        <w:top w:val="none" w:sz="0" w:space="0" w:color="auto"/>
        <w:left w:val="none" w:sz="0" w:space="0" w:color="auto"/>
        <w:bottom w:val="none" w:sz="0" w:space="0" w:color="auto"/>
        <w:right w:val="none" w:sz="0" w:space="0" w:color="auto"/>
      </w:divBdr>
      <w:divsChild>
        <w:div w:id="430319751">
          <w:marLeft w:val="0"/>
          <w:marRight w:val="0"/>
          <w:marTop w:val="0"/>
          <w:marBottom w:val="0"/>
          <w:divBdr>
            <w:top w:val="none" w:sz="0" w:space="0" w:color="auto"/>
            <w:left w:val="none" w:sz="0" w:space="0" w:color="auto"/>
            <w:bottom w:val="none" w:sz="0" w:space="0" w:color="auto"/>
            <w:right w:val="none" w:sz="0" w:space="0" w:color="auto"/>
          </w:divBdr>
          <w:divsChild>
            <w:div w:id="508637568">
              <w:marLeft w:val="0"/>
              <w:marRight w:val="0"/>
              <w:marTop w:val="0"/>
              <w:marBottom w:val="0"/>
              <w:divBdr>
                <w:top w:val="none" w:sz="0" w:space="0" w:color="auto"/>
                <w:left w:val="none" w:sz="0" w:space="0" w:color="auto"/>
                <w:bottom w:val="none" w:sz="0" w:space="0" w:color="auto"/>
                <w:right w:val="none" w:sz="0" w:space="0" w:color="auto"/>
              </w:divBdr>
              <w:divsChild>
                <w:div w:id="1972788481">
                  <w:marLeft w:val="0"/>
                  <w:marRight w:val="0"/>
                  <w:marTop w:val="0"/>
                  <w:marBottom w:val="0"/>
                  <w:divBdr>
                    <w:top w:val="none" w:sz="0" w:space="0" w:color="auto"/>
                    <w:left w:val="none" w:sz="0" w:space="0" w:color="auto"/>
                    <w:bottom w:val="none" w:sz="0" w:space="0" w:color="auto"/>
                    <w:right w:val="none" w:sz="0" w:space="0" w:color="auto"/>
                  </w:divBdr>
                  <w:divsChild>
                    <w:div w:id="1722093572">
                      <w:marLeft w:val="0"/>
                      <w:marRight w:val="0"/>
                      <w:marTop w:val="0"/>
                      <w:marBottom w:val="0"/>
                      <w:divBdr>
                        <w:top w:val="none" w:sz="0" w:space="0" w:color="auto"/>
                        <w:left w:val="none" w:sz="0" w:space="0" w:color="auto"/>
                        <w:bottom w:val="none" w:sz="0" w:space="0" w:color="auto"/>
                        <w:right w:val="none" w:sz="0" w:space="0" w:color="auto"/>
                      </w:divBdr>
                      <w:divsChild>
                        <w:div w:id="143863026">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339894264">
      <w:bodyDiv w:val="1"/>
      <w:marLeft w:val="0"/>
      <w:marRight w:val="0"/>
      <w:marTop w:val="0"/>
      <w:marBottom w:val="0"/>
      <w:divBdr>
        <w:top w:val="none" w:sz="0" w:space="0" w:color="auto"/>
        <w:left w:val="none" w:sz="0" w:space="0" w:color="auto"/>
        <w:bottom w:val="none" w:sz="0" w:space="0" w:color="auto"/>
        <w:right w:val="none" w:sz="0" w:space="0" w:color="auto"/>
      </w:divBdr>
    </w:div>
    <w:div w:id="1387491387">
      <w:bodyDiv w:val="1"/>
      <w:marLeft w:val="0"/>
      <w:marRight w:val="0"/>
      <w:marTop w:val="0"/>
      <w:marBottom w:val="0"/>
      <w:divBdr>
        <w:top w:val="none" w:sz="0" w:space="0" w:color="auto"/>
        <w:left w:val="none" w:sz="0" w:space="0" w:color="auto"/>
        <w:bottom w:val="none" w:sz="0" w:space="0" w:color="auto"/>
        <w:right w:val="none" w:sz="0" w:space="0" w:color="auto"/>
      </w:divBdr>
    </w:div>
    <w:div w:id="1393768616">
      <w:bodyDiv w:val="1"/>
      <w:marLeft w:val="0"/>
      <w:marRight w:val="0"/>
      <w:marTop w:val="0"/>
      <w:marBottom w:val="0"/>
      <w:divBdr>
        <w:top w:val="none" w:sz="0" w:space="0" w:color="auto"/>
        <w:left w:val="none" w:sz="0" w:space="0" w:color="auto"/>
        <w:bottom w:val="none" w:sz="0" w:space="0" w:color="auto"/>
        <w:right w:val="none" w:sz="0" w:space="0" w:color="auto"/>
      </w:divBdr>
      <w:divsChild>
        <w:div w:id="939724526">
          <w:marLeft w:val="0"/>
          <w:marRight w:val="0"/>
          <w:marTop w:val="0"/>
          <w:marBottom w:val="0"/>
          <w:divBdr>
            <w:top w:val="none" w:sz="0" w:space="0" w:color="auto"/>
            <w:left w:val="none" w:sz="0" w:space="0" w:color="auto"/>
            <w:bottom w:val="none" w:sz="0" w:space="0" w:color="auto"/>
            <w:right w:val="none" w:sz="0" w:space="0" w:color="auto"/>
          </w:divBdr>
          <w:divsChild>
            <w:div w:id="129139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353628">
      <w:bodyDiv w:val="1"/>
      <w:marLeft w:val="0"/>
      <w:marRight w:val="0"/>
      <w:marTop w:val="0"/>
      <w:marBottom w:val="0"/>
      <w:divBdr>
        <w:top w:val="none" w:sz="0" w:space="0" w:color="auto"/>
        <w:left w:val="none" w:sz="0" w:space="0" w:color="auto"/>
        <w:bottom w:val="none" w:sz="0" w:space="0" w:color="auto"/>
        <w:right w:val="none" w:sz="0" w:space="0" w:color="auto"/>
      </w:divBdr>
    </w:div>
    <w:div w:id="1399593513">
      <w:bodyDiv w:val="1"/>
      <w:marLeft w:val="0"/>
      <w:marRight w:val="0"/>
      <w:marTop w:val="0"/>
      <w:marBottom w:val="0"/>
      <w:divBdr>
        <w:top w:val="none" w:sz="0" w:space="0" w:color="auto"/>
        <w:left w:val="none" w:sz="0" w:space="0" w:color="auto"/>
        <w:bottom w:val="none" w:sz="0" w:space="0" w:color="auto"/>
        <w:right w:val="none" w:sz="0" w:space="0" w:color="auto"/>
      </w:divBdr>
      <w:divsChild>
        <w:div w:id="1507209168">
          <w:marLeft w:val="0"/>
          <w:marRight w:val="240"/>
          <w:marTop w:val="0"/>
          <w:marBottom w:val="0"/>
          <w:divBdr>
            <w:top w:val="none" w:sz="0" w:space="0" w:color="auto"/>
            <w:left w:val="none" w:sz="0" w:space="0" w:color="auto"/>
            <w:bottom w:val="none" w:sz="0" w:space="0" w:color="auto"/>
            <w:right w:val="none" w:sz="0" w:space="0" w:color="auto"/>
          </w:divBdr>
          <w:divsChild>
            <w:div w:id="1009021259">
              <w:marLeft w:val="0"/>
              <w:marRight w:val="0"/>
              <w:marTop w:val="0"/>
              <w:marBottom w:val="0"/>
              <w:divBdr>
                <w:top w:val="single" w:sz="6" w:space="8" w:color="CCCCCC"/>
                <w:left w:val="single" w:sz="6" w:space="11" w:color="CCCCCC"/>
                <w:bottom w:val="single" w:sz="6" w:space="8" w:color="CCCCCC"/>
                <w:right w:val="single" w:sz="6" w:space="11" w:color="CCCCCC"/>
              </w:divBdr>
              <w:divsChild>
                <w:div w:id="142903451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426728884">
      <w:bodyDiv w:val="1"/>
      <w:marLeft w:val="0"/>
      <w:marRight w:val="0"/>
      <w:marTop w:val="0"/>
      <w:marBottom w:val="0"/>
      <w:divBdr>
        <w:top w:val="none" w:sz="0" w:space="0" w:color="auto"/>
        <w:left w:val="none" w:sz="0" w:space="0" w:color="auto"/>
        <w:bottom w:val="none" w:sz="0" w:space="0" w:color="auto"/>
        <w:right w:val="none" w:sz="0" w:space="0" w:color="auto"/>
      </w:divBdr>
    </w:div>
    <w:div w:id="1441603559">
      <w:bodyDiv w:val="1"/>
      <w:marLeft w:val="0"/>
      <w:marRight w:val="0"/>
      <w:marTop w:val="0"/>
      <w:marBottom w:val="0"/>
      <w:divBdr>
        <w:top w:val="none" w:sz="0" w:space="0" w:color="auto"/>
        <w:left w:val="none" w:sz="0" w:space="0" w:color="auto"/>
        <w:bottom w:val="none" w:sz="0" w:space="0" w:color="auto"/>
        <w:right w:val="none" w:sz="0" w:space="0" w:color="auto"/>
      </w:divBdr>
    </w:div>
    <w:div w:id="1441955367">
      <w:bodyDiv w:val="1"/>
      <w:marLeft w:val="0"/>
      <w:marRight w:val="0"/>
      <w:marTop w:val="0"/>
      <w:marBottom w:val="0"/>
      <w:divBdr>
        <w:top w:val="none" w:sz="0" w:space="0" w:color="auto"/>
        <w:left w:val="none" w:sz="0" w:space="0" w:color="auto"/>
        <w:bottom w:val="none" w:sz="0" w:space="0" w:color="auto"/>
        <w:right w:val="none" w:sz="0" w:space="0" w:color="auto"/>
      </w:divBdr>
    </w:div>
    <w:div w:id="1451126949">
      <w:bodyDiv w:val="1"/>
      <w:marLeft w:val="0"/>
      <w:marRight w:val="0"/>
      <w:marTop w:val="0"/>
      <w:marBottom w:val="0"/>
      <w:divBdr>
        <w:top w:val="none" w:sz="0" w:space="0" w:color="auto"/>
        <w:left w:val="none" w:sz="0" w:space="0" w:color="auto"/>
        <w:bottom w:val="none" w:sz="0" w:space="0" w:color="auto"/>
        <w:right w:val="none" w:sz="0" w:space="0" w:color="auto"/>
      </w:divBdr>
    </w:div>
    <w:div w:id="1530531962">
      <w:bodyDiv w:val="1"/>
      <w:marLeft w:val="0"/>
      <w:marRight w:val="0"/>
      <w:marTop w:val="0"/>
      <w:marBottom w:val="0"/>
      <w:divBdr>
        <w:top w:val="none" w:sz="0" w:space="0" w:color="auto"/>
        <w:left w:val="none" w:sz="0" w:space="0" w:color="auto"/>
        <w:bottom w:val="none" w:sz="0" w:space="0" w:color="auto"/>
        <w:right w:val="none" w:sz="0" w:space="0" w:color="auto"/>
      </w:divBdr>
    </w:div>
    <w:div w:id="1566061056">
      <w:bodyDiv w:val="1"/>
      <w:marLeft w:val="0"/>
      <w:marRight w:val="0"/>
      <w:marTop w:val="0"/>
      <w:marBottom w:val="0"/>
      <w:divBdr>
        <w:top w:val="none" w:sz="0" w:space="0" w:color="auto"/>
        <w:left w:val="none" w:sz="0" w:space="0" w:color="auto"/>
        <w:bottom w:val="none" w:sz="0" w:space="0" w:color="auto"/>
        <w:right w:val="none" w:sz="0" w:space="0" w:color="auto"/>
      </w:divBdr>
    </w:div>
    <w:div w:id="1602564397">
      <w:bodyDiv w:val="1"/>
      <w:marLeft w:val="0"/>
      <w:marRight w:val="0"/>
      <w:marTop w:val="0"/>
      <w:marBottom w:val="0"/>
      <w:divBdr>
        <w:top w:val="none" w:sz="0" w:space="0" w:color="auto"/>
        <w:left w:val="none" w:sz="0" w:space="0" w:color="auto"/>
        <w:bottom w:val="none" w:sz="0" w:space="0" w:color="auto"/>
        <w:right w:val="none" w:sz="0" w:space="0" w:color="auto"/>
      </w:divBdr>
    </w:div>
    <w:div w:id="1621956831">
      <w:bodyDiv w:val="1"/>
      <w:marLeft w:val="0"/>
      <w:marRight w:val="0"/>
      <w:marTop w:val="0"/>
      <w:marBottom w:val="0"/>
      <w:divBdr>
        <w:top w:val="none" w:sz="0" w:space="0" w:color="auto"/>
        <w:left w:val="none" w:sz="0" w:space="0" w:color="auto"/>
        <w:bottom w:val="none" w:sz="0" w:space="0" w:color="auto"/>
        <w:right w:val="none" w:sz="0" w:space="0" w:color="auto"/>
      </w:divBdr>
      <w:divsChild>
        <w:div w:id="224336176">
          <w:marLeft w:val="0"/>
          <w:marRight w:val="0"/>
          <w:marTop w:val="0"/>
          <w:marBottom w:val="0"/>
          <w:divBdr>
            <w:top w:val="none" w:sz="0" w:space="0" w:color="auto"/>
            <w:left w:val="none" w:sz="0" w:space="0" w:color="auto"/>
            <w:bottom w:val="none" w:sz="0" w:space="0" w:color="auto"/>
            <w:right w:val="none" w:sz="0" w:space="0" w:color="auto"/>
          </w:divBdr>
          <w:divsChild>
            <w:div w:id="729959243">
              <w:marLeft w:val="0"/>
              <w:marRight w:val="0"/>
              <w:marTop w:val="0"/>
              <w:marBottom w:val="0"/>
              <w:divBdr>
                <w:top w:val="none" w:sz="0" w:space="0" w:color="auto"/>
                <w:left w:val="none" w:sz="0" w:space="0" w:color="auto"/>
                <w:bottom w:val="none" w:sz="0" w:space="0" w:color="auto"/>
                <w:right w:val="none" w:sz="0" w:space="0" w:color="auto"/>
              </w:divBdr>
              <w:divsChild>
                <w:div w:id="239679379">
                  <w:marLeft w:val="0"/>
                  <w:marRight w:val="0"/>
                  <w:marTop w:val="0"/>
                  <w:marBottom w:val="0"/>
                  <w:divBdr>
                    <w:top w:val="none" w:sz="0" w:space="0" w:color="auto"/>
                    <w:left w:val="none" w:sz="0" w:space="0" w:color="auto"/>
                    <w:bottom w:val="none" w:sz="0" w:space="0" w:color="auto"/>
                    <w:right w:val="none" w:sz="0" w:space="0" w:color="auto"/>
                  </w:divBdr>
                  <w:divsChild>
                    <w:div w:id="788399024">
                      <w:marLeft w:val="0"/>
                      <w:marRight w:val="0"/>
                      <w:marTop w:val="45"/>
                      <w:marBottom w:val="0"/>
                      <w:divBdr>
                        <w:top w:val="none" w:sz="0" w:space="0" w:color="auto"/>
                        <w:left w:val="none" w:sz="0" w:space="0" w:color="auto"/>
                        <w:bottom w:val="none" w:sz="0" w:space="0" w:color="auto"/>
                        <w:right w:val="none" w:sz="0" w:space="0" w:color="auto"/>
                      </w:divBdr>
                      <w:divsChild>
                        <w:div w:id="218633085">
                          <w:marLeft w:val="0"/>
                          <w:marRight w:val="0"/>
                          <w:marTop w:val="0"/>
                          <w:marBottom w:val="0"/>
                          <w:divBdr>
                            <w:top w:val="none" w:sz="0" w:space="0" w:color="auto"/>
                            <w:left w:val="none" w:sz="0" w:space="0" w:color="auto"/>
                            <w:bottom w:val="none" w:sz="0" w:space="0" w:color="auto"/>
                            <w:right w:val="none" w:sz="0" w:space="0" w:color="auto"/>
                          </w:divBdr>
                          <w:divsChild>
                            <w:div w:id="1834099785">
                              <w:marLeft w:val="11850"/>
                              <w:marRight w:val="0"/>
                              <w:marTop w:val="0"/>
                              <w:marBottom w:val="0"/>
                              <w:divBdr>
                                <w:top w:val="none" w:sz="0" w:space="0" w:color="auto"/>
                                <w:left w:val="none" w:sz="0" w:space="0" w:color="auto"/>
                                <w:bottom w:val="none" w:sz="0" w:space="0" w:color="auto"/>
                                <w:right w:val="none" w:sz="0" w:space="0" w:color="auto"/>
                              </w:divBdr>
                              <w:divsChild>
                                <w:div w:id="736171699">
                                  <w:marLeft w:val="0"/>
                                  <w:marRight w:val="0"/>
                                  <w:marTop w:val="0"/>
                                  <w:marBottom w:val="0"/>
                                  <w:divBdr>
                                    <w:top w:val="none" w:sz="0" w:space="0" w:color="auto"/>
                                    <w:left w:val="none" w:sz="0" w:space="0" w:color="auto"/>
                                    <w:bottom w:val="none" w:sz="0" w:space="0" w:color="auto"/>
                                    <w:right w:val="none" w:sz="0" w:space="0" w:color="auto"/>
                                  </w:divBdr>
                                  <w:divsChild>
                                    <w:div w:id="1674450243">
                                      <w:marLeft w:val="0"/>
                                      <w:marRight w:val="0"/>
                                      <w:marTop w:val="0"/>
                                      <w:marBottom w:val="345"/>
                                      <w:divBdr>
                                        <w:top w:val="none" w:sz="0" w:space="0" w:color="auto"/>
                                        <w:left w:val="none" w:sz="0" w:space="0" w:color="auto"/>
                                        <w:bottom w:val="none" w:sz="0" w:space="0" w:color="auto"/>
                                        <w:right w:val="none" w:sz="0" w:space="0" w:color="auto"/>
                                      </w:divBdr>
                                      <w:divsChild>
                                        <w:div w:id="1445731149">
                                          <w:marLeft w:val="0"/>
                                          <w:marRight w:val="0"/>
                                          <w:marTop w:val="0"/>
                                          <w:marBottom w:val="0"/>
                                          <w:divBdr>
                                            <w:top w:val="none" w:sz="0" w:space="0" w:color="auto"/>
                                            <w:left w:val="none" w:sz="0" w:space="0" w:color="auto"/>
                                            <w:bottom w:val="none" w:sz="0" w:space="0" w:color="auto"/>
                                            <w:right w:val="none" w:sz="0" w:space="0" w:color="auto"/>
                                          </w:divBdr>
                                          <w:divsChild>
                                            <w:div w:id="1133989182">
                                              <w:marLeft w:val="0"/>
                                              <w:marRight w:val="0"/>
                                              <w:marTop w:val="0"/>
                                              <w:marBottom w:val="0"/>
                                              <w:divBdr>
                                                <w:top w:val="none" w:sz="0" w:space="0" w:color="auto"/>
                                                <w:left w:val="none" w:sz="0" w:space="0" w:color="auto"/>
                                                <w:bottom w:val="none" w:sz="0" w:space="0" w:color="auto"/>
                                                <w:right w:val="none" w:sz="0" w:space="0" w:color="auto"/>
                                              </w:divBdr>
                                              <w:divsChild>
                                                <w:div w:id="532618594">
                                                  <w:marLeft w:val="0"/>
                                                  <w:marRight w:val="0"/>
                                                  <w:marTop w:val="0"/>
                                                  <w:marBottom w:val="0"/>
                                                  <w:divBdr>
                                                    <w:top w:val="none" w:sz="0" w:space="0" w:color="auto"/>
                                                    <w:left w:val="none" w:sz="0" w:space="0" w:color="auto"/>
                                                    <w:bottom w:val="none" w:sz="0" w:space="0" w:color="auto"/>
                                                    <w:right w:val="none" w:sz="0" w:space="0" w:color="auto"/>
                                                  </w:divBdr>
                                                  <w:divsChild>
                                                    <w:div w:id="1027561302">
                                                      <w:marLeft w:val="0"/>
                                                      <w:marRight w:val="0"/>
                                                      <w:marTop w:val="0"/>
                                                      <w:marBottom w:val="0"/>
                                                      <w:divBdr>
                                                        <w:top w:val="none" w:sz="0" w:space="0" w:color="auto"/>
                                                        <w:left w:val="none" w:sz="0" w:space="0" w:color="auto"/>
                                                        <w:bottom w:val="none" w:sz="0" w:space="0" w:color="auto"/>
                                                        <w:right w:val="none" w:sz="0" w:space="0" w:color="auto"/>
                                                      </w:divBdr>
                                                      <w:divsChild>
                                                        <w:div w:id="1531332775">
                                                          <w:marLeft w:val="0"/>
                                                          <w:marRight w:val="0"/>
                                                          <w:marTop w:val="0"/>
                                                          <w:marBottom w:val="0"/>
                                                          <w:divBdr>
                                                            <w:top w:val="none" w:sz="0" w:space="0" w:color="auto"/>
                                                            <w:left w:val="none" w:sz="0" w:space="0" w:color="auto"/>
                                                            <w:bottom w:val="none" w:sz="0" w:space="0" w:color="auto"/>
                                                            <w:right w:val="none" w:sz="0" w:space="0" w:color="auto"/>
                                                          </w:divBdr>
                                                          <w:divsChild>
                                                            <w:div w:id="414672011">
                                                              <w:marLeft w:val="0"/>
                                                              <w:marRight w:val="0"/>
                                                              <w:marTop w:val="0"/>
                                                              <w:marBottom w:val="0"/>
                                                              <w:divBdr>
                                                                <w:top w:val="none" w:sz="0" w:space="0" w:color="auto"/>
                                                                <w:left w:val="none" w:sz="0" w:space="0" w:color="auto"/>
                                                                <w:bottom w:val="none" w:sz="0" w:space="0" w:color="auto"/>
                                                                <w:right w:val="none" w:sz="0" w:space="0" w:color="auto"/>
                                                              </w:divBdr>
                                                              <w:divsChild>
                                                                <w:div w:id="1211847586">
                                                                  <w:marLeft w:val="0"/>
                                                                  <w:marRight w:val="0"/>
                                                                  <w:marTop w:val="0"/>
                                                                  <w:marBottom w:val="0"/>
                                                                  <w:divBdr>
                                                                    <w:top w:val="none" w:sz="0" w:space="0" w:color="auto"/>
                                                                    <w:left w:val="none" w:sz="0" w:space="0" w:color="auto"/>
                                                                    <w:bottom w:val="none" w:sz="0" w:space="0" w:color="auto"/>
                                                                    <w:right w:val="none" w:sz="0" w:space="0" w:color="auto"/>
                                                                  </w:divBdr>
                                                                  <w:divsChild>
                                                                    <w:div w:id="1923953019">
                                                                      <w:marLeft w:val="0"/>
                                                                      <w:marRight w:val="0"/>
                                                                      <w:marTop w:val="0"/>
                                                                      <w:marBottom w:val="0"/>
                                                                      <w:divBdr>
                                                                        <w:top w:val="none" w:sz="0" w:space="0" w:color="auto"/>
                                                                        <w:left w:val="none" w:sz="0" w:space="0" w:color="auto"/>
                                                                        <w:bottom w:val="none" w:sz="0" w:space="0" w:color="auto"/>
                                                                        <w:right w:val="none" w:sz="0" w:space="0" w:color="auto"/>
                                                                      </w:divBdr>
                                                                      <w:divsChild>
                                                                        <w:div w:id="1729380453">
                                                                          <w:marLeft w:val="0"/>
                                                                          <w:marRight w:val="0"/>
                                                                          <w:marTop w:val="0"/>
                                                                          <w:marBottom w:val="0"/>
                                                                          <w:divBdr>
                                                                            <w:top w:val="none" w:sz="0" w:space="0" w:color="auto"/>
                                                                            <w:left w:val="none" w:sz="0" w:space="0" w:color="auto"/>
                                                                            <w:bottom w:val="none" w:sz="0" w:space="0" w:color="auto"/>
                                                                            <w:right w:val="none" w:sz="0" w:space="0" w:color="auto"/>
                                                                          </w:divBdr>
                                                                          <w:divsChild>
                                                                            <w:div w:id="1458136517">
                                                                              <w:marLeft w:val="0"/>
                                                                              <w:marRight w:val="0"/>
                                                                              <w:marTop w:val="0"/>
                                                                              <w:marBottom w:val="0"/>
                                                                              <w:divBdr>
                                                                                <w:top w:val="none" w:sz="0" w:space="0" w:color="auto"/>
                                                                                <w:left w:val="none" w:sz="0" w:space="0" w:color="auto"/>
                                                                                <w:bottom w:val="none" w:sz="0" w:space="0" w:color="auto"/>
                                                                                <w:right w:val="none" w:sz="0" w:space="0" w:color="auto"/>
                                                                              </w:divBdr>
                                                                              <w:divsChild>
                                                                                <w:div w:id="160237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5427452">
      <w:bodyDiv w:val="1"/>
      <w:marLeft w:val="0"/>
      <w:marRight w:val="0"/>
      <w:marTop w:val="0"/>
      <w:marBottom w:val="0"/>
      <w:divBdr>
        <w:top w:val="none" w:sz="0" w:space="0" w:color="auto"/>
        <w:left w:val="none" w:sz="0" w:space="0" w:color="auto"/>
        <w:bottom w:val="none" w:sz="0" w:space="0" w:color="auto"/>
        <w:right w:val="none" w:sz="0" w:space="0" w:color="auto"/>
      </w:divBdr>
    </w:div>
    <w:div w:id="1652908062">
      <w:bodyDiv w:val="1"/>
      <w:marLeft w:val="0"/>
      <w:marRight w:val="0"/>
      <w:marTop w:val="0"/>
      <w:marBottom w:val="0"/>
      <w:divBdr>
        <w:top w:val="none" w:sz="0" w:space="0" w:color="auto"/>
        <w:left w:val="none" w:sz="0" w:space="0" w:color="auto"/>
        <w:bottom w:val="none" w:sz="0" w:space="0" w:color="auto"/>
        <w:right w:val="none" w:sz="0" w:space="0" w:color="auto"/>
      </w:divBdr>
    </w:div>
    <w:div w:id="1660766306">
      <w:bodyDiv w:val="1"/>
      <w:marLeft w:val="0"/>
      <w:marRight w:val="0"/>
      <w:marTop w:val="0"/>
      <w:marBottom w:val="0"/>
      <w:divBdr>
        <w:top w:val="none" w:sz="0" w:space="0" w:color="auto"/>
        <w:left w:val="none" w:sz="0" w:space="0" w:color="auto"/>
        <w:bottom w:val="none" w:sz="0" w:space="0" w:color="auto"/>
        <w:right w:val="none" w:sz="0" w:space="0" w:color="auto"/>
      </w:divBdr>
    </w:div>
    <w:div w:id="1706715358">
      <w:bodyDiv w:val="1"/>
      <w:marLeft w:val="0"/>
      <w:marRight w:val="0"/>
      <w:marTop w:val="0"/>
      <w:marBottom w:val="0"/>
      <w:divBdr>
        <w:top w:val="none" w:sz="0" w:space="0" w:color="auto"/>
        <w:left w:val="none" w:sz="0" w:space="0" w:color="auto"/>
        <w:bottom w:val="none" w:sz="0" w:space="0" w:color="auto"/>
        <w:right w:val="none" w:sz="0" w:space="0" w:color="auto"/>
      </w:divBdr>
    </w:div>
    <w:div w:id="1713580785">
      <w:bodyDiv w:val="1"/>
      <w:marLeft w:val="0"/>
      <w:marRight w:val="0"/>
      <w:marTop w:val="0"/>
      <w:marBottom w:val="0"/>
      <w:divBdr>
        <w:top w:val="none" w:sz="0" w:space="0" w:color="auto"/>
        <w:left w:val="none" w:sz="0" w:space="0" w:color="auto"/>
        <w:bottom w:val="none" w:sz="0" w:space="0" w:color="auto"/>
        <w:right w:val="none" w:sz="0" w:space="0" w:color="auto"/>
      </w:divBdr>
    </w:div>
    <w:div w:id="1720471064">
      <w:bodyDiv w:val="1"/>
      <w:marLeft w:val="0"/>
      <w:marRight w:val="0"/>
      <w:marTop w:val="0"/>
      <w:marBottom w:val="0"/>
      <w:divBdr>
        <w:top w:val="none" w:sz="0" w:space="0" w:color="auto"/>
        <w:left w:val="none" w:sz="0" w:space="0" w:color="auto"/>
        <w:bottom w:val="none" w:sz="0" w:space="0" w:color="auto"/>
        <w:right w:val="none" w:sz="0" w:space="0" w:color="auto"/>
      </w:divBdr>
    </w:div>
    <w:div w:id="1724064750">
      <w:bodyDiv w:val="1"/>
      <w:marLeft w:val="0"/>
      <w:marRight w:val="0"/>
      <w:marTop w:val="0"/>
      <w:marBottom w:val="0"/>
      <w:divBdr>
        <w:top w:val="none" w:sz="0" w:space="0" w:color="auto"/>
        <w:left w:val="none" w:sz="0" w:space="0" w:color="auto"/>
        <w:bottom w:val="none" w:sz="0" w:space="0" w:color="auto"/>
        <w:right w:val="none" w:sz="0" w:space="0" w:color="auto"/>
      </w:divBdr>
    </w:div>
    <w:div w:id="1775586709">
      <w:bodyDiv w:val="1"/>
      <w:marLeft w:val="0"/>
      <w:marRight w:val="0"/>
      <w:marTop w:val="0"/>
      <w:marBottom w:val="0"/>
      <w:divBdr>
        <w:top w:val="none" w:sz="0" w:space="0" w:color="auto"/>
        <w:left w:val="none" w:sz="0" w:space="0" w:color="auto"/>
        <w:bottom w:val="none" w:sz="0" w:space="0" w:color="auto"/>
        <w:right w:val="none" w:sz="0" w:space="0" w:color="auto"/>
      </w:divBdr>
    </w:div>
    <w:div w:id="1889023412">
      <w:bodyDiv w:val="1"/>
      <w:marLeft w:val="0"/>
      <w:marRight w:val="0"/>
      <w:marTop w:val="0"/>
      <w:marBottom w:val="0"/>
      <w:divBdr>
        <w:top w:val="none" w:sz="0" w:space="0" w:color="auto"/>
        <w:left w:val="none" w:sz="0" w:space="0" w:color="auto"/>
        <w:bottom w:val="none" w:sz="0" w:space="0" w:color="auto"/>
        <w:right w:val="none" w:sz="0" w:space="0" w:color="auto"/>
      </w:divBdr>
      <w:divsChild>
        <w:div w:id="19550276">
          <w:marLeft w:val="0"/>
          <w:marRight w:val="0"/>
          <w:marTop w:val="0"/>
          <w:marBottom w:val="0"/>
          <w:divBdr>
            <w:top w:val="none" w:sz="0" w:space="0" w:color="auto"/>
            <w:left w:val="none" w:sz="0" w:space="0" w:color="auto"/>
            <w:bottom w:val="none" w:sz="0" w:space="0" w:color="auto"/>
            <w:right w:val="none" w:sz="0" w:space="0" w:color="auto"/>
          </w:divBdr>
          <w:divsChild>
            <w:div w:id="2029600976">
              <w:marLeft w:val="0"/>
              <w:marRight w:val="0"/>
              <w:marTop w:val="100"/>
              <w:marBottom w:val="100"/>
              <w:divBdr>
                <w:top w:val="none" w:sz="0" w:space="0" w:color="auto"/>
                <w:left w:val="none" w:sz="0" w:space="0" w:color="auto"/>
                <w:bottom w:val="none" w:sz="0" w:space="0" w:color="auto"/>
                <w:right w:val="none" w:sz="0" w:space="0" w:color="auto"/>
              </w:divBdr>
              <w:divsChild>
                <w:div w:id="1719814302">
                  <w:marLeft w:val="0"/>
                  <w:marRight w:val="0"/>
                  <w:marTop w:val="45"/>
                  <w:marBottom w:val="120"/>
                  <w:divBdr>
                    <w:top w:val="none" w:sz="0" w:space="0" w:color="auto"/>
                    <w:left w:val="none" w:sz="0" w:space="0" w:color="auto"/>
                    <w:bottom w:val="none" w:sz="0" w:space="0" w:color="auto"/>
                    <w:right w:val="none" w:sz="0" w:space="0" w:color="auto"/>
                  </w:divBdr>
                  <w:divsChild>
                    <w:div w:id="1559560201">
                      <w:marLeft w:val="0"/>
                      <w:marRight w:val="0"/>
                      <w:marTop w:val="0"/>
                      <w:marBottom w:val="0"/>
                      <w:divBdr>
                        <w:top w:val="none" w:sz="0" w:space="0" w:color="auto"/>
                        <w:left w:val="none" w:sz="0" w:space="0" w:color="auto"/>
                        <w:bottom w:val="none" w:sz="0" w:space="0" w:color="auto"/>
                        <w:right w:val="none" w:sz="0" w:space="0" w:color="auto"/>
                      </w:divBdr>
                      <w:divsChild>
                        <w:div w:id="316811823">
                          <w:marLeft w:val="0"/>
                          <w:marRight w:val="0"/>
                          <w:marTop w:val="0"/>
                          <w:marBottom w:val="0"/>
                          <w:divBdr>
                            <w:top w:val="none" w:sz="0" w:space="0" w:color="auto"/>
                            <w:left w:val="none" w:sz="0" w:space="0" w:color="auto"/>
                            <w:bottom w:val="none" w:sz="0" w:space="0" w:color="auto"/>
                            <w:right w:val="none" w:sz="0" w:space="0" w:color="auto"/>
                          </w:divBdr>
                          <w:divsChild>
                            <w:div w:id="875040953">
                              <w:marLeft w:val="0"/>
                              <w:marRight w:val="0"/>
                              <w:marTop w:val="0"/>
                              <w:marBottom w:val="120"/>
                              <w:divBdr>
                                <w:top w:val="single" w:sz="12" w:space="0" w:color="4EA3E9"/>
                                <w:left w:val="none" w:sz="0" w:space="0" w:color="auto"/>
                                <w:bottom w:val="single" w:sz="12" w:space="0" w:color="4EA3E9"/>
                                <w:right w:val="none" w:sz="0" w:space="0" w:color="auto"/>
                              </w:divBdr>
                              <w:divsChild>
                                <w:div w:id="956761193">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9801970">
      <w:bodyDiv w:val="1"/>
      <w:marLeft w:val="0"/>
      <w:marRight w:val="0"/>
      <w:marTop w:val="0"/>
      <w:marBottom w:val="0"/>
      <w:divBdr>
        <w:top w:val="none" w:sz="0" w:space="0" w:color="auto"/>
        <w:left w:val="none" w:sz="0" w:space="0" w:color="auto"/>
        <w:bottom w:val="none" w:sz="0" w:space="0" w:color="auto"/>
        <w:right w:val="none" w:sz="0" w:space="0" w:color="auto"/>
      </w:divBdr>
    </w:div>
    <w:div w:id="1903132155">
      <w:bodyDiv w:val="1"/>
      <w:marLeft w:val="0"/>
      <w:marRight w:val="0"/>
      <w:marTop w:val="0"/>
      <w:marBottom w:val="0"/>
      <w:divBdr>
        <w:top w:val="none" w:sz="0" w:space="0" w:color="auto"/>
        <w:left w:val="none" w:sz="0" w:space="0" w:color="auto"/>
        <w:bottom w:val="none" w:sz="0" w:space="0" w:color="auto"/>
        <w:right w:val="none" w:sz="0" w:space="0" w:color="auto"/>
      </w:divBdr>
    </w:div>
    <w:div w:id="1911843677">
      <w:bodyDiv w:val="1"/>
      <w:marLeft w:val="0"/>
      <w:marRight w:val="0"/>
      <w:marTop w:val="0"/>
      <w:marBottom w:val="0"/>
      <w:divBdr>
        <w:top w:val="none" w:sz="0" w:space="0" w:color="auto"/>
        <w:left w:val="none" w:sz="0" w:space="0" w:color="auto"/>
        <w:bottom w:val="none" w:sz="0" w:space="0" w:color="auto"/>
        <w:right w:val="none" w:sz="0" w:space="0" w:color="auto"/>
      </w:divBdr>
    </w:div>
    <w:div w:id="1917208139">
      <w:bodyDiv w:val="1"/>
      <w:marLeft w:val="0"/>
      <w:marRight w:val="0"/>
      <w:marTop w:val="0"/>
      <w:marBottom w:val="0"/>
      <w:divBdr>
        <w:top w:val="none" w:sz="0" w:space="0" w:color="auto"/>
        <w:left w:val="none" w:sz="0" w:space="0" w:color="auto"/>
        <w:bottom w:val="none" w:sz="0" w:space="0" w:color="auto"/>
        <w:right w:val="none" w:sz="0" w:space="0" w:color="auto"/>
      </w:divBdr>
    </w:div>
    <w:div w:id="1940865631">
      <w:bodyDiv w:val="1"/>
      <w:marLeft w:val="0"/>
      <w:marRight w:val="0"/>
      <w:marTop w:val="0"/>
      <w:marBottom w:val="0"/>
      <w:divBdr>
        <w:top w:val="none" w:sz="0" w:space="0" w:color="auto"/>
        <w:left w:val="none" w:sz="0" w:space="0" w:color="auto"/>
        <w:bottom w:val="none" w:sz="0" w:space="0" w:color="auto"/>
        <w:right w:val="none" w:sz="0" w:space="0" w:color="auto"/>
      </w:divBdr>
      <w:divsChild>
        <w:div w:id="1284774803">
          <w:marLeft w:val="0"/>
          <w:marRight w:val="0"/>
          <w:marTop w:val="0"/>
          <w:marBottom w:val="0"/>
          <w:divBdr>
            <w:top w:val="none" w:sz="0" w:space="0" w:color="auto"/>
            <w:left w:val="none" w:sz="0" w:space="0" w:color="auto"/>
            <w:bottom w:val="none" w:sz="0" w:space="0" w:color="auto"/>
            <w:right w:val="none" w:sz="0" w:space="0" w:color="auto"/>
          </w:divBdr>
          <w:divsChild>
            <w:div w:id="988284713">
              <w:marLeft w:val="0"/>
              <w:marRight w:val="0"/>
              <w:marTop w:val="0"/>
              <w:marBottom w:val="0"/>
              <w:divBdr>
                <w:top w:val="none" w:sz="0" w:space="0" w:color="auto"/>
                <w:left w:val="none" w:sz="0" w:space="0" w:color="auto"/>
                <w:bottom w:val="none" w:sz="0" w:space="0" w:color="auto"/>
                <w:right w:val="none" w:sz="0" w:space="0" w:color="auto"/>
              </w:divBdr>
              <w:divsChild>
                <w:div w:id="659886563">
                  <w:marLeft w:val="0"/>
                  <w:marRight w:val="0"/>
                  <w:marTop w:val="0"/>
                  <w:marBottom w:val="0"/>
                  <w:divBdr>
                    <w:top w:val="none" w:sz="0" w:space="0" w:color="auto"/>
                    <w:left w:val="none" w:sz="0" w:space="0" w:color="auto"/>
                    <w:bottom w:val="none" w:sz="0" w:space="0" w:color="auto"/>
                    <w:right w:val="none" w:sz="0" w:space="0" w:color="auto"/>
                  </w:divBdr>
                  <w:divsChild>
                    <w:div w:id="221604876">
                      <w:marLeft w:val="0"/>
                      <w:marRight w:val="0"/>
                      <w:marTop w:val="0"/>
                      <w:marBottom w:val="0"/>
                      <w:divBdr>
                        <w:top w:val="none" w:sz="0" w:space="0" w:color="auto"/>
                        <w:left w:val="none" w:sz="0" w:space="0" w:color="auto"/>
                        <w:bottom w:val="none" w:sz="0" w:space="0" w:color="auto"/>
                        <w:right w:val="none" w:sz="0" w:space="0" w:color="auto"/>
                      </w:divBdr>
                      <w:divsChild>
                        <w:div w:id="1284776119">
                          <w:marLeft w:val="0"/>
                          <w:marRight w:val="0"/>
                          <w:marTop w:val="0"/>
                          <w:marBottom w:val="0"/>
                          <w:divBdr>
                            <w:top w:val="none" w:sz="0" w:space="0" w:color="auto"/>
                            <w:left w:val="none" w:sz="0" w:space="0" w:color="auto"/>
                            <w:bottom w:val="none" w:sz="0" w:space="0" w:color="auto"/>
                            <w:right w:val="none" w:sz="0" w:space="0" w:color="auto"/>
                          </w:divBdr>
                          <w:divsChild>
                            <w:div w:id="233853753">
                              <w:marLeft w:val="0"/>
                              <w:marRight w:val="0"/>
                              <w:marTop w:val="0"/>
                              <w:marBottom w:val="0"/>
                              <w:divBdr>
                                <w:top w:val="none" w:sz="0" w:space="0" w:color="auto"/>
                                <w:left w:val="none" w:sz="0" w:space="0" w:color="auto"/>
                                <w:bottom w:val="none" w:sz="0" w:space="0" w:color="auto"/>
                                <w:right w:val="none" w:sz="0" w:space="0" w:color="auto"/>
                              </w:divBdr>
                              <w:divsChild>
                                <w:div w:id="424810298">
                                  <w:marLeft w:val="0"/>
                                  <w:marRight w:val="0"/>
                                  <w:marTop w:val="0"/>
                                  <w:marBottom w:val="0"/>
                                  <w:divBdr>
                                    <w:top w:val="none" w:sz="0" w:space="0" w:color="auto"/>
                                    <w:left w:val="none" w:sz="0" w:space="0" w:color="auto"/>
                                    <w:bottom w:val="none" w:sz="0" w:space="0" w:color="auto"/>
                                    <w:right w:val="none" w:sz="0" w:space="0" w:color="auto"/>
                                  </w:divBdr>
                                  <w:divsChild>
                                    <w:div w:id="1933708356">
                                      <w:marLeft w:val="0"/>
                                      <w:marRight w:val="0"/>
                                      <w:marTop w:val="0"/>
                                      <w:marBottom w:val="0"/>
                                      <w:divBdr>
                                        <w:top w:val="none" w:sz="0" w:space="0" w:color="auto"/>
                                        <w:left w:val="none" w:sz="0" w:space="0" w:color="auto"/>
                                        <w:bottom w:val="none" w:sz="0" w:space="0" w:color="auto"/>
                                        <w:right w:val="none" w:sz="0" w:space="0" w:color="auto"/>
                                      </w:divBdr>
                                      <w:divsChild>
                                        <w:div w:id="1131820769">
                                          <w:marLeft w:val="0"/>
                                          <w:marRight w:val="0"/>
                                          <w:marTop w:val="0"/>
                                          <w:marBottom w:val="0"/>
                                          <w:divBdr>
                                            <w:top w:val="none" w:sz="0" w:space="0" w:color="auto"/>
                                            <w:left w:val="none" w:sz="0" w:space="0" w:color="auto"/>
                                            <w:bottom w:val="none" w:sz="0" w:space="0" w:color="auto"/>
                                            <w:right w:val="none" w:sz="0" w:space="0" w:color="auto"/>
                                          </w:divBdr>
                                          <w:divsChild>
                                            <w:div w:id="354961541">
                                              <w:marLeft w:val="-4200"/>
                                              <w:marRight w:val="0"/>
                                              <w:marTop w:val="0"/>
                                              <w:marBottom w:val="0"/>
                                              <w:divBdr>
                                                <w:top w:val="none" w:sz="0" w:space="0" w:color="auto"/>
                                                <w:left w:val="none" w:sz="0" w:space="0" w:color="auto"/>
                                                <w:bottom w:val="none" w:sz="0" w:space="0" w:color="auto"/>
                                                <w:right w:val="none" w:sz="0" w:space="0" w:color="auto"/>
                                              </w:divBdr>
                                              <w:divsChild>
                                                <w:div w:id="2017415217">
                                                  <w:marLeft w:val="0"/>
                                                  <w:marRight w:val="0"/>
                                                  <w:marTop w:val="0"/>
                                                  <w:marBottom w:val="0"/>
                                                  <w:divBdr>
                                                    <w:top w:val="none" w:sz="0" w:space="0" w:color="auto"/>
                                                    <w:left w:val="none" w:sz="0" w:space="0" w:color="auto"/>
                                                    <w:bottom w:val="none" w:sz="0" w:space="0" w:color="auto"/>
                                                    <w:right w:val="none" w:sz="0" w:space="0" w:color="auto"/>
                                                  </w:divBdr>
                                                  <w:divsChild>
                                                    <w:div w:id="1661418787">
                                                      <w:marLeft w:val="0"/>
                                                      <w:marRight w:val="0"/>
                                                      <w:marTop w:val="0"/>
                                                      <w:marBottom w:val="0"/>
                                                      <w:divBdr>
                                                        <w:top w:val="none" w:sz="0" w:space="0" w:color="auto"/>
                                                        <w:left w:val="none" w:sz="0" w:space="0" w:color="auto"/>
                                                        <w:bottom w:val="none" w:sz="0" w:space="0" w:color="auto"/>
                                                        <w:right w:val="none" w:sz="0" w:space="0" w:color="auto"/>
                                                      </w:divBdr>
                                                      <w:divsChild>
                                                        <w:div w:id="2057897897">
                                                          <w:marLeft w:val="4200"/>
                                                          <w:marRight w:val="0"/>
                                                          <w:marTop w:val="0"/>
                                                          <w:marBottom w:val="0"/>
                                                          <w:divBdr>
                                                            <w:top w:val="none" w:sz="0" w:space="0" w:color="auto"/>
                                                            <w:left w:val="none" w:sz="0" w:space="0" w:color="auto"/>
                                                            <w:bottom w:val="none" w:sz="0" w:space="0" w:color="auto"/>
                                                            <w:right w:val="none" w:sz="0" w:space="0" w:color="auto"/>
                                                          </w:divBdr>
                                                          <w:divsChild>
                                                            <w:div w:id="170918295">
                                                              <w:marLeft w:val="0"/>
                                                              <w:marRight w:val="0"/>
                                                              <w:marTop w:val="0"/>
                                                              <w:marBottom w:val="0"/>
                                                              <w:divBdr>
                                                                <w:top w:val="none" w:sz="0" w:space="0" w:color="auto"/>
                                                                <w:left w:val="none" w:sz="0" w:space="0" w:color="auto"/>
                                                                <w:bottom w:val="none" w:sz="0" w:space="0" w:color="auto"/>
                                                                <w:right w:val="none" w:sz="0" w:space="0" w:color="auto"/>
                                                              </w:divBdr>
                                                              <w:divsChild>
                                                                <w:div w:id="584538318">
                                                                  <w:marLeft w:val="0"/>
                                                                  <w:marRight w:val="0"/>
                                                                  <w:marTop w:val="0"/>
                                                                  <w:marBottom w:val="0"/>
                                                                  <w:divBdr>
                                                                    <w:top w:val="none" w:sz="0" w:space="0" w:color="auto"/>
                                                                    <w:left w:val="none" w:sz="0" w:space="0" w:color="auto"/>
                                                                    <w:bottom w:val="none" w:sz="0" w:space="0" w:color="auto"/>
                                                                    <w:right w:val="none" w:sz="0" w:space="0" w:color="auto"/>
                                                                  </w:divBdr>
                                                                  <w:divsChild>
                                                                    <w:div w:id="429857221">
                                                                      <w:marLeft w:val="0"/>
                                                                      <w:marRight w:val="0"/>
                                                                      <w:marTop w:val="0"/>
                                                                      <w:marBottom w:val="0"/>
                                                                      <w:divBdr>
                                                                        <w:top w:val="none" w:sz="0" w:space="0" w:color="auto"/>
                                                                        <w:left w:val="none" w:sz="0" w:space="0" w:color="auto"/>
                                                                        <w:bottom w:val="none" w:sz="0" w:space="0" w:color="auto"/>
                                                                        <w:right w:val="none" w:sz="0" w:space="0" w:color="auto"/>
                                                                      </w:divBdr>
                                                                      <w:divsChild>
                                                                        <w:div w:id="1584025788">
                                                                          <w:marLeft w:val="150"/>
                                                                          <w:marRight w:val="0"/>
                                                                          <w:marTop w:val="0"/>
                                                                          <w:marBottom w:val="0"/>
                                                                          <w:divBdr>
                                                                            <w:top w:val="none" w:sz="0" w:space="0" w:color="auto"/>
                                                                            <w:left w:val="none" w:sz="0" w:space="0" w:color="auto"/>
                                                                            <w:bottom w:val="none" w:sz="0" w:space="0" w:color="auto"/>
                                                                            <w:right w:val="none" w:sz="0" w:space="0" w:color="auto"/>
                                                                          </w:divBdr>
                                                                          <w:divsChild>
                                                                            <w:div w:id="74127862">
                                                                              <w:marLeft w:val="0"/>
                                                                              <w:marRight w:val="0"/>
                                                                              <w:marTop w:val="0"/>
                                                                              <w:marBottom w:val="0"/>
                                                                              <w:divBdr>
                                                                                <w:top w:val="none" w:sz="0" w:space="0" w:color="auto"/>
                                                                                <w:left w:val="none" w:sz="0" w:space="0" w:color="auto"/>
                                                                                <w:bottom w:val="none" w:sz="0" w:space="0" w:color="auto"/>
                                                                                <w:right w:val="none" w:sz="0" w:space="0" w:color="auto"/>
                                                                              </w:divBdr>
                                                                            </w:div>
                                                                            <w:div w:id="201405373">
                                                                              <w:marLeft w:val="0"/>
                                                                              <w:marRight w:val="90"/>
                                                                              <w:marTop w:val="0"/>
                                                                              <w:marBottom w:val="0"/>
                                                                              <w:divBdr>
                                                                                <w:top w:val="none" w:sz="0" w:space="0" w:color="auto"/>
                                                                                <w:left w:val="none" w:sz="0" w:space="0" w:color="auto"/>
                                                                                <w:bottom w:val="none" w:sz="0" w:space="0" w:color="auto"/>
                                                                                <w:right w:val="none" w:sz="0" w:space="0" w:color="auto"/>
                                                                              </w:divBdr>
                                                                            </w:div>
                                                                          </w:divsChild>
                                                                        </w:div>
                                                                        <w:div w:id="1375495673">
                                                                          <w:marLeft w:val="0"/>
                                                                          <w:marRight w:val="0"/>
                                                                          <w:marTop w:val="0"/>
                                                                          <w:marBottom w:val="0"/>
                                                                          <w:divBdr>
                                                                            <w:top w:val="none" w:sz="0" w:space="0" w:color="auto"/>
                                                                            <w:left w:val="none" w:sz="0" w:space="0" w:color="auto"/>
                                                                            <w:bottom w:val="none" w:sz="0" w:space="0" w:color="auto"/>
                                                                            <w:right w:val="none" w:sz="0" w:space="0" w:color="auto"/>
                                                                          </w:divBdr>
                                                                          <w:divsChild>
                                                                            <w:div w:id="833911932">
                                                                              <w:marLeft w:val="0"/>
                                                                              <w:marRight w:val="0"/>
                                                                              <w:marTop w:val="0"/>
                                                                              <w:marBottom w:val="0"/>
                                                                              <w:divBdr>
                                                                                <w:top w:val="none" w:sz="0" w:space="0" w:color="auto"/>
                                                                                <w:left w:val="none" w:sz="0" w:space="0" w:color="auto"/>
                                                                                <w:bottom w:val="none" w:sz="0" w:space="0" w:color="auto"/>
                                                                                <w:right w:val="none" w:sz="0" w:space="0" w:color="auto"/>
                                                                              </w:divBdr>
                                                                              <w:divsChild>
                                                                                <w:div w:id="1665935380">
                                                                                  <w:marLeft w:val="0"/>
                                                                                  <w:marRight w:val="0"/>
                                                                                  <w:marTop w:val="0"/>
                                                                                  <w:marBottom w:val="0"/>
                                                                                  <w:divBdr>
                                                                                    <w:top w:val="none" w:sz="0" w:space="0" w:color="auto"/>
                                                                                    <w:left w:val="none" w:sz="0" w:space="0" w:color="auto"/>
                                                                                    <w:bottom w:val="none" w:sz="0" w:space="0" w:color="auto"/>
                                                                                    <w:right w:val="none" w:sz="0" w:space="0" w:color="auto"/>
                                                                                  </w:divBdr>
                                                                                </w:div>
                                                                                <w:div w:id="926115982">
                                                                                  <w:marLeft w:val="0"/>
                                                                                  <w:marRight w:val="0"/>
                                                                                  <w:marTop w:val="0"/>
                                                                                  <w:marBottom w:val="0"/>
                                                                                  <w:divBdr>
                                                                                    <w:top w:val="none" w:sz="0" w:space="0" w:color="auto"/>
                                                                                    <w:left w:val="none" w:sz="0" w:space="0" w:color="auto"/>
                                                                                    <w:bottom w:val="none" w:sz="0" w:space="0" w:color="auto"/>
                                                                                    <w:right w:val="none" w:sz="0" w:space="0" w:color="auto"/>
                                                                                  </w:divBdr>
                                                                                  <w:divsChild>
                                                                                    <w:div w:id="1971283630">
                                                                                      <w:marLeft w:val="0"/>
                                                                                      <w:marRight w:val="0"/>
                                                                                      <w:marTop w:val="0"/>
                                                                                      <w:marBottom w:val="0"/>
                                                                                      <w:divBdr>
                                                                                        <w:top w:val="none" w:sz="0" w:space="0" w:color="auto"/>
                                                                                        <w:left w:val="none" w:sz="0" w:space="0" w:color="auto"/>
                                                                                        <w:bottom w:val="none" w:sz="0" w:space="0" w:color="auto"/>
                                                                                        <w:right w:val="none" w:sz="0" w:space="0" w:color="auto"/>
                                                                                      </w:divBdr>
                                                                                      <w:divsChild>
                                                                                        <w:div w:id="1799256599">
                                                                                          <w:marLeft w:val="0"/>
                                                                                          <w:marRight w:val="0"/>
                                                                                          <w:marTop w:val="0"/>
                                                                                          <w:marBottom w:val="0"/>
                                                                                          <w:divBdr>
                                                                                            <w:top w:val="none" w:sz="0" w:space="0" w:color="auto"/>
                                                                                            <w:left w:val="none" w:sz="0" w:space="0" w:color="auto"/>
                                                                                            <w:bottom w:val="none" w:sz="0" w:space="0" w:color="auto"/>
                                                                                            <w:right w:val="none" w:sz="0" w:space="0" w:color="auto"/>
                                                                                          </w:divBdr>
                                                                                          <w:divsChild>
                                                                                            <w:div w:id="74672804">
                                                                                              <w:marLeft w:val="0"/>
                                                                                              <w:marRight w:val="0"/>
                                                                                              <w:marTop w:val="0"/>
                                                                                              <w:marBottom w:val="0"/>
                                                                                              <w:divBdr>
                                                                                                <w:top w:val="none" w:sz="0" w:space="0" w:color="auto"/>
                                                                                                <w:left w:val="none" w:sz="0" w:space="0" w:color="auto"/>
                                                                                                <w:bottom w:val="none" w:sz="0" w:space="0" w:color="auto"/>
                                                                                                <w:right w:val="none" w:sz="0" w:space="0" w:color="auto"/>
                                                                                              </w:divBdr>
                                                                                              <w:divsChild>
                                                                                                <w:div w:id="1709144746">
                                                                                                  <w:marLeft w:val="0"/>
                                                                                                  <w:marRight w:val="0"/>
                                                                                                  <w:marTop w:val="0"/>
                                                                                                  <w:marBottom w:val="0"/>
                                                                                                  <w:divBdr>
                                                                                                    <w:top w:val="none" w:sz="0" w:space="0" w:color="auto"/>
                                                                                                    <w:left w:val="none" w:sz="0" w:space="0" w:color="auto"/>
                                                                                                    <w:bottom w:val="none" w:sz="0" w:space="0" w:color="auto"/>
                                                                                                    <w:right w:val="none" w:sz="0" w:space="0" w:color="auto"/>
                                                                                                  </w:divBdr>
                                                                                                  <w:divsChild>
                                                                                                    <w:div w:id="59167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499966">
                                                                                              <w:marLeft w:val="0"/>
                                                                                              <w:marRight w:val="0"/>
                                                                                              <w:marTop w:val="0"/>
                                                                                              <w:marBottom w:val="0"/>
                                                                                              <w:divBdr>
                                                                                                <w:top w:val="none" w:sz="0" w:space="0" w:color="auto"/>
                                                                                                <w:left w:val="none" w:sz="0" w:space="0" w:color="auto"/>
                                                                                                <w:bottom w:val="none" w:sz="0" w:space="0" w:color="auto"/>
                                                                                                <w:right w:val="none" w:sz="0" w:space="0" w:color="auto"/>
                                                                                              </w:divBdr>
                                                                                              <w:divsChild>
                                                                                                <w:div w:id="1389912168">
                                                                                                  <w:marLeft w:val="0"/>
                                                                                                  <w:marRight w:val="0"/>
                                                                                                  <w:marTop w:val="0"/>
                                                                                                  <w:marBottom w:val="0"/>
                                                                                                  <w:divBdr>
                                                                                                    <w:top w:val="none" w:sz="0" w:space="0" w:color="auto"/>
                                                                                                    <w:left w:val="none" w:sz="0" w:space="0" w:color="auto"/>
                                                                                                    <w:bottom w:val="none" w:sz="0" w:space="0" w:color="auto"/>
                                                                                                    <w:right w:val="none" w:sz="0" w:space="0" w:color="auto"/>
                                                                                                  </w:divBdr>
                                                                                                  <w:divsChild>
                                                                                                    <w:div w:id="86691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2608949">
      <w:bodyDiv w:val="1"/>
      <w:marLeft w:val="0"/>
      <w:marRight w:val="0"/>
      <w:marTop w:val="0"/>
      <w:marBottom w:val="0"/>
      <w:divBdr>
        <w:top w:val="none" w:sz="0" w:space="0" w:color="auto"/>
        <w:left w:val="none" w:sz="0" w:space="0" w:color="auto"/>
        <w:bottom w:val="none" w:sz="0" w:space="0" w:color="auto"/>
        <w:right w:val="none" w:sz="0" w:space="0" w:color="auto"/>
      </w:divBdr>
    </w:div>
    <w:div w:id="1967076063">
      <w:bodyDiv w:val="1"/>
      <w:marLeft w:val="0"/>
      <w:marRight w:val="0"/>
      <w:marTop w:val="0"/>
      <w:marBottom w:val="0"/>
      <w:divBdr>
        <w:top w:val="none" w:sz="0" w:space="0" w:color="auto"/>
        <w:left w:val="none" w:sz="0" w:space="0" w:color="auto"/>
        <w:bottom w:val="none" w:sz="0" w:space="0" w:color="auto"/>
        <w:right w:val="none" w:sz="0" w:space="0" w:color="auto"/>
      </w:divBdr>
    </w:div>
    <w:div w:id="2048139090">
      <w:bodyDiv w:val="1"/>
      <w:marLeft w:val="0"/>
      <w:marRight w:val="0"/>
      <w:marTop w:val="0"/>
      <w:marBottom w:val="0"/>
      <w:divBdr>
        <w:top w:val="none" w:sz="0" w:space="0" w:color="auto"/>
        <w:left w:val="none" w:sz="0" w:space="0" w:color="auto"/>
        <w:bottom w:val="none" w:sz="0" w:space="0" w:color="auto"/>
        <w:right w:val="none" w:sz="0" w:space="0" w:color="auto"/>
      </w:divBdr>
      <w:divsChild>
        <w:div w:id="1177114461">
          <w:marLeft w:val="0"/>
          <w:marRight w:val="0"/>
          <w:marTop w:val="0"/>
          <w:marBottom w:val="0"/>
          <w:divBdr>
            <w:top w:val="none" w:sz="0" w:space="0" w:color="auto"/>
            <w:left w:val="none" w:sz="0" w:space="0" w:color="auto"/>
            <w:bottom w:val="none" w:sz="0" w:space="0" w:color="auto"/>
            <w:right w:val="none" w:sz="0" w:space="0" w:color="auto"/>
          </w:divBdr>
        </w:div>
        <w:div w:id="563567966">
          <w:marLeft w:val="0"/>
          <w:marRight w:val="0"/>
          <w:marTop w:val="0"/>
          <w:marBottom w:val="0"/>
          <w:divBdr>
            <w:top w:val="none" w:sz="0" w:space="0" w:color="auto"/>
            <w:left w:val="none" w:sz="0" w:space="0" w:color="auto"/>
            <w:bottom w:val="none" w:sz="0" w:space="0" w:color="auto"/>
            <w:right w:val="none" w:sz="0" w:space="0" w:color="auto"/>
          </w:divBdr>
        </w:div>
      </w:divsChild>
    </w:div>
    <w:div w:id="2075227675">
      <w:bodyDiv w:val="1"/>
      <w:marLeft w:val="0"/>
      <w:marRight w:val="0"/>
      <w:marTop w:val="0"/>
      <w:marBottom w:val="0"/>
      <w:divBdr>
        <w:top w:val="none" w:sz="0" w:space="0" w:color="auto"/>
        <w:left w:val="none" w:sz="0" w:space="0" w:color="auto"/>
        <w:bottom w:val="none" w:sz="0" w:space="0" w:color="auto"/>
        <w:right w:val="none" w:sz="0" w:space="0" w:color="auto"/>
      </w:divBdr>
      <w:divsChild>
        <w:div w:id="502861144">
          <w:marLeft w:val="0"/>
          <w:marRight w:val="0"/>
          <w:marTop w:val="0"/>
          <w:marBottom w:val="0"/>
          <w:divBdr>
            <w:top w:val="none" w:sz="0" w:space="0" w:color="auto"/>
            <w:left w:val="none" w:sz="0" w:space="0" w:color="auto"/>
            <w:bottom w:val="none" w:sz="0" w:space="0" w:color="auto"/>
            <w:right w:val="none" w:sz="0" w:space="0" w:color="auto"/>
          </w:divBdr>
          <w:divsChild>
            <w:div w:id="1087115699">
              <w:marLeft w:val="0"/>
              <w:marRight w:val="0"/>
              <w:marTop w:val="0"/>
              <w:marBottom w:val="0"/>
              <w:divBdr>
                <w:top w:val="none" w:sz="0" w:space="0" w:color="auto"/>
                <w:left w:val="none" w:sz="0" w:space="0" w:color="auto"/>
                <w:bottom w:val="none" w:sz="0" w:space="0" w:color="auto"/>
                <w:right w:val="none" w:sz="0" w:space="0" w:color="auto"/>
              </w:divBdr>
              <w:divsChild>
                <w:div w:id="1198272243">
                  <w:marLeft w:val="0"/>
                  <w:marRight w:val="0"/>
                  <w:marTop w:val="0"/>
                  <w:marBottom w:val="0"/>
                  <w:divBdr>
                    <w:top w:val="none" w:sz="0" w:space="0" w:color="auto"/>
                    <w:left w:val="none" w:sz="0" w:space="0" w:color="auto"/>
                    <w:bottom w:val="none" w:sz="0" w:space="0" w:color="auto"/>
                    <w:right w:val="none" w:sz="0" w:space="0" w:color="auto"/>
                  </w:divBdr>
                  <w:divsChild>
                    <w:div w:id="2116049965">
                      <w:marLeft w:val="0"/>
                      <w:marRight w:val="0"/>
                      <w:marTop w:val="45"/>
                      <w:marBottom w:val="0"/>
                      <w:divBdr>
                        <w:top w:val="none" w:sz="0" w:space="0" w:color="auto"/>
                        <w:left w:val="none" w:sz="0" w:space="0" w:color="auto"/>
                        <w:bottom w:val="none" w:sz="0" w:space="0" w:color="auto"/>
                        <w:right w:val="none" w:sz="0" w:space="0" w:color="auto"/>
                      </w:divBdr>
                      <w:divsChild>
                        <w:div w:id="1150319988">
                          <w:marLeft w:val="0"/>
                          <w:marRight w:val="0"/>
                          <w:marTop w:val="0"/>
                          <w:marBottom w:val="0"/>
                          <w:divBdr>
                            <w:top w:val="none" w:sz="0" w:space="0" w:color="auto"/>
                            <w:left w:val="none" w:sz="0" w:space="0" w:color="auto"/>
                            <w:bottom w:val="none" w:sz="0" w:space="0" w:color="auto"/>
                            <w:right w:val="none" w:sz="0" w:space="0" w:color="auto"/>
                          </w:divBdr>
                          <w:divsChild>
                            <w:div w:id="1013532639">
                              <w:marLeft w:val="11850"/>
                              <w:marRight w:val="0"/>
                              <w:marTop w:val="0"/>
                              <w:marBottom w:val="0"/>
                              <w:divBdr>
                                <w:top w:val="none" w:sz="0" w:space="0" w:color="auto"/>
                                <w:left w:val="none" w:sz="0" w:space="0" w:color="auto"/>
                                <w:bottom w:val="none" w:sz="0" w:space="0" w:color="auto"/>
                                <w:right w:val="none" w:sz="0" w:space="0" w:color="auto"/>
                              </w:divBdr>
                              <w:divsChild>
                                <w:div w:id="835727835">
                                  <w:marLeft w:val="0"/>
                                  <w:marRight w:val="0"/>
                                  <w:marTop w:val="0"/>
                                  <w:marBottom w:val="0"/>
                                  <w:divBdr>
                                    <w:top w:val="none" w:sz="0" w:space="0" w:color="auto"/>
                                    <w:left w:val="none" w:sz="0" w:space="0" w:color="auto"/>
                                    <w:bottom w:val="none" w:sz="0" w:space="0" w:color="auto"/>
                                    <w:right w:val="none" w:sz="0" w:space="0" w:color="auto"/>
                                  </w:divBdr>
                                  <w:divsChild>
                                    <w:div w:id="1997294739">
                                      <w:marLeft w:val="0"/>
                                      <w:marRight w:val="0"/>
                                      <w:marTop w:val="0"/>
                                      <w:marBottom w:val="345"/>
                                      <w:divBdr>
                                        <w:top w:val="none" w:sz="0" w:space="0" w:color="auto"/>
                                        <w:left w:val="none" w:sz="0" w:space="0" w:color="auto"/>
                                        <w:bottom w:val="none" w:sz="0" w:space="0" w:color="auto"/>
                                        <w:right w:val="none" w:sz="0" w:space="0" w:color="auto"/>
                                      </w:divBdr>
                                      <w:divsChild>
                                        <w:div w:id="1086724941">
                                          <w:marLeft w:val="0"/>
                                          <w:marRight w:val="0"/>
                                          <w:marTop w:val="0"/>
                                          <w:marBottom w:val="0"/>
                                          <w:divBdr>
                                            <w:top w:val="none" w:sz="0" w:space="0" w:color="auto"/>
                                            <w:left w:val="none" w:sz="0" w:space="0" w:color="auto"/>
                                            <w:bottom w:val="none" w:sz="0" w:space="0" w:color="auto"/>
                                            <w:right w:val="none" w:sz="0" w:space="0" w:color="auto"/>
                                          </w:divBdr>
                                          <w:divsChild>
                                            <w:div w:id="916288191">
                                              <w:marLeft w:val="0"/>
                                              <w:marRight w:val="0"/>
                                              <w:marTop w:val="0"/>
                                              <w:marBottom w:val="0"/>
                                              <w:divBdr>
                                                <w:top w:val="none" w:sz="0" w:space="0" w:color="auto"/>
                                                <w:left w:val="none" w:sz="0" w:space="0" w:color="auto"/>
                                                <w:bottom w:val="none" w:sz="0" w:space="0" w:color="auto"/>
                                                <w:right w:val="none" w:sz="0" w:space="0" w:color="auto"/>
                                              </w:divBdr>
                                              <w:divsChild>
                                                <w:div w:id="128519767">
                                                  <w:marLeft w:val="0"/>
                                                  <w:marRight w:val="0"/>
                                                  <w:marTop w:val="0"/>
                                                  <w:marBottom w:val="0"/>
                                                  <w:divBdr>
                                                    <w:top w:val="none" w:sz="0" w:space="0" w:color="auto"/>
                                                    <w:left w:val="none" w:sz="0" w:space="0" w:color="auto"/>
                                                    <w:bottom w:val="none" w:sz="0" w:space="0" w:color="auto"/>
                                                    <w:right w:val="none" w:sz="0" w:space="0" w:color="auto"/>
                                                  </w:divBdr>
                                                  <w:divsChild>
                                                    <w:div w:id="1916864870">
                                                      <w:marLeft w:val="0"/>
                                                      <w:marRight w:val="0"/>
                                                      <w:marTop w:val="0"/>
                                                      <w:marBottom w:val="0"/>
                                                      <w:divBdr>
                                                        <w:top w:val="none" w:sz="0" w:space="0" w:color="auto"/>
                                                        <w:left w:val="none" w:sz="0" w:space="0" w:color="auto"/>
                                                        <w:bottom w:val="none" w:sz="0" w:space="0" w:color="auto"/>
                                                        <w:right w:val="none" w:sz="0" w:space="0" w:color="auto"/>
                                                      </w:divBdr>
                                                      <w:divsChild>
                                                        <w:div w:id="345400276">
                                                          <w:marLeft w:val="0"/>
                                                          <w:marRight w:val="0"/>
                                                          <w:marTop w:val="0"/>
                                                          <w:marBottom w:val="0"/>
                                                          <w:divBdr>
                                                            <w:top w:val="none" w:sz="0" w:space="0" w:color="auto"/>
                                                            <w:left w:val="none" w:sz="0" w:space="0" w:color="auto"/>
                                                            <w:bottom w:val="none" w:sz="0" w:space="0" w:color="auto"/>
                                                            <w:right w:val="none" w:sz="0" w:space="0" w:color="auto"/>
                                                          </w:divBdr>
                                                          <w:divsChild>
                                                            <w:div w:id="1234316155">
                                                              <w:marLeft w:val="0"/>
                                                              <w:marRight w:val="0"/>
                                                              <w:marTop w:val="0"/>
                                                              <w:marBottom w:val="0"/>
                                                              <w:divBdr>
                                                                <w:top w:val="none" w:sz="0" w:space="0" w:color="auto"/>
                                                                <w:left w:val="none" w:sz="0" w:space="0" w:color="auto"/>
                                                                <w:bottom w:val="none" w:sz="0" w:space="0" w:color="auto"/>
                                                                <w:right w:val="none" w:sz="0" w:space="0" w:color="auto"/>
                                                              </w:divBdr>
                                                              <w:divsChild>
                                                                <w:div w:id="1527400832">
                                                                  <w:marLeft w:val="0"/>
                                                                  <w:marRight w:val="0"/>
                                                                  <w:marTop w:val="0"/>
                                                                  <w:marBottom w:val="0"/>
                                                                  <w:divBdr>
                                                                    <w:top w:val="none" w:sz="0" w:space="0" w:color="auto"/>
                                                                    <w:left w:val="none" w:sz="0" w:space="0" w:color="auto"/>
                                                                    <w:bottom w:val="none" w:sz="0" w:space="0" w:color="auto"/>
                                                                    <w:right w:val="none" w:sz="0" w:space="0" w:color="auto"/>
                                                                  </w:divBdr>
                                                                  <w:divsChild>
                                                                    <w:div w:id="174226436">
                                                                      <w:marLeft w:val="0"/>
                                                                      <w:marRight w:val="0"/>
                                                                      <w:marTop w:val="0"/>
                                                                      <w:marBottom w:val="0"/>
                                                                      <w:divBdr>
                                                                        <w:top w:val="none" w:sz="0" w:space="0" w:color="auto"/>
                                                                        <w:left w:val="none" w:sz="0" w:space="0" w:color="auto"/>
                                                                        <w:bottom w:val="none" w:sz="0" w:space="0" w:color="auto"/>
                                                                        <w:right w:val="none" w:sz="0" w:space="0" w:color="auto"/>
                                                                      </w:divBdr>
                                                                      <w:divsChild>
                                                                        <w:div w:id="503663571">
                                                                          <w:marLeft w:val="0"/>
                                                                          <w:marRight w:val="0"/>
                                                                          <w:marTop w:val="0"/>
                                                                          <w:marBottom w:val="0"/>
                                                                          <w:divBdr>
                                                                            <w:top w:val="none" w:sz="0" w:space="0" w:color="auto"/>
                                                                            <w:left w:val="none" w:sz="0" w:space="0" w:color="auto"/>
                                                                            <w:bottom w:val="none" w:sz="0" w:space="0" w:color="auto"/>
                                                                            <w:right w:val="none" w:sz="0" w:space="0" w:color="auto"/>
                                                                          </w:divBdr>
                                                                          <w:divsChild>
                                                                            <w:div w:id="110129578">
                                                                              <w:marLeft w:val="0"/>
                                                                              <w:marRight w:val="0"/>
                                                                              <w:marTop w:val="0"/>
                                                                              <w:marBottom w:val="0"/>
                                                                              <w:divBdr>
                                                                                <w:top w:val="none" w:sz="0" w:space="0" w:color="auto"/>
                                                                                <w:left w:val="none" w:sz="0" w:space="0" w:color="auto"/>
                                                                                <w:bottom w:val="none" w:sz="0" w:space="0" w:color="auto"/>
                                                                                <w:right w:val="none" w:sz="0" w:space="0" w:color="auto"/>
                                                                              </w:divBdr>
                                                                              <w:divsChild>
                                                                                <w:div w:id="87650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0249810">
      <w:bodyDiv w:val="1"/>
      <w:marLeft w:val="0"/>
      <w:marRight w:val="0"/>
      <w:marTop w:val="0"/>
      <w:marBottom w:val="0"/>
      <w:divBdr>
        <w:top w:val="none" w:sz="0" w:space="0" w:color="auto"/>
        <w:left w:val="none" w:sz="0" w:space="0" w:color="auto"/>
        <w:bottom w:val="none" w:sz="0" w:space="0" w:color="auto"/>
        <w:right w:val="none" w:sz="0" w:space="0" w:color="auto"/>
      </w:divBdr>
      <w:divsChild>
        <w:div w:id="1100759398">
          <w:marLeft w:val="0"/>
          <w:marRight w:val="0"/>
          <w:marTop w:val="0"/>
          <w:marBottom w:val="0"/>
          <w:divBdr>
            <w:top w:val="none" w:sz="0" w:space="0" w:color="auto"/>
            <w:left w:val="none" w:sz="0" w:space="0" w:color="auto"/>
            <w:bottom w:val="none" w:sz="0" w:space="0" w:color="auto"/>
            <w:right w:val="none" w:sz="0" w:space="0" w:color="auto"/>
          </w:divBdr>
          <w:divsChild>
            <w:div w:id="1122846920">
              <w:marLeft w:val="0"/>
              <w:marRight w:val="0"/>
              <w:marTop w:val="100"/>
              <w:marBottom w:val="100"/>
              <w:divBdr>
                <w:top w:val="none" w:sz="0" w:space="0" w:color="auto"/>
                <w:left w:val="none" w:sz="0" w:space="0" w:color="auto"/>
                <w:bottom w:val="none" w:sz="0" w:space="0" w:color="auto"/>
                <w:right w:val="none" w:sz="0" w:space="0" w:color="auto"/>
              </w:divBdr>
              <w:divsChild>
                <w:div w:id="294484168">
                  <w:marLeft w:val="0"/>
                  <w:marRight w:val="0"/>
                  <w:marTop w:val="45"/>
                  <w:marBottom w:val="120"/>
                  <w:divBdr>
                    <w:top w:val="none" w:sz="0" w:space="0" w:color="auto"/>
                    <w:left w:val="none" w:sz="0" w:space="0" w:color="auto"/>
                    <w:bottom w:val="none" w:sz="0" w:space="0" w:color="auto"/>
                    <w:right w:val="none" w:sz="0" w:space="0" w:color="auto"/>
                  </w:divBdr>
                  <w:divsChild>
                    <w:div w:id="1646809698">
                      <w:marLeft w:val="0"/>
                      <w:marRight w:val="0"/>
                      <w:marTop w:val="0"/>
                      <w:marBottom w:val="0"/>
                      <w:divBdr>
                        <w:top w:val="none" w:sz="0" w:space="0" w:color="auto"/>
                        <w:left w:val="none" w:sz="0" w:space="0" w:color="auto"/>
                        <w:bottom w:val="none" w:sz="0" w:space="0" w:color="auto"/>
                        <w:right w:val="none" w:sz="0" w:space="0" w:color="auto"/>
                      </w:divBdr>
                      <w:divsChild>
                        <w:div w:id="1922445047">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214454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taiwanpedia.culture.tw/web/content?ID=1476" TargetMode="External"/><Relationship Id="rId18" Type="http://schemas.openxmlformats.org/officeDocument/2006/relationships/hyperlink" Target="http://twgeopublish.moeacgs.gov.tw/GipOpenWeb/wSite/sp?xdUrl=/wSite/query/searchResult.jsp&amp;mp=101&amp;queryWord=&#22320;&#19979;&#27700;&#24235;&amp;queryField=fullText" TargetMode="External"/><Relationship Id="rId26" Type="http://schemas.openxmlformats.org/officeDocument/2006/relationships/hyperlink" Target="http://twgeopublish.moeacgs.gov.tw/GipOpenWeb/wSite/sp?xdUrl=/wSite/query/searchResult.jsp&amp;mp=101&amp;queryWord=&#27700;&#36039;&#28304;&#38283;&#30332;&amp;queryField=fullText" TargetMode="External"/><Relationship Id="rId3" Type="http://schemas.openxmlformats.org/officeDocument/2006/relationships/numbering" Target="numbering.xml"/><Relationship Id="rId21" Type="http://schemas.openxmlformats.org/officeDocument/2006/relationships/hyperlink" Target="http://twgeopublish.moeacgs.gov.tw/GipOpenWeb/wSite/sp?xdUrl=/wSite/query/searchResult.jsp&amp;mp=101&amp;queryWord=&#22484;&#37324;&#30406;&#22320;&amp;queryField=fullText" TargetMode="External"/><Relationship Id="rId7" Type="http://schemas.openxmlformats.org/officeDocument/2006/relationships/webSettings" Target="webSettings.xml"/><Relationship Id="rId12" Type="http://schemas.openxmlformats.org/officeDocument/2006/relationships/hyperlink" Target="http://taiwanpedia.culture.tw/web/content?ID=1476" TargetMode="External"/><Relationship Id="rId17" Type="http://schemas.openxmlformats.org/officeDocument/2006/relationships/hyperlink" Target="http://twgeopublish.moeacgs.gov.tw/GipOpenWeb/wSite/sp?xdUrl=/wSite/query/searchResult.jsp&amp;mp=101&amp;queryWord=&#32147;&#28639;&#37096;&#20013;&#22830;&#22320;&#36074;&#35519;&#26597;&#25152;&amp;queryField=fullText" TargetMode="External"/><Relationship Id="rId25" Type="http://schemas.openxmlformats.org/officeDocument/2006/relationships/hyperlink" Target="http://twgeopublish.moeacgs.gov.tw/GipOpenWeb/wSite/sp?xdUrl=/wSite/query/searchResult.jsp&amp;mp=101&amp;queryWord=&#22320;&#19979;&#27700;&#24235;&amp;queryField=fullText" TargetMode="External"/><Relationship Id="rId2" Type="http://schemas.openxmlformats.org/officeDocument/2006/relationships/customXml" Target="../customXml/item1.xml"/><Relationship Id="rId16" Type="http://schemas.openxmlformats.org/officeDocument/2006/relationships/hyperlink" Target="http://taiwanpedia.culture.tw/web/content?ID=1476" TargetMode="External"/><Relationship Id="rId20" Type="http://schemas.openxmlformats.org/officeDocument/2006/relationships/hyperlink" Target="http://twgeopublish.moeacgs.gov.tw/GipOpenWeb/wSite/sp?xdUrl=/wSite/query/searchResult.jsp&amp;mp=101&amp;queryWord=&#21517;&#31481;&#30406;&#22320;&amp;queryField=fullText" TargetMode="External"/><Relationship Id="rId29"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taiwanpedia.culture.tw/web/content?ID=1476" TargetMode="External"/><Relationship Id="rId24" Type="http://schemas.openxmlformats.org/officeDocument/2006/relationships/hyperlink" Target="http://twgeopublish.moeacgs.gov.tw/GipOpenWeb/wSite/sp?xdUrl=/wSite/query/searchResult.jsp&amp;mp=101&amp;queryWord=&#30707;&#38272;&#27700;&#24235;&amp;queryField=fullText" TargetMode="External"/><Relationship Id="rId5" Type="http://schemas.microsoft.com/office/2007/relationships/stylesWithEffects" Target="stylesWithEffects.xml"/><Relationship Id="rId15" Type="http://schemas.openxmlformats.org/officeDocument/2006/relationships/hyperlink" Target="http://taiwanpedia.culture.tw/web/content?ID=4865" TargetMode="External"/><Relationship Id="rId23" Type="http://schemas.openxmlformats.org/officeDocument/2006/relationships/hyperlink" Target="http://twgeopublish.moeacgs.gov.tw/GipOpenWeb/wSite/sp?xdUrl=/wSite/query/searchResult.jsp&amp;mp=101&amp;queryWord=&#21517;&#31481;&#30406;&#22320;&amp;queryField=fullText" TargetMode="External"/><Relationship Id="rId28" Type="http://schemas.openxmlformats.org/officeDocument/2006/relationships/image" Target="media/image1.emf"/><Relationship Id="rId10" Type="http://schemas.openxmlformats.org/officeDocument/2006/relationships/hyperlink" Target="https://zh.wikipedia.org/wiki/%E7%9F%B3%E9%96%80%E6%B0%B4%E5%BA%AB_(%E8%87%BA%E7%81%A3)" TargetMode="External"/><Relationship Id="rId19" Type="http://schemas.openxmlformats.org/officeDocument/2006/relationships/hyperlink" Target="http://twgeopublish.moeacgs.gov.tw/GipOpenWeb/wSite/sp?xdUrl=/wSite/query/searchResult.jsp&amp;mp=101&amp;queryWord=&#28609;&#27700;&#28330;&amp;queryField=fullText"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taiwanpedia.culture.tw/web/content?ID=3425" TargetMode="External"/><Relationship Id="rId22" Type="http://schemas.openxmlformats.org/officeDocument/2006/relationships/hyperlink" Target="http://twgeopublish.moeacgs.gov.tw/GipOpenWeb/wSite/sp?xdUrl=/wSite/query/searchResult.jsp&amp;mp=101&amp;queryWord=&#21488;&#20013;&#30406;&#22320;&amp;queryField=fullText" TargetMode="External"/><Relationship Id="rId27" Type="http://schemas.openxmlformats.org/officeDocument/2006/relationships/footer" Target="foot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ncdr.nat.gov.tw/upload/epaper/091.pdf" TargetMode="External"/><Relationship Id="rId1" Type="http://schemas.openxmlformats.org/officeDocument/2006/relationships/hyperlink" Target="http://www.wrasb.gov.tw/CustomPage/WaterCollect.asp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D8D49-9C41-41F9-B3F1-3AA7F9CB8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7862</Words>
  <Characters>44814</Characters>
  <Application>Microsoft Office Word</Application>
  <DocSecurity>4</DocSecurity>
  <Lines>373</Lines>
  <Paragraphs>105</Paragraphs>
  <ScaleCrop>false</ScaleCrop>
  <LinksUpToDate>false</LinksUpToDate>
  <CharactersWithSpaces>52571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2016-12-19T06:02:00Z</dcterms:created>
  <dcterms:modified xsi:type="dcterms:W3CDTF">2016-12-19T06:02:00Z</dcterms:modified>
</cp:coreProperties>
</file>