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CC1650" w:rsidRDefault="00D75644" w:rsidP="00F37D7B">
      <w:pPr>
        <w:pStyle w:val="af3"/>
      </w:pPr>
      <w:r w:rsidRPr="00CC1650">
        <w:rPr>
          <w:rFonts w:hint="eastAsia"/>
        </w:rPr>
        <w:t>調查報告</w:t>
      </w:r>
    </w:p>
    <w:p w:rsidR="00E25849" w:rsidRPr="00CC165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3158621"/>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55056060"/>
      <w:r w:rsidRPr="00CC1650">
        <w:rPr>
          <w:rFonts w:hint="eastAsia"/>
        </w:rPr>
        <w:t>案　　由：</w:t>
      </w:r>
      <w:bookmarkEnd w:id="0"/>
      <w:bookmarkEnd w:id="1"/>
      <w:bookmarkEnd w:id="2"/>
      <w:bookmarkEnd w:id="3"/>
      <w:bookmarkEnd w:id="4"/>
      <w:bookmarkEnd w:id="5"/>
      <w:bookmarkEnd w:id="6"/>
      <w:bookmarkEnd w:id="7"/>
      <w:bookmarkEnd w:id="8"/>
      <w:bookmarkEnd w:id="9"/>
      <w:r w:rsidR="0096761F" w:rsidRPr="00CC1650">
        <w:fldChar w:fldCharType="begin"/>
      </w:r>
      <w:r w:rsidRPr="00CC1650">
        <w:instrText xml:space="preserve"> MERGEFIELD </w:instrText>
      </w:r>
      <w:r w:rsidRPr="00CC1650">
        <w:rPr>
          <w:rFonts w:hint="eastAsia"/>
        </w:rPr>
        <w:instrText>案由</w:instrText>
      </w:r>
      <w:r w:rsidRPr="00CC1650">
        <w:instrText xml:space="preserve"> </w:instrText>
      </w:r>
      <w:r w:rsidR="0096761F" w:rsidRPr="00CC1650">
        <w:fldChar w:fldCharType="separate"/>
      </w:r>
      <w:bookmarkEnd w:id="11"/>
      <w:r w:rsidR="009F4A13" w:rsidRPr="00CC1650">
        <w:rPr>
          <w:rFonts w:hint="eastAsia"/>
          <w:noProof/>
        </w:rPr>
        <w:t>鑒於我國逐年產生預算赤字，致公共債務未償金額有增無減，不僅中央政府債務餘額遞增，舉債瀕臨上限，地方政府更是財政收支長期失調，債務負擔沉重亦已瀕臨債限，面對此財政危機，究各級政府有無確實檢討並積極採取改善措施，確有瞭解之必要</w:t>
      </w:r>
      <w:bookmarkEnd w:id="10"/>
      <w:r w:rsidR="0096761F" w:rsidRPr="00CC1650">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6719EE" w:rsidRPr="00CC1650">
        <w:rPr>
          <w:rFonts w:hint="eastAsia"/>
        </w:rPr>
        <w:t>。</w:t>
      </w:r>
      <w:bookmarkEnd w:id="25"/>
    </w:p>
    <w:p w:rsidR="0028740F" w:rsidRPr="00CC1650" w:rsidRDefault="0028740F" w:rsidP="0028740F">
      <w:pPr>
        <w:pStyle w:val="1"/>
        <w:ind w:left="2380" w:hanging="2380"/>
      </w:pPr>
      <w:bookmarkStart w:id="26" w:name="_Toc455056158"/>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53158718"/>
      <w:r w:rsidRPr="00CC1650">
        <w:rPr>
          <w:rFonts w:hint="eastAsia"/>
        </w:rPr>
        <w:t>調查意見：</w:t>
      </w:r>
      <w:bookmarkEnd w:id="26"/>
    </w:p>
    <w:p w:rsidR="0028740F" w:rsidRPr="00CC1650" w:rsidRDefault="0028740F" w:rsidP="0028740F">
      <w:pPr>
        <w:pStyle w:val="10"/>
        <w:ind w:left="680" w:firstLine="680"/>
        <w:rPr>
          <w:bCs/>
        </w:rPr>
      </w:pPr>
      <w:r w:rsidRPr="00CC1650">
        <w:rPr>
          <w:rFonts w:hint="eastAsia"/>
          <w:bCs/>
        </w:rPr>
        <w:t>財政為</w:t>
      </w:r>
      <w:proofErr w:type="gramStart"/>
      <w:r w:rsidRPr="00CC1650">
        <w:rPr>
          <w:rFonts w:hint="eastAsia"/>
          <w:bCs/>
        </w:rPr>
        <w:t>庶</w:t>
      </w:r>
      <w:proofErr w:type="gramEnd"/>
      <w:r w:rsidRPr="00CC1650">
        <w:rPr>
          <w:rFonts w:hint="eastAsia"/>
          <w:bCs/>
        </w:rPr>
        <w:t>政之本，國家政事之興辦，如無財政以為支應，則無法成就，是以財政健全是國家經濟安全之</w:t>
      </w:r>
      <w:proofErr w:type="gramStart"/>
      <w:r w:rsidRPr="00CC1650">
        <w:rPr>
          <w:rFonts w:hint="eastAsia"/>
          <w:bCs/>
        </w:rPr>
        <w:t>礎</w:t>
      </w:r>
      <w:proofErr w:type="gramEnd"/>
      <w:r w:rsidRPr="00CC1650">
        <w:rPr>
          <w:rFonts w:hint="eastAsia"/>
          <w:bCs/>
        </w:rPr>
        <w:t>石，然我國財政面臨租稅負擔率偏低、財源籌措不易、歲出規模不斷成長、歲出結構僵化等問題，造成債務負擔日益沈重且瀕臨債限，為</w:t>
      </w:r>
      <w:r w:rsidRPr="00CC1650">
        <w:rPr>
          <w:rFonts w:hint="eastAsia"/>
        </w:rPr>
        <w:t>確保政府財政穩健、蓄積財源以支援政務順利運作，財政部前後推動「中長程財政健全方案」、「財政健全方案」等因應對策，期能有效改善財政失衡問題。然截至</w:t>
      </w:r>
      <w:r w:rsidRPr="00CC1650">
        <w:rPr>
          <w:rFonts w:hint="eastAsia"/>
          <w:bCs/>
        </w:rPr>
        <w:t>104年底中央及地方政府累計債務餘額尚高達新臺幣（下同）6兆220億元，此外高達17.7兆元之潛藏負債，亦加重政府財政壓力，如將中央及各級政府總負債加上潛藏負債，則國人每人平均負債金額</w:t>
      </w:r>
      <w:proofErr w:type="gramStart"/>
      <w:r w:rsidRPr="00CC1650">
        <w:rPr>
          <w:rFonts w:hint="eastAsia"/>
          <w:bCs/>
        </w:rPr>
        <w:t>恐</w:t>
      </w:r>
      <w:proofErr w:type="gramEnd"/>
      <w:r w:rsidRPr="00CC1650">
        <w:rPr>
          <w:rFonts w:hint="eastAsia"/>
          <w:bCs/>
        </w:rPr>
        <w:t>數倍於財政部國債鐘之人均負債，長此以往，恐將步入歐洲嚴重負債國家之後塵。</w:t>
      </w:r>
    </w:p>
    <w:p w:rsidR="0028740F" w:rsidRPr="00CC1650" w:rsidRDefault="0028740F" w:rsidP="0028740F">
      <w:pPr>
        <w:pStyle w:val="10"/>
        <w:ind w:left="680" w:firstLine="680"/>
        <w:rPr>
          <w:bCs/>
        </w:rPr>
      </w:pPr>
      <w:r w:rsidRPr="00CC1650">
        <w:rPr>
          <w:rFonts w:hint="eastAsia"/>
          <w:bCs/>
        </w:rPr>
        <w:t>本院為瞭解上開財政健全方案實施迄今，能否有效改善財政沈痾，降低債務餘額，解決財政問題，且面對地方政府財政困窘之問題，如何能提升地方政府財政自主，並落實財政紀律，以確保財政得以永續，</w:t>
      </w:r>
      <w:proofErr w:type="gramStart"/>
      <w:r w:rsidRPr="00CC1650">
        <w:rPr>
          <w:rFonts w:hint="eastAsia"/>
          <w:bCs/>
        </w:rPr>
        <w:t>爰</w:t>
      </w:r>
      <w:proofErr w:type="gramEnd"/>
      <w:r w:rsidRPr="00CC1650">
        <w:rPr>
          <w:rFonts w:hint="eastAsia"/>
          <w:bCs/>
        </w:rPr>
        <w:t>立案進行調查。案經向行政院主計總處(下稱主計總處)、財政部及</w:t>
      </w:r>
      <w:proofErr w:type="gramStart"/>
      <w:r w:rsidRPr="00CC1650">
        <w:rPr>
          <w:rFonts w:hint="eastAsia"/>
          <w:bCs/>
        </w:rPr>
        <w:t>審計部調閱</w:t>
      </w:r>
      <w:proofErr w:type="gramEnd"/>
      <w:r w:rsidRPr="00CC1650">
        <w:rPr>
          <w:rFonts w:hint="eastAsia"/>
          <w:bCs/>
        </w:rPr>
        <w:t>案件資料，</w:t>
      </w:r>
      <w:proofErr w:type="gramStart"/>
      <w:r w:rsidRPr="00CC1650">
        <w:rPr>
          <w:rFonts w:hint="eastAsia"/>
          <w:bCs/>
        </w:rPr>
        <w:t>嗣</w:t>
      </w:r>
      <w:proofErr w:type="gramEnd"/>
      <w:r w:rsidRPr="00CC1650">
        <w:rPr>
          <w:rFonts w:hint="eastAsia"/>
          <w:bCs/>
        </w:rPr>
        <w:t>於104年12月15日辦理諮詢會議，邀請財政、稅務等相關領域之專家學者提供專業意見。</w:t>
      </w:r>
      <w:proofErr w:type="gramStart"/>
      <w:r w:rsidRPr="00CC1650">
        <w:rPr>
          <w:rFonts w:hint="eastAsia"/>
          <w:bCs/>
        </w:rPr>
        <w:t>此外，</w:t>
      </w:r>
      <w:proofErr w:type="gramEnd"/>
      <w:r w:rsidRPr="00CC1650">
        <w:rPr>
          <w:rFonts w:hint="eastAsia"/>
          <w:bCs/>
        </w:rPr>
        <w:t>為瞭解地方政府債務負擔、人力運用及歲</w:t>
      </w:r>
      <w:r w:rsidRPr="00CC1650">
        <w:rPr>
          <w:rFonts w:hint="eastAsia"/>
          <w:bCs/>
        </w:rPr>
        <w:lastRenderedPageBreak/>
        <w:t>出經費支出情形，經函請全國各直轄市、縣(市)(</w:t>
      </w:r>
      <w:proofErr w:type="gramStart"/>
      <w:r w:rsidRPr="00CC1650">
        <w:rPr>
          <w:rFonts w:hint="eastAsia"/>
          <w:bCs/>
        </w:rPr>
        <w:t>下稱市縣</w:t>
      </w:r>
      <w:proofErr w:type="gramEnd"/>
      <w:r w:rsidRPr="00CC1650">
        <w:rPr>
          <w:rFonts w:hint="eastAsia"/>
          <w:bCs/>
        </w:rPr>
        <w:t>)政府提供相關資料；復於105年4月25日詢問行政院、財政部及主計總處等機關人員，業已</w:t>
      </w:r>
      <w:proofErr w:type="gramStart"/>
      <w:r w:rsidRPr="00CC1650">
        <w:rPr>
          <w:rFonts w:hint="eastAsia"/>
          <w:bCs/>
        </w:rPr>
        <w:t>調查竣事</w:t>
      </w:r>
      <w:proofErr w:type="gramEnd"/>
      <w:r w:rsidRPr="00CC1650">
        <w:rPr>
          <w:rFonts w:hint="eastAsia"/>
          <w:bCs/>
        </w:rPr>
        <w:t>，茲</w:t>
      </w:r>
      <w:proofErr w:type="gramStart"/>
      <w:r w:rsidRPr="00CC1650">
        <w:rPr>
          <w:rFonts w:hint="eastAsia"/>
          <w:bCs/>
        </w:rPr>
        <w:t>臚</w:t>
      </w:r>
      <w:proofErr w:type="gramEnd"/>
      <w:r w:rsidRPr="00CC1650">
        <w:rPr>
          <w:rFonts w:hint="eastAsia"/>
          <w:bCs/>
        </w:rPr>
        <w:t>列調查意見如下：</w:t>
      </w:r>
    </w:p>
    <w:p w:rsidR="0028740F" w:rsidRPr="00CC1650" w:rsidRDefault="0028740F" w:rsidP="0028740F">
      <w:pPr>
        <w:pStyle w:val="2"/>
      </w:pPr>
      <w:r w:rsidRPr="00CC1650">
        <w:rPr>
          <w:rFonts w:hint="eastAsia"/>
        </w:rPr>
        <w:tab/>
      </w:r>
      <w:bookmarkStart w:id="51" w:name="_Toc455056159"/>
      <w:r w:rsidRPr="00CC1650">
        <w:rPr>
          <w:rFonts w:hint="eastAsia"/>
          <w:b/>
        </w:rPr>
        <w:t>行政院核定財政健全方案，推動迄今雖已略見成效，然而截至104年12月中央及地方政府累積債務餘額仍高達6兆220億元，加以目前每年編列債務還本金額有限，中央政府累計債務約長達87餘年始能還清。為加速債務之償還，</w:t>
      </w:r>
      <w:proofErr w:type="gramStart"/>
      <w:r w:rsidRPr="00CC1650">
        <w:rPr>
          <w:rFonts w:hint="eastAsia"/>
          <w:b/>
        </w:rPr>
        <w:t>避免債留子孫</w:t>
      </w:r>
      <w:proofErr w:type="gramEnd"/>
      <w:r w:rsidRPr="00CC1650">
        <w:rPr>
          <w:rFonts w:hint="eastAsia"/>
          <w:b/>
        </w:rPr>
        <w:t>，行政院</w:t>
      </w:r>
      <w:proofErr w:type="gramStart"/>
      <w:r w:rsidRPr="00CC1650">
        <w:rPr>
          <w:rFonts w:hint="eastAsia"/>
          <w:b/>
        </w:rPr>
        <w:t>允</w:t>
      </w:r>
      <w:proofErr w:type="gramEnd"/>
      <w:r w:rsidRPr="00CC1650">
        <w:rPr>
          <w:rFonts w:hint="eastAsia"/>
          <w:b/>
        </w:rPr>
        <w:t>應賡續強化債務管理、擬定</w:t>
      </w:r>
      <w:proofErr w:type="gramStart"/>
      <w:r w:rsidRPr="00CC1650">
        <w:rPr>
          <w:rFonts w:hint="eastAsia"/>
          <w:b/>
        </w:rPr>
        <w:t>有效減債措施</w:t>
      </w:r>
      <w:proofErr w:type="gramEnd"/>
      <w:r w:rsidRPr="00CC1650">
        <w:rPr>
          <w:rFonts w:hint="eastAsia"/>
          <w:b/>
        </w:rPr>
        <w:t>及</w:t>
      </w:r>
      <w:proofErr w:type="gramStart"/>
      <w:r w:rsidRPr="00CC1650">
        <w:rPr>
          <w:rFonts w:hint="eastAsia"/>
          <w:b/>
        </w:rPr>
        <w:t>減債時</w:t>
      </w:r>
      <w:proofErr w:type="gramEnd"/>
      <w:r w:rsidRPr="00CC1650">
        <w:rPr>
          <w:rFonts w:hint="eastAsia"/>
          <w:b/>
        </w:rPr>
        <w:t>程、督促各級政府增加年度還本數，以確保政府財政得以永續。另法律義務支出逐年攀升，至</w:t>
      </w:r>
      <w:proofErr w:type="gramStart"/>
      <w:r w:rsidRPr="00CC1650">
        <w:rPr>
          <w:rFonts w:hint="eastAsia"/>
          <w:b/>
        </w:rPr>
        <w:t>103</w:t>
      </w:r>
      <w:proofErr w:type="gramEnd"/>
      <w:r w:rsidRPr="00CC1650">
        <w:rPr>
          <w:rFonts w:hint="eastAsia"/>
          <w:b/>
        </w:rPr>
        <w:t>年度已高達歲出之70%，允宜務實檢討其合理性及必要性，落實</w:t>
      </w:r>
      <w:proofErr w:type="gramStart"/>
      <w:r w:rsidRPr="00CC1650">
        <w:rPr>
          <w:rFonts w:hint="eastAsia"/>
          <w:b/>
        </w:rPr>
        <w:t>撙</w:t>
      </w:r>
      <w:proofErr w:type="gramEnd"/>
      <w:r w:rsidRPr="00CC1650">
        <w:rPr>
          <w:rFonts w:hint="eastAsia"/>
          <w:b/>
        </w:rPr>
        <w:t>節開支作為。</w:t>
      </w:r>
      <w:bookmarkEnd w:id="51"/>
      <w:r w:rsidRPr="00CC1650">
        <w:t xml:space="preserve"> </w:t>
      </w:r>
    </w:p>
    <w:p w:rsidR="0028740F" w:rsidRPr="00CC1650" w:rsidRDefault="0028740F" w:rsidP="0028740F">
      <w:pPr>
        <w:pStyle w:val="3"/>
        <w:widowControl/>
        <w:kinsoku w:val="0"/>
        <w:overflowPunct/>
        <w:autoSpaceDE/>
        <w:autoSpaceDN/>
        <w:ind w:left="1360" w:hanging="680"/>
      </w:pPr>
      <w:bookmarkStart w:id="52" w:name="_Toc454877564"/>
      <w:bookmarkStart w:id="53" w:name="_Toc454884621"/>
      <w:bookmarkStart w:id="54" w:name="_Toc455056160"/>
      <w:r w:rsidRPr="00CC1650">
        <w:rPr>
          <w:rFonts w:hint="eastAsia"/>
        </w:rPr>
        <w:t>財政部98年推動「中長程財政健全方案」，以財政健全為推動目標，依據「財務管理」、「稅務管理」及「財產管理」3項核心業務，</w:t>
      </w:r>
      <w:proofErr w:type="gramStart"/>
      <w:r w:rsidRPr="00CC1650">
        <w:rPr>
          <w:rFonts w:hint="eastAsia"/>
        </w:rPr>
        <w:t>研</w:t>
      </w:r>
      <w:proofErr w:type="gramEnd"/>
      <w:r w:rsidRPr="00CC1650">
        <w:rPr>
          <w:rFonts w:hint="eastAsia"/>
        </w:rPr>
        <w:t>提10項策略，積極開拓財源、減少不經濟支出，以確保政府財政穩健及政務順利推動。相關推動成效，據財政部函復說明，原訂績效目標值為新臺幣(下同)1.4兆元，推動至100年，累計績效達1.45兆元，</w:t>
      </w:r>
      <w:r w:rsidRPr="00CC1650">
        <w:t>如下表：</w:t>
      </w:r>
      <w:bookmarkEnd w:id="52"/>
      <w:bookmarkEnd w:id="53"/>
      <w:bookmarkEnd w:id="54"/>
    </w:p>
    <w:p w:rsidR="0028740F" w:rsidRPr="00CC1650" w:rsidRDefault="0028740F" w:rsidP="0028740F">
      <w:pPr>
        <w:pStyle w:val="a4"/>
        <w:jc w:val="left"/>
        <w:rPr>
          <w:b/>
        </w:rPr>
      </w:pPr>
      <w:bookmarkStart w:id="55" w:name="_Toc455056621"/>
      <w:r w:rsidRPr="00CC1650">
        <w:rPr>
          <w:rFonts w:hint="eastAsia"/>
        </w:rPr>
        <w:t>中長程財政健全方案</w:t>
      </w:r>
      <w:r w:rsidRPr="00CC1650">
        <w:t>累計績效</w:t>
      </w:r>
      <w:bookmarkEnd w:id="55"/>
    </w:p>
    <w:p w:rsidR="0028740F" w:rsidRPr="00CC1650" w:rsidRDefault="0028740F" w:rsidP="0028740F">
      <w:pPr>
        <w:spacing w:line="300" w:lineRule="exact"/>
        <w:ind w:right="-1"/>
        <w:jc w:val="right"/>
        <w:rPr>
          <w:b/>
          <w:sz w:val="24"/>
          <w:szCs w:val="24"/>
        </w:rPr>
      </w:pPr>
      <w:r w:rsidRPr="00CC1650">
        <w:rPr>
          <w:rFonts w:hAnsi="Arial" w:hint="eastAsia"/>
          <w:kern w:val="32"/>
          <w:sz w:val="24"/>
          <w:szCs w:val="24"/>
        </w:rPr>
        <w:t>單位：億元</w:t>
      </w:r>
    </w:p>
    <w:tbl>
      <w:tblPr>
        <w:tblStyle w:val="af7"/>
        <w:tblW w:w="4942" w:type="pct"/>
        <w:tblLook w:val="04A0"/>
      </w:tblPr>
      <w:tblGrid>
        <w:gridCol w:w="1549"/>
        <w:gridCol w:w="2539"/>
        <w:gridCol w:w="2539"/>
        <w:gridCol w:w="2552"/>
      </w:tblGrid>
      <w:tr w:rsidR="006A75EE" w:rsidRPr="00CC1650" w:rsidTr="00A87AFB">
        <w:trPr>
          <w:trHeight w:val="510"/>
          <w:tblHeader/>
        </w:trPr>
        <w:tc>
          <w:tcPr>
            <w:tcW w:w="844" w:type="pct"/>
            <w:vAlign w:val="center"/>
          </w:tcPr>
          <w:p w:rsidR="0028740F" w:rsidRPr="00CC1650" w:rsidRDefault="0028740F" w:rsidP="0028740F">
            <w:pPr>
              <w:spacing w:line="300" w:lineRule="exact"/>
              <w:ind w:leftChars="-47" w:left="-160" w:rightChars="-45" w:right="-153"/>
              <w:jc w:val="center"/>
              <w:rPr>
                <w:rFonts w:hAnsi="Arial"/>
                <w:kern w:val="32"/>
                <w:sz w:val="28"/>
                <w:szCs w:val="28"/>
              </w:rPr>
            </w:pPr>
            <w:r w:rsidRPr="00CC1650">
              <w:rPr>
                <w:rFonts w:hAnsi="Arial" w:hint="eastAsia"/>
                <w:kern w:val="32"/>
                <w:sz w:val="28"/>
                <w:szCs w:val="28"/>
              </w:rPr>
              <w:t>年度</w:t>
            </w:r>
          </w:p>
        </w:tc>
        <w:tc>
          <w:tcPr>
            <w:tcW w:w="1383" w:type="pct"/>
            <w:vAlign w:val="center"/>
          </w:tcPr>
          <w:p w:rsidR="0028740F" w:rsidRPr="00CC1650" w:rsidRDefault="0028740F" w:rsidP="0028740F">
            <w:pPr>
              <w:spacing w:line="300" w:lineRule="exact"/>
              <w:ind w:rightChars="-30" w:right="-102"/>
              <w:jc w:val="center"/>
              <w:rPr>
                <w:rFonts w:hAnsi="Arial"/>
                <w:kern w:val="32"/>
                <w:sz w:val="28"/>
                <w:szCs w:val="28"/>
              </w:rPr>
            </w:pPr>
            <w:r w:rsidRPr="00CC1650">
              <w:rPr>
                <w:rFonts w:hAnsi="Arial" w:hint="eastAsia"/>
                <w:kern w:val="32"/>
                <w:sz w:val="28"/>
                <w:szCs w:val="28"/>
              </w:rPr>
              <w:t>增裕收入</w:t>
            </w:r>
          </w:p>
        </w:tc>
        <w:tc>
          <w:tcPr>
            <w:tcW w:w="1383" w:type="pct"/>
            <w:vAlign w:val="center"/>
          </w:tcPr>
          <w:p w:rsidR="0028740F" w:rsidRPr="00CC1650" w:rsidRDefault="0028740F" w:rsidP="0028740F">
            <w:pPr>
              <w:spacing w:line="300" w:lineRule="exact"/>
              <w:ind w:rightChars="-34" w:right="-116"/>
              <w:jc w:val="center"/>
              <w:rPr>
                <w:rFonts w:hAnsi="Arial"/>
                <w:kern w:val="32"/>
                <w:sz w:val="28"/>
                <w:szCs w:val="28"/>
              </w:rPr>
            </w:pPr>
            <w:r w:rsidRPr="00CC1650">
              <w:rPr>
                <w:rFonts w:hAnsi="Arial" w:hint="eastAsia"/>
                <w:kern w:val="32"/>
                <w:sz w:val="28"/>
                <w:szCs w:val="28"/>
              </w:rPr>
              <w:t>減少支出</w:t>
            </w:r>
          </w:p>
        </w:tc>
        <w:tc>
          <w:tcPr>
            <w:tcW w:w="1391" w:type="pct"/>
            <w:vAlign w:val="center"/>
          </w:tcPr>
          <w:p w:rsidR="0028740F" w:rsidRPr="00CC1650" w:rsidRDefault="0028740F" w:rsidP="00A87AFB">
            <w:pPr>
              <w:spacing w:line="300" w:lineRule="exact"/>
              <w:jc w:val="center"/>
              <w:rPr>
                <w:rFonts w:hAnsi="Arial"/>
                <w:kern w:val="32"/>
                <w:sz w:val="28"/>
                <w:szCs w:val="28"/>
              </w:rPr>
            </w:pPr>
            <w:r w:rsidRPr="00CC1650">
              <w:rPr>
                <w:rFonts w:hAnsi="Arial" w:hint="eastAsia"/>
                <w:kern w:val="32"/>
                <w:sz w:val="28"/>
                <w:szCs w:val="28"/>
              </w:rPr>
              <w:t>合計</w:t>
            </w:r>
          </w:p>
        </w:tc>
      </w:tr>
      <w:tr w:rsidR="006A75EE" w:rsidRPr="00CC1650" w:rsidTr="00A87AFB">
        <w:trPr>
          <w:trHeight w:val="510"/>
        </w:trPr>
        <w:tc>
          <w:tcPr>
            <w:tcW w:w="844" w:type="pct"/>
            <w:vAlign w:val="center"/>
          </w:tcPr>
          <w:p w:rsidR="0028740F" w:rsidRPr="00CC1650" w:rsidRDefault="0028740F" w:rsidP="0028740F">
            <w:pPr>
              <w:spacing w:line="300" w:lineRule="exact"/>
              <w:ind w:leftChars="-47" w:left="-160" w:rightChars="-45" w:right="-153"/>
              <w:jc w:val="center"/>
              <w:rPr>
                <w:rFonts w:hAnsi="Arial"/>
                <w:kern w:val="32"/>
                <w:sz w:val="28"/>
                <w:szCs w:val="28"/>
              </w:rPr>
            </w:pPr>
            <w:r w:rsidRPr="00CC1650">
              <w:rPr>
                <w:rFonts w:hAnsi="Arial" w:hint="eastAsia"/>
                <w:kern w:val="32"/>
                <w:sz w:val="28"/>
                <w:szCs w:val="28"/>
              </w:rPr>
              <w:t>98</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1,835.26</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1,076.90</w:t>
            </w:r>
          </w:p>
        </w:tc>
        <w:tc>
          <w:tcPr>
            <w:tcW w:w="1391"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2,912.16</w:t>
            </w:r>
          </w:p>
        </w:tc>
      </w:tr>
      <w:tr w:rsidR="006A75EE" w:rsidRPr="00CC1650" w:rsidTr="00A87AFB">
        <w:trPr>
          <w:trHeight w:val="510"/>
        </w:trPr>
        <w:tc>
          <w:tcPr>
            <w:tcW w:w="844" w:type="pct"/>
            <w:vAlign w:val="center"/>
          </w:tcPr>
          <w:p w:rsidR="0028740F" w:rsidRPr="00CC1650" w:rsidRDefault="0028740F" w:rsidP="0028740F">
            <w:pPr>
              <w:spacing w:line="300" w:lineRule="exact"/>
              <w:ind w:leftChars="-47" w:left="-160" w:rightChars="-45" w:right="-153"/>
              <w:jc w:val="center"/>
              <w:rPr>
                <w:rFonts w:hAnsi="Arial"/>
                <w:kern w:val="32"/>
                <w:sz w:val="28"/>
                <w:szCs w:val="28"/>
              </w:rPr>
            </w:pPr>
            <w:r w:rsidRPr="00CC1650">
              <w:rPr>
                <w:rFonts w:hAnsi="Arial" w:hint="eastAsia"/>
                <w:kern w:val="32"/>
                <w:sz w:val="28"/>
                <w:szCs w:val="28"/>
              </w:rPr>
              <w:t>99</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2,643.39</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1,397.18</w:t>
            </w:r>
          </w:p>
        </w:tc>
        <w:tc>
          <w:tcPr>
            <w:tcW w:w="1391"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4,040.57</w:t>
            </w:r>
          </w:p>
        </w:tc>
      </w:tr>
      <w:tr w:rsidR="006A75EE" w:rsidRPr="00CC1650" w:rsidTr="00A87AFB">
        <w:trPr>
          <w:trHeight w:val="510"/>
        </w:trPr>
        <w:tc>
          <w:tcPr>
            <w:tcW w:w="844" w:type="pct"/>
            <w:vAlign w:val="center"/>
          </w:tcPr>
          <w:p w:rsidR="0028740F" w:rsidRPr="00CC1650" w:rsidRDefault="0028740F" w:rsidP="0028740F">
            <w:pPr>
              <w:spacing w:line="300" w:lineRule="exact"/>
              <w:ind w:leftChars="-47" w:left="-160" w:rightChars="-45" w:right="-153"/>
              <w:jc w:val="center"/>
              <w:rPr>
                <w:rFonts w:hAnsi="Arial"/>
                <w:kern w:val="32"/>
                <w:sz w:val="28"/>
                <w:szCs w:val="28"/>
              </w:rPr>
            </w:pPr>
            <w:r w:rsidRPr="00CC1650">
              <w:rPr>
                <w:rFonts w:hAnsi="Arial" w:hint="eastAsia"/>
                <w:kern w:val="32"/>
                <w:sz w:val="28"/>
                <w:szCs w:val="28"/>
              </w:rPr>
              <w:t>100</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5,778.61</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1,800.90</w:t>
            </w:r>
          </w:p>
        </w:tc>
        <w:tc>
          <w:tcPr>
            <w:tcW w:w="1391"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7,579.51</w:t>
            </w:r>
          </w:p>
        </w:tc>
      </w:tr>
      <w:tr w:rsidR="006A75EE" w:rsidRPr="00CC1650" w:rsidTr="00A87AFB">
        <w:trPr>
          <w:trHeight w:val="510"/>
        </w:trPr>
        <w:tc>
          <w:tcPr>
            <w:tcW w:w="844"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小計</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10,257.26</w:t>
            </w:r>
          </w:p>
        </w:tc>
        <w:tc>
          <w:tcPr>
            <w:tcW w:w="1383"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4,274.98</w:t>
            </w:r>
          </w:p>
        </w:tc>
        <w:tc>
          <w:tcPr>
            <w:tcW w:w="1391" w:type="pct"/>
            <w:vAlign w:val="center"/>
          </w:tcPr>
          <w:p w:rsidR="0028740F" w:rsidRPr="00CC1650" w:rsidRDefault="0028740F" w:rsidP="0028740F">
            <w:pPr>
              <w:spacing w:line="300" w:lineRule="exact"/>
              <w:ind w:leftChars="-45" w:left="27" w:rightChars="-45" w:right="-153" w:hangingChars="60" w:hanging="180"/>
              <w:jc w:val="center"/>
              <w:rPr>
                <w:rFonts w:hAnsi="Arial"/>
                <w:kern w:val="32"/>
                <w:sz w:val="28"/>
                <w:szCs w:val="28"/>
              </w:rPr>
            </w:pPr>
            <w:r w:rsidRPr="00CC1650">
              <w:rPr>
                <w:rFonts w:hAnsi="Arial" w:hint="eastAsia"/>
                <w:kern w:val="32"/>
                <w:sz w:val="28"/>
                <w:szCs w:val="28"/>
              </w:rPr>
              <w:t>14,532.24</w:t>
            </w:r>
          </w:p>
        </w:tc>
      </w:tr>
    </w:tbl>
    <w:p w:rsidR="0028740F" w:rsidRPr="00CC1650" w:rsidRDefault="0028740F" w:rsidP="0028740F">
      <w:pPr>
        <w:pStyle w:val="af6"/>
        <w:ind w:leftChars="-41" w:left="-139"/>
        <w:rPr>
          <w:sz w:val="24"/>
          <w:szCs w:val="24"/>
        </w:rPr>
      </w:pPr>
      <w:r w:rsidRPr="00CC1650">
        <w:rPr>
          <w:rFonts w:hint="eastAsia"/>
          <w:sz w:val="24"/>
          <w:szCs w:val="24"/>
        </w:rPr>
        <w:t>資料來源：財政部</w:t>
      </w:r>
    </w:p>
    <w:p w:rsidR="0028740F" w:rsidRPr="00CC1650" w:rsidRDefault="0028740F" w:rsidP="0028740F">
      <w:pPr>
        <w:pStyle w:val="3"/>
        <w:widowControl/>
        <w:kinsoku w:val="0"/>
        <w:overflowPunct/>
        <w:autoSpaceDE/>
        <w:autoSpaceDN/>
        <w:ind w:left="1360" w:hanging="680"/>
      </w:pPr>
      <w:bookmarkStart w:id="56" w:name="_Toc454877565"/>
      <w:bookmarkStart w:id="57" w:name="_Toc454884622"/>
      <w:bookmarkStart w:id="58" w:name="_Toc455056161"/>
      <w:r w:rsidRPr="00CC1650">
        <w:rPr>
          <w:rFonts w:hint="eastAsia"/>
        </w:rPr>
        <w:lastRenderedPageBreak/>
        <w:t>為蓄積財源以支援重大政策及公共建設推動，同時為天然災害緊急支出預做準備，以達成經濟成長及財政永續發展之目標，財政部於103年再奉行政院核准推動「財政健全方案」，推動策略</w:t>
      </w:r>
      <w:proofErr w:type="gramStart"/>
      <w:r w:rsidRPr="00CC1650">
        <w:rPr>
          <w:rFonts w:hint="eastAsia"/>
        </w:rPr>
        <w:t>採</w:t>
      </w:r>
      <w:proofErr w:type="gramEnd"/>
      <w:r w:rsidRPr="00CC1650">
        <w:rPr>
          <w:rFonts w:hint="eastAsia"/>
        </w:rPr>
        <w:t>3大主軸，包括：控制年度舉債額度、調整支出結構及統籌可用財力資源多元籌措，期能兼顧財政</w:t>
      </w:r>
      <w:proofErr w:type="gramStart"/>
      <w:r w:rsidRPr="00CC1650">
        <w:rPr>
          <w:rFonts w:hint="eastAsia"/>
        </w:rPr>
        <w:t>健全、</w:t>
      </w:r>
      <w:proofErr w:type="gramEnd"/>
      <w:r w:rsidRPr="00CC1650">
        <w:rPr>
          <w:rFonts w:hint="eastAsia"/>
        </w:rPr>
        <w:t>經濟發展、社會公平正義及環境永續發展。據財政部表示，該方案推動以來，財政收支結構已逐步改善，收支差短持續縮減，債務規模獲得控制，有如稅課收入占歲入比重，從98年度67.7%成長至</w:t>
      </w:r>
      <w:proofErr w:type="gramStart"/>
      <w:r w:rsidRPr="00CC1650">
        <w:rPr>
          <w:rFonts w:hint="eastAsia"/>
        </w:rPr>
        <w:t>105</w:t>
      </w:r>
      <w:proofErr w:type="gramEnd"/>
      <w:r w:rsidRPr="00CC1650">
        <w:rPr>
          <w:rFonts w:hint="eastAsia"/>
        </w:rPr>
        <w:t>年度預估79.0%，為近年來最高，</w:t>
      </w:r>
      <w:proofErr w:type="gramStart"/>
      <w:r w:rsidRPr="00CC1650">
        <w:rPr>
          <w:rFonts w:hint="eastAsia"/>
        </w:rPr>
        <w:t>104</w:t>
      </w:r>
      <w:proofErr w:type="gramEnd"/>
      <w:r w:rsidRPr="00CC1650">
        <w:rPr>
          <w:rFonts w:hint="eastAsia"/>
        </w:rPr>
        <w:t>年度中央政府稅課收</w:t>
      </w:r>
      <w:proofErr w:type="gramStart"/>
      <w:r w:rsidRPr="00CC1650">
        <w:rPr>
          <w:rFonts w:hint="eastAsia"/>
        </w:rPr>
        <w:t>入超徵逾</w:t>
      </w:r>
      <w:proofErr w:type="gramEnd"/>
      <w:r w:rsidRPr="00CC1650">
        <w:rPr>
          <w:rFonts w:hint="eastAsia"/>
        </w:rPr>
        <w:t>1,400億元。歲入歲出差短大幅縮減，104及</w:t>
      </w:r>
      <w:proofErr w:type="gramStart"/>
      <w:r w:rsidRPr="00CC1650">
        <w:rPr>
          <w:rFonts w:hint="eastAsia"/>
        </w:rPr>
        <w:t>105</w:t>
      </w:r>
      <w:proofErr w:type="gramEnd"/>
      <w:r w:rsidRPr="00CC1650">
        <w:rPr>
          <w:rFonts w:hint="eastAsia"/>
        </w:rPr>
        <w:t>年度中央政府總預算歲入成長幅度均高於歲出，中央政府總預算(含特別預算)歲入歲出差短，從98年度4,392億元，大幅下降至</w:t>
      </w:r>
      <w:proofErr w:type="gramStart"/>
      <w:r w:rsidRPr="00CC1650">
        <w:rPr>
          <w:rFonts w:hint="eastAsia"/>
        </w:rPr>
        <w:t>105</w:t>
      </w:r>
      <w:proofErr w:type="gramEnd"/>
      <w:r w:rsidRPr="00CC1650">
        <w:rPr>
          <w:rFonts w:hint="eastAsia"/>
        </w:rPr>
        <w:t>年度預估1,636億元。赤字比率低於國際標準；中央政府總預算(含特別預算)赤字占GDP比率，從98年度高峰3.4%逐漸下降至</w:t>
      </w:r>
      <w:proofErr w:type="gramStart"/>
      <w:r w:rsidRPr="00CC1650">
        <w:rPr>
          <w:rFonts w:hint="eastAsia"/>
        </w:rPr>
        <w:t>103</w:t>
      </w:r>
      <w:proofErr w:type="gramEnd"/>
      <w:r w:rsidRPr="00CC1650">
        <w:rPr>
          <w:rFonts w:hint="eastAsia"/>
        </w:rPr>
        <w:t>年度0.8%，104及</w:t>
      </w:r>
      <w:proofErr w:type="gramStart"/>
      <w:r w:rsidRPr="00CC1650">
        <w:rPr>
          <w:rFonts w:hint="eastAsia"/>
        </w:rPr>
        <w:t>105</w:t>
      </w:r>
      <w:proofErr w:type="gramEnd"/>
      <w:r w:rsidRPr="00CC1650">
        <w:rPr>
          <w:rFonts w:hint="eastAsia"/>
        </w:rPr>
        <w:t>年度因應經濟情勢，適度擴大歲出規模，預估赤字比率雖略升為1.0%，惟仍遠低於歐盟馬斯垂克條約</w:t>
      </w:r>
      <w:r w:rsidRPr="00CC1650">
        <w:rPr>
          <w:rStyle w:val="afd"/>
        </w:rPr>
        <w:footnoteReference w:id="1"/>
      </w:r>
      <w:r w:rsidRPr="00CC1650">
        <w:rPr>
          <w:rFonts w:hint="eastAsia"/>
        </w:rPr>
        <w:t>所定3%標準。又債務比率逐年下降，中央政府債務</w:t>
      </w:r>
      <w:proofErr w:type="gramStart"/>
      <w:r w:rsidRPr="00CC1650">
        <w:rPr>
          <w:rFonts w:hint="eastAsia"/>
        </w:rPr>
        <w:t>未償</w:t>
      </w:r>
      <w:proofErr w:type="gramEnd"/>
      <w:r w:rsidRPr="00CC1650">
        <w:rPr>
          <w:rFonts w:hint="eastAsia"/>
        </w:rPr>
        <w:t>餘額占前3年度GDP平均數比率，由101年底36.3%逐年下降至105年底預估35.1%，連續4年下降，除在債務存量法定債限40.6%範圍內，亦符合該方案設定不超過38.6%目標。</w:t>
      </w:r>
      <w:bookmarkEnd w:id="56"/>
      <w:bookmarkEnd w:id="57"/>
      <w:bookmarkEnd w:id="58"/>
    </w:p>
    <w:p w:rsidR="0028740F" w:rsidRPr="00CC1650" w:rsidRDefault="0028740F" w:rsidP="0028740F">
      <w:pPr>
        <w:pStyle w:val="3"/>
        <w:widowControl/>
        <w:kinsoku w:val="0"/>
        <w:overflowPunct/>
        <w:autoSpaceDE/>
        <w:autoSpaceDN/>
        <w:ind w:left="1360" w:hanging="680"/>
      </w:pPr>
      <w:bookmarkStart w:id="59" w:name="_Toc454877566"/>
      <w:bookmarkStart w:id="60" w:name="_Toc454884623"/>
      <w:bookmarkStart w:id="61" w:name="_Toc455056162"/>
      <w:r w:rsidRPr="00CC1650">
        <w:rPr>
          <w:rFonts w:hint="eastAsia"/>
        </w:rPr>
        <w:lastRenderedPageBreak/>
        <w:t>依財政部說明，財政健全方案推動已略見成效，惟以90至105年中央總預算歲入歲出及餘</w:t>
      </w:r>
      <w:proofErr w:type="gramStart"/>
      <w:r w:rsidRPr="00CC1650">
        <w:rPr>
          <w:rFonts w:hint="eastAsia"/>
        </w:rPr>
        <w:t>絀</w:t>
      </w:r>
      <w:proofErr w:type="gramEnd"/>
      <w:r w:rsidRPr="00CC1650">
        <w:rPr>
          <w:rFonts w:hint="eastAsia"/>
        </w:rPr>
        <w:t>觀之（如下圖），98年歲入歲出差短高達1,611億元，101年甚至高達2,141億元，至</w:t>
      </w:r>
      <w:proofErr w:type="gramStart"/>
      <w:r w:rsidRPr="00CC1650">
        <w:rPr>
          <w:rFonts w:hint="eastAsia"/>
        </w:rPr>
        <w:t>104</w:t>
      </w:r>
      <w:proofErr w:type="gramEnd"/>
      <w:r w:rsidRPr="00CC1650">
        <w:rPr>
          <w:rFonts w:hint="eastAsia"/>
        </w:rPr>
        <w:t>年度歲入歲出差短大幅降低僅109億元，為近年來最低。然而</w:t>
      </w:r>
      <w:proofErr w:type="gramStart"/>
      <w:r w:rsidRPr="00CC1650">
        <w:rPr>
          <w:rFonts w:hint="eastAsia"/>
        </w:rPr>
        <w:t>105</w:t>
      </w:r>
      <w:proofErr w:type="gramEnd"/>
      <w:r w:rsidRPr="00CC1650">
        <w:rPr>
          <w:rFonts w:hint="eastAsia"/>
        </w:rPr>
        <w:t>年度歲出規模又擴大，預估收支差短較</w:t>
      </w:r>
      <w:proofErr w:type="gramStart"/>
      <w:r w:rsidRPr="00CC1650">
        <w:rPr>
          <w:rFonts w:hint="eastAsia"/>
        </w:rPr>
        <w:t>104</w:t>
      </w:r>
      <w:proofErr w:type="gramEnd"/>
      <w:r w:rsidRPr="00CC1650">
        <w:rPr>
          <w:rFonts w:hint="eastAsia"/>
        </w:rPr>
        <w:t>年度擴大至1,536億元，則</w:t>
      </w:r>
      <w:proofErr w:type="gramStart"/>
      <w:r w:rsidRPr="00CC1650">
        <w:rPr>
          <w:rFonts w:hint="eastAsia"/>
        </w:rPr>
        <w:t>尚須舉債</w:t>
      </w:r>
      <w:proofErr w:type="gramEnd"/>
      <w:r w:rsidRPr="00CC1650">
        <w:rPr>
          <w:rFonts w:hint="eastAsia"/>
        </w:rPr>
        <w:t>支應，此將加重政府財政負擔。又據審計部表示，中央政府1年以上公共債務</w:t>
      </w:r>
      <w:proofErr w:type="gramStart"/>
      <w:r w:rsidRPr="00CC1650">
        <w:rPr>
          <w:rFonts w:hint="eastAsia"/>
        </w:rPr>
        <w:t>未償</w:t>
      </w:r>
      <w:proofErr w:type="gramEnd"/>
      <w:r w:rsidRPr="00CC1650">
        <w:rPr>
          <w:rFonts w:hint="eastAsia"/>
        </w:rPr>
        <w:t>餘額「實際數」103年底為5兆2,539億餘元（占主計總處104年2月16日公布前3年度GDP平均數之比率為35.64%），較102年底</w:t>
      </w:r>
      <w:proofErr w:type="gramStart"/>
      <w:r w:rsidRPr="00CC1650">
        <w:rPr>
          <w:rFonts w:hint="eastAsia"/>
        </w:rPr>
        <w:t>（</w:t>
      </w:r>
      <w:proofErr w:type="gramEnd"/>
      <w:r w:rsidRPr="00CC1650">
        <w:rPr>
          <w:rFonts w:hint="eastAsia"/>
        </w:rPr>
        <w:t>5兆1,222億餘元；占主計總處103年8月15日公布前3年度GDP平均數之比率為37.17%</w:t>
      </w:r>
      <w:proofErr w:type="gramStart"/>
      <w:r w:rsidRPr="00CC1650">
        <w:rPr>
          <w:rFonts w:hint="eastAsia"/>
        </w:rPr>
        <w:t>）</w:t>
      </w:r>
      <w:proofErr w:type="gramEnd"/>
      <w:r w:rsidRPr="00CC1650">
        <w:rPr>
          <w:rFonts w:hint="eastAsia"/>
        </w:rPr>
        <w:t>增加1,316億餘元，然債務比率卻較102年底下降1.53個百分點，低於舉債上限之</w:t>
      </w:r>
      <w:proofErr w:type="gramStart"/>
      <w:r w:rsidRPr="00CC1650">
        <w:rPr>
          <w:rFonts w:hint="eastAsia"/>
        </w:rPr>
        <w:t>9成</w:t>
      </w:r>
      <w:proofErr w:type="gramEnd"/>
      <w:r w:rsidRPr="00CC1650">
        <w:rPr>
          <w:rFonts w:hint="eastAsia"/>
        </w:rPr>
        <w:t>，毋需依公共債務法規定之預警機制，</w:t>
      </w:r>
      <w:proofErr w:type="gramStart"/>
      <w:r w:rsidRPr="00CC1650">
        <w:rPr>
          <w:rFonts w:hint="eastAsia"/>
        </w:rPr>
        <w:t>研</w:t>
      </w:r>
      <w:proofErr w:type="gramEnd"/>
      <w:r w:rsidRPr="00CC1650">
        <w:rPr>
          <w:rFonts w:hint="eastAsia"/>
        </w:rPr>
        <w:t>提債務改善計畫。主要係主計總處103年11月28日配合聯合國</w:t>
      </w:r>
      <w:proofErr w:type="gramStart"/>
      <w:r w:rsidRPr="00CC1650">
        <w:rPr>
          <w:rFonts w:hint="eastAsia"/>
        </w:rPr>
        <w:t>最</w:t>
      </w:r>
      <w:proofErr w:type="gramEnd"/>
      <w:r w:rsidRPr="00CC1650">
        <w:rPr>
          <w:rFonts w:hint="eastAsia"/>
        </w:rPr>
        <w:t>新版國民經濟會計制度（2008SNA）</w:t>
      </w:r>
      <w:proofErr w:type="gramStart"/>
      <w:r w:rsidRPr="00CC1650">
        <w:rPr>
          <w:rFonts w:hint="eastAsia"/>
        </w:rPr>
        <w:t>修正編算原則</w:t>
      </w:r>
      <w:proofErr w:type="gramEnd"/>
      <w:r w:rsidRPr="00CC1650">
        <w:rPr>
          <w:rFonts w:hint="eastAsia"/>
        </w:rPr>
        <w:t>，修正GDP規模增加逾6千億元，致債務比率隨之降低所致。債務餘額實質並未減少，債務付息及還本之壓力亦未降低。</w:t>
      </w:r>
      <w:bookmarkEnd w:id="59"/>
      <w:bookmarkEnd w:id="60"/>
      <w:bookmarkEnd w:id="61"/>
    </w:p>
    <w:p w:rsidR="0028740F" w:rsidRPr="00CC1650" w:rsidRDefault="0028740F" w:rsidP="0028740F">
      <w:pPr>
        <w:pStyle w:val="1"/>
        <w:numPr>
          <w:ilvl w:val="0"/>
          <w:numId w:val="0"/>
        </w:numPr>
        <w:ind w:left="699" w:hanging="699"/>
      </w:pPr>
    </w:p>
    <w:p w:rsidR="0028740F" w:rsidRPr="00CC1650" w:rsidRDefault="0028740F" w:rsidP="0028740F">
      <w:pPr>
        <w:pStyle w:val="3"/>
        <w:widowControl/>
        <w:numPr>
          <w:ilvl w:val="0"/>
          <w:numId w:val="0"/>
        </w:numPr>
        <w:ind w:left="680"/>
      </w:pPr>
      <w:bookmarkStart w:id="62" w:name="_Toc454877567"/>
      <w:bookmarkStart w:id="63" w:name="_Toc454884624"/>
      <w:bookmarkStart w:id="64" w:name="_Toc455056163"/>
      <w:r w:rsidRPr="00CC1650">
        <w:rPr>
          <w:bCs w:val="0"/>
          <w:noProof/>
        </w:rPr>
        <w:lastRenderedPageBreak/>
        <w:drawing>
          <wp:inline distT="0" distB="0" distL="0" distR="0">
            <wp:extent cx="5615940" cy="368554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5940" cy="3685540"/>
                    </a:xfrm>
                    <a:prstGeom prst="rect">
                      <a:avLst/>
                    </a:prstGeom>
                  </pic:spPr>
                </pic:pic>
              </a:graphicData>
            </a:graphic>
          </wp:inline>
        </w:drawing>
      </w:r>
      <w:bookmarkEnd w:id="62"/>
      <w:bookmarkEnd w:id="63"/>
      <w:bookmarkEnd w:id="64"/>
    </w:p>
    <w:p w:rsidR="0028740F" w:rsidRPr="00CC1650" w:rsidRDefault="0028740F" w:rsidP="0028740F">
      <w:pPr>
        <w:pStyle w:val="a2"/>
        <w:spacing w:before="120" w:after="40"/>
        <w:ind w:left="482" w:hanging="482"/>
      </w:pPr>
      <w:bookmarkStart w:id="65" w:name="_Toc455056692"/>
      <w:r w:rsidRPr="00CC1650">
        <w:rPr>
          <w:rFonts w:hint="eastAsia"/>
        </w:rPr>
        <w:t>中央政府總預算歲入歲出及餘</w:t>
      </w:r>
      <w:proofErr w:type="gramStart"/>
      <w:r w:rsidRPr="00CC1650">
        <w:rPr>
          <w:rFonts w:hint="eastAsia"/>
        </w:rPr>
        <w:t>絀</w:t>
      </w:r>
      <w:proofErr w:type="gramEnd"/>
      <w:r w:rsidRPr="00CC1650">
        <w:rPr>
          <w:rFonts w:hint="eastAsia"/>
        </w:rPr>
        <w:t>趨勢圖</w:t>
      </w:r>
      <w:bookmarkEnd w:id="65"/>
    </w:p>
    <w:p w:rsidR="0028740F" w:rsidRPr="00CC1650" w:rsidRDefault="0028740F" w:rsidP="00CC1650">
      <w:pPr>
        <w:pStyle w:val="1"/>
        <w:numPr>
          <w:ilvl w:val="0"/>
          <w:numId w:val="0"/>
        </w:numPr>
        <w:spacing w:afterLines="50"/>
        <w:ind w:left="697" w:firstLine="11"/>
        <w:rPr>
          <w:sz w:val="24"/>
          <w:szCs w:val="24"/>
        </w:rPr>
      </w:pPr>
      <w:bookmarkStart w:id="66" w:name="_Toc454877568"/>
      <w:bookmarkStart w:id="67" w:name="_Toc454884625"/>
      <w:bookmarkStart w:id="68" w:name="_Toc455056164"/>
      <w:r w:rsidRPr="00CC1650">
        <w:rPr>
          <w:rFonts w:hint="eastAsia"/>
          <w:sz w:val="24"/>
          <w:szCs w:val="24"/>
        </w:rPr>
        <w:t>資料來源：財政部網站</w:t>
      </w:r>
      <w:bookmarkEnd w:id="66"/>
      <w:bookmarkEnd w:id="67"/>
      <w:bookmarkEnd w:id="68"/>
    </w:p>
    <w:p w:rsidR="0028740F" w:rsidRPr="00CC1650" w:rsidRDefault="0028740F" w:rsidP="0028740F">
      <w:pPr>
        <w:pStyle w:val="3"/>
        <w:widowControl/>
        <w:kinsoku w:val="0"/>
        <w:overflowPunct/>
        <w:autoSpaceDE/>
        <w:autoSpaceDN/>
        <w:ind w:left="1360" w:hanging="680"/>
      </w:pPr>
      <w:bookmarkStart w:id="69" w:name="_Toc454877569"/>
      <w:bookmarkStart w:id="70" w:name="_Toc454884626"/>
      <w:bookmarkStart w:id="71" w:name="_Toc455056165"/>
      <w:r w:rsidRPr="00CC1650">
        <w:rPr>
          <w:rFonts w:hint="eastAsia"/>
        </w:rPr>
        <w:t>各級政府累積債務餘額仍</w:t>
      </w:r>
      <w:proofErr w:type="gramStart"/>
      <w:r w:rsidRPr="00CC1650">
        <w:rPr>
          <w:rFonts w:hint="eastAsia"/>
        </w:rPr>
        <w:t>鉅</w:t>
      </w:r>
      <w:proofErr w:type="gramEnd"/>
      <w:r w:rsidRPr="00CC1650">
        <w:rPr>
          <w:rFonts w:hint="eastAsia"/>
        </w:rPr>
        <w:t>，截至104年12月，中央政府1年以上非自償公共債務</w:t>
      </w:r>
      <w:proofErr w:type="gramStart"/>
      <w:r w:rsidRPr="00CC1650">
        <w:rPr>
          <w:rFonts w:hint="eastAsia"/>
        </w:rPr>
        <w:t>未償</w:t>
      </w:r>
      <w:proofErr w:type="gramEnd"/>
      <w:r w:rsidRPr="00CC1650">
        <w:rPr>
          <w:rFonts w:hint="eastAsia"/>
        </w:rPr>
        <w:t>餘額仍高達5兆2,769億元，地方政府7,451億元，共計6兆220億元，且</w:t>
      </w:r>
      <w:proofErr w:type="gramStart"/>
      <w:r w:rsidRPr="00CC1650">
        <w:rPr>
          <w:rFonts w:hint="eastAsia"/>
        </w:rPr>
        <w:t>105</w:t>
      </w:r>
      <w:proofErr w:type="gramEnd"/>
      <w:r w:rsidRPr="00CC1650">
        <w:rPr>
          <w:rFonts w:hint="eastAsia"/>
        </w:rPr>
        <w:t>年度預估歲入歲出差短高達1,536億元，勢將舉債以因應。雖公共債務法第12條第1項規定，直轄市應以當年度稅課收入5%，縣(市)及鄉(鎮、市)應按上年度長期債務</w:t>
      </w:r>
      <w:proofErr w:type="gramStart"/>
      <w:r w:rsidRPr="00CC1650">
        <w:rPr>
          <w:rFonts w:hint="eastAsia"/>
        </w:rPr>
        <w:t>未償</w:t>
      </w:r>
      <w:proofErr w:type="gramEnd"/>
      <w:r w:rsidRPr="00CC1650">
        <w:rPr>
          <w:rFonts w:hint="eastAsia"/>
        </w:rPr>
        <w:t>餘額1%編列強制還本預算並執行，然在歲出超過歲入之窘境下，所編列債務還本預算恐尚須以舉債方式來支應，故實質上仍</w:t>
      </w:r>
      <w:proofErr w:type="gramStart"/>
      <w:r w:rsidRPr="00CC1650">
        <w:rPr>
          <w:rFonts w:hint="eastAsia"/>
        </w:rPr>
        <w:t>屬舉新</w:t>
      </w:r>
      <w:proofErr w:type="gramEnd"/>
      <w:r w:rsidRPr="00CC1650">
        <w:rPr>
          <w:rFonts w:hint="eastAsia"/>
        </w:rPr>
        <w:t>債償還舊債，對於債務減少之形式意義大於實質。又同法第12條第2項規定，中央、直轄市、縣（市）及鄉（鎮、市）得審視歲入執行狀況，於其當年度預算原編列債務之</w:t>
      </w:r>
      <w:proofErr w:type="gramStart"/>
      <w:r w:rsidRPr="00CC1650">
        <w:rPr>
          <w:rFonts w:hint="eastAsia"/>
        </w:rPr>
        <w:t>償還數外</w:t>
      </w:r>
      <w:proofErr w:type="gramEnd"/>
      <w:r w:rsidRPr="00CC1650">
        <w:rPr>
          <w:rFonts w:hint="eastAsia"/>
        </w:rPr>
        <w:t>，增加還本數額。然而地方政府在歲收不足以支應政事</w:t>
      </w:r>
      <w:r w:rsidRPr="00CC1650">
        <w:rPr>
          <w:rFonts w:hint="eastAsia"/>
        </w:rPr>
        <w:lastRenderedPageBreak/>
        <w:t>支出之前提下，恐難落實執行。茲以104年底中央政府1年以上非自償公共債務餘額尚有5兆2,769億餘元，在不增加舉債及不考慮利息之前提下，並以90年</w:t>
      </w:r>
      <w:r w:rsidR="003E6581" w:rsidRPr="00CC1650">
        <w:rPr>
          <w:rFonts w:hint="eastAsia"/>
        </w:rPr>
        <w:t>度</w:t>
      </w:r>
      <w:r w:rsidRPr="00CC1650">
        <w:rPr>
          <w:rFonts w:hint="eastAsia"/>
        </w:rPr>
        <w:t>迄</w:t>
      </w:r>
      <w:proofErr w:type="gramStart"/>
      <w:r w:rsidRPr="00CC1650">
        <w:rPr>
          <w:rFonts w:hint="eastAsia"/>
        </w:rPr>
        <w:t>104</w:t>
      </w:r>
      <w:proofErr w:type="gramEnd"/>
      <w:r w:rsidRPr="00CC1650">
        <w:rPr>
          <w:rFonts w:hint="eastAsia"/>
        </w:rPr>
        <w:t>年度總預算債務還本</w:t>
      </w:r>
      <w:proofErr w:type="gramStart"/>
      <w:r w:rsidRPr="00CC1650">
        <w:rPr>
          <w:rFonts w:hint="eastAsia"/>
        </w:rPr>
        <w:t>每年均約編列</w:t>
      </w:r>
      <w:proofErr w:type="gramEnd"/>
      <w:r w:rsidRPr="00CC1650">
        <w:rPr>
          <w:rFonts w:hint="eastAsia"/>
        </w:rPr>
        <w:t>600億元來推估，累積之債務約需87餘年才能還清，足見僅</w:t>
      </w:r>
      <w:proofErr w:type="gramStart"/>
      <w:r w:rsidRPr="00CC1650">
        <w:rPr>
          <w:rFonts w:hint="eastAsia"/>
        </w:rPr>
        <w:t>靠舉新還</w:t>
      </w:r>
      <w:proofErr w:type="gramEnd"/>
      <w:r w:rsidRPr="00CC1650">
        <w:rPr>
          <w:rFonts w:hint="eastAsia"/>
        </w:rPr>
        <w:t>舊之方式展延債務，未提高還本金額，實難有效降低債務</w:t>
      </w:r>
      <w:proofErr w:type="gramStart"/>
      <w:r w:rsidRPr="00CC1650">
        <w:rPr>
          <w:rFonts w:hint="eastAsia"/>
        </w:rPr>
        <w:t>未償</w:t>
      </w:r>
      <w:proofErr w:type="gramEnd"/>
      <w:r w:rsidRPr="00CC1650">
        <w:rPr>
          <w:rFonts w:hint="eastAsia"/>
        </w:rPr>
        <w:t>餘額。</w:t>
      </w:r>
      <w:bookmarkEnd w:id="69"/>
      <w:bookmarkEnd w:id="70"/>
      <w:bookmarkEnd w:id="71"/>
    </w:p>
    <w:p w:rsidR="0028740F" w:rsidRPr="00CC1650" w:rsidRDefault="0028740F" w:rsidP="0028740F">
      <w:pPr>
        <w:pStyle w:val="3"/>
        <w:widowControl/>
        <w:kinsoku w:val="0"/>
        <w:overflowPunct/>
        <w:autoSpaceDE/>
        <w:autoSpaceDN/>
        <w:ind w:left="1360" w:hanging="680"/>
      </w:pPr>
      <w:bookmarkStart w:id="72" w:name="_Toc454877570"/>
      <w:bookmarkStart w:id="73" w:name="_Toc454884627"/>
      <w:bookmarkStart w:id="74" w:name="_Toc455056166"/>
      <w:r w:rsidRPr="00CC1650">
        <w:rPr>
          <w:rFonts w:hint="eastAsia"/>
        </w:rPr>
        <w:t>據財政部</w:t>
      </w:r>
      <w:proofErr w:type="gramStart"/>
      <w:r w:rsidRPr="00CC1650">
        <w:rPr>
          <w:rFonts w:hint="eastAsia"/>
        </w:rPr>
        <w:t>研</w:t>
      </w:r>
      <w:proofErr w:type="gramEnd"/>
      <w:r w:rsidRPr="00CC1650">
        <w:rPr>
          <w:rFonts w:hint="eastAsia"/>
        </w:rPr>
        <w:t>提之財政健全方案設定債務改善目標之一為控管債務，不</w:t>
      </w:r>
      <w:proofErr w:type="gramStart"/>
      <w:r w:rsidRPr="00CC1650">
        <w:rPr>
          <w:rFonts w:hint="eastAsia"/>
        </w:rPr>
        <w:t>讓債限破表，採</w:t>
      </w:r>
      <w:proofErr w:type="gramEnd"/>
      <w:r w:rsidRPr="00CC1650">
        <w:rPr>
          <w:rFonts w:hint="eastAsia"/>
        </w:rPr>
        <w:t>中央政府債務</w:t>
      </w:r>
      <w:proofErr w:type="gramStart"/>
      <w:r w:rsidRPr="00CC1650">
        <w:rPr>
          <w:rFonts w:hint="eastAsia"/>
        </w:rPr>
        <w:t>未償</w:t>
      </w:r>
      <w:proofErr w:type="gramEnd"/>
      <w:r w:rsidRPr="00CC1650">
        <w:rPr>
          <w:rFonts w:hint="eastAsia"/>
        </w:rPr>
        <w:t>餘額上限設定為前3年度名目GDP平均數之38.6%，每年債務</w:t>
      </w:r>
      <w:proofErr w:type="gramStart"/>
      <w:r w:rsidRPr="00CC1650">
        <w:rPr>
          <w:rFonts w:hint="eastAsia"/>
        </w:rPr>
        <w:t>未償</w:t>
      </w:r>
      <w:proofErr w:type="gramEnd"/>
      <w:r w:rsidRPr="00CC1650">
        <w:rPr>
          <w:rFonts w:hint="eastAsia"/>
        </w:rPr>
        <w:t>餘額增加數以當年度GDP</w:t>
      </w:r>
      <w:proofErr w:type="gramStart"/>
      <w:r w:rsidRPr="00CC1650">
        <w:rPr>
          <w:rFonts w:hint="eastAsia"/>
        </w:rPr>
        <w:t>成長率伸算之</w:t>
      </w:r>
      <w:proofErr w:type="gramEnd"/>
      <w:r w:rsidRPr="00CC1650">
        <w:rPr>
          <w:rFonts w:hint="eastAsia"/>
        </w:rPr>
        <w:t>額度為限。然而此法僅能控管年度舉債額度債務</w:t>
      </w:r>
      <w:proofErr w:type="gramStart"/>
      <w:r w:rsidRPr="00CC1650">
        <w:rPr>
          <w:rFonts w:hint="eastAsia"/>
        </w:rPr>
        <w:t>未償</w:t>
      </w:r>
      <w:proofErr w:type="gramEnd"/>
      <w:r w:rsidRPr="00CC1650">
        <w:rPr>
          <w:rFonts w:hint="eastAsia"/>
        </w:rPr>
        <w:t>餘額增加數，仍無法有效降低債務餘額，依</w:t>
      </w:r>
      <w:proofErr w:type="gramStart"/>
      <w:r w:rsidRPr="00CC1650">
        <w:rPr>
          <w:rFonts w:hint="eastAsia"/>
        </w:rPr>
        <w:t>該部推估</w:t>
      </w:r>
      <w:proofErr w:type="gramEnd"/>
      <w:r w:rsidRPr="00CC1650">
        <w:rPr>
          <w:rFonts w:hint="eastAsia"/>
        </w:rPr>
        <w:t>108年中央政府債務</w:t>
      </w:r>
      <w:proofErr w:type="gramStart"/>
      <w:r w:rsidRPr="00CC1650">
        <w:rPr>
          <w:rFonts w:hint="eastAsia"/>
        </w:rPr>
        <w:t>未償</w:t>
      </w:r>
      <w:proofErr w:type="gramEnd"/>
      <w:r w:rsidRPr="00CC1650">
        <w:rPr>
          <w:rFonts w:hint="eastAsia"/>
        </w:rPr>
        <w:t>餘額仍高達6兆1,242億元。是</w:t>
      </w:r>
      <w:proofErr w:type="gramStart"/>
      <w:r w:rsidRPr="00CC1650">
        <w:rPr>
          <w:rFonts w:hint="eastAsia"/>
        </w:rPr>
        <w:t>以</w:t>
      </w:r>
      <w:proofErr w:type="gramEnd"/>
      <w:r w:rsidRPr="00CC1650">
        <w:rPr>
          <w:rFonts w:hint="eastAsia"/>
        </w:rPr>
        <w:t>，為減緩及適度降低公共債務</w:t>
      </w:r>
      <w:proofErr w:type="gramStart"/>
      <w:r w:rsidRPr="00CC1650">
        <w:rPr>
          <w:rFonts w:hint="eastAsia"/>
        </w:rPr>
        <w:t>未償</w:t>
      </w:r>
      <w:proofErr w:type="gramEnd"/>
      <w:r w:rsidRPr="00CC1650">
        <w:rPr>
          <w:rFonts w:hint="eastAsia"/>
        </w:rPr>
        <w:t>餘額，以維財政穩健，行政院及財政部實應妥為規劃更具體</w:t>
      </w:r>
      <w:proofErr w:type="gramStart"/>
      <w:r w:rsidRPr="00CC1650">
        <w:rPr>
          <w:rFonts w:hint="eastAsia"/>
        </w:rPr>
        <w:t>有效減債措施</w:t>
      </w:r>
      <w:proofErr w:type="gramEnd"/>
      <w:r w:rsidRPr="00CC1650">
        <w:rPr>
          <w:rFonts w:hint="eastAsia"/>
        </w:rPr>
        <w:t>及</w:t>
      </w:r>
      <w:proofErr w:type="gramStart"/>
      <w:r w:rsidRPr="00CC1650">
        <w:rPr>
          <w:rFonts w:hint="eastAsia"/>
        </w:rPr>
        <w:t>減債時</w:t>
      </w:r>
      <w:proofErr w:type="gramEnd"/>
      <w:r w:rsidRPr="00CC1650">
        <w:rPr>
          <w:rFonts w:hint="eastAsia"/>
        </w:rPr>
        <w:t>程，並確實控管債務。</w:t>
      </w:r>
      <w:bookmarkEnd w:id="72"/>
      <w:bookmarkEnd w:id="73"/>
      <w:bookmarkEnd w:id="74"/>
    </w:p>
    <w:p w:rsidR="0028740F" w:rsidRPr="00CC1650" w:rsidRDefault="0028740F" w:rsidP="0028740F">
      <w:pPr>
        <w:pStyle w:val="3"/>
        <w:widowControl/>
        <w:kinsoku w:val="0"/>
        <w:overflowPunct/>
        <w:autoSpaceDE/>
        <w:autoSpaceDN/>
        <w:ind w:left="1360" w:hanging="680"/>
      </w:pPr>
      <w:bookmarkStart w:id="75" w:name="_Toc454877571"/>
      <w:bookmarkStart w:id="76" w:name="_Toc454884628"/>
      <w:bookmarkStart w:id="77" w:name="_Toc455056167"/>
      <w:r w:rsidRPr="00CC1650">
        <w:rPr>
          <w:rFonts w:hint="eastAsia"/>
        </w:rPr>
        <w:t>財政</w:t>
      </w:r>
      <w:proofErr w:type="gramStart"/>
      <w:r w:rsidRPr="00CC1650">
        <w:rPr>
          <w:rFonts w:hint="eastAsia"/>
        </w:rPr>
        <w:t>健全除</w:t>
      </w:r>
      <w:proofErr w:type="gramEnd"/>
      <w:r w:rsidRPr="00CC1650">
        <w:rPr>
          <w:rFonts w:hint="eastAsia"/>
        </w:rPr>
        <w:t>仰賴多元化籌措財源、有效控管及降低債務外，最重要的就是必須</w:t>
      </w:r>
      <w:proofErr w:type="gramStart"/>
      <w:r w:rsidRPr="00CC1650">
        <w:rPr>
          <w:rFonts w:hint="eastAsia"/>
        </w:rPr>
        <w:t>撙</w:t>
      </w:r>
      <w:proofErr w:type="gramEnd"/>
      <w:r w:rsidRPr="00CC1650">
        <w:rPr>
          <w:rFonts w:hint="eastAsia"/>
        </w:rPr>
        <w:t>節開支，且調整支出結構，始能確保財政</w:t>
      </w:r>
      <w:proofErr w:type="gramStart"/>
      <w:r w:rsidRPr="00CC1650">
        <w:rPr>
          <w:rFonts w:hint="eastAsia"/>
        </w:rPr>
        <w:t>健全，</w:t>
      </w:r>
      <w:proofErr w:type="gramEnd"/>
      <w:r w:rsidRPr="00CC1650">
        <w:rPr>
          <w:rFonts w:hint="eastAsia"/>
        </w:rPr>
        <w:t>國家得以永續發展，然</w:t>
      </w:r>
      <w:proofErr w:type="gramStart"/>
      <w:r w:rsidRPr="00CC1650">
        <w:rPr>
          <w:rFonts w:hint="eastAsia"/>
        </w:rPr>
        <w:t>囿</w:t>
      </w:r>
      <w:proofErr w:type="gramEnd"/>
      <w:r w:rsidRPr="00CC1650">
        <w:rPr>
          <w:rFonts w:hint="eastAsia"/>
        </w:rPr>
        <w:t>於全球經濟發展局勢不佳，景氣衰退造成歲入實難有長足之成長，因此，如何</w:t>
      </w:r>
      <w:proofErr w:type="gramStart"/>
      <w:r w:rsidRPr="00CC1650">
        <w:rPr>
          <w:rFonts w:hint="eastAsia"/>
        </w:rPr>
        <w:t>撙</w:t>
      </w:r>
      <w:proofErr w:type="gramEnd"/>
      <w:r w:rsidRPr="00CC1650">
        <w:rPr>
          <w:rFonts w:hint="eastAsia"/>
        </w:rPr>
        <w:t>節開支、減少不必要之支出及落實財政紀律，以降低收支缺口，減少舉債額度，至關重要。據財政部提供資料，中央政府總預算連同特別預算</w:t>
      </w:r>
      <w:proofErr w:type="gramStart"/>
      <w:r w:rsidRPr="00CC1650">
        <w:rPr>
          <w:rFonts w:hint="eastAsia"/>
        </w:rPr>
        <w:t>歲出占</w:t>
      </w:r>
      <w:proofErr w:type="gramEnd"/>
      <w:r w:rsidRPr="00CC1650">
        <w:rPr>
          <w:rFonts w:hint="eastAsia"/>
        </w:rPr>
        <w:t>GDP之比率，由98年度金融海嘯之高峰16%，降至</w:t>
      </w:r>
      <w:proofErr w:type="gramStart"/>
      <w:r w:rsidRPr="00CC1650">
        <w:rPr>
          <w:rFonts w:hint="eastAsia"/>
        </w:rPr>
        <w:t>103</w:t>
      </w:r>
      <w:proofErr w:type="gramEnd"/>
      <w:r w:rsidRPr="00CC1650">
        <w:rPr>
          <w:rFonts w:hint="eastAsia"/>
        </w:rPr>
        <w:t>年度之13%，惟法律義務支出卻逐年攀升，占總預算歲出之比率由97年度之65%，增至</w:t>
      </w:r>
      <w:proofErr w:type="gramStart"/>
      <w:r w:rsidRPr="00CC1650">
        <w:rPr>
          <w:rFonts w:hint="eastAsia"/>
        </w:rPr>
        <w:t>103</w:t>
      </w:r>
      <w:proofErr w:type="gramEnd"/>
      <w:r w:rsidRPr="00CC1650">
        <w:rPr>
          <w:rFonts w:hint="eastAsia"/>
        </w:rPr>
        <w:t>年度之70%，其中社會福利支出更是易</w:t>
      </w:r>
      <w:proofErr w:type="gramStart"/>
      <w:r w:rsidRPr="00CC1650">
        <w:rPr>
          <w:rFonts w:hint="eastAsia"/>
        </w:rPr>
        <w:t>增難減</w:t>
      </w:r>
      <w:proofErr w:type="gramEnd"/>
      <w:r w:rsidRPr="00CC1650">
        <w:rPr>
          <w:rFonts w:hint="eastAsia"/>
        </w:rPr>
        <w:t>。</w:t>
      </w:r>
      <w:proofErr w:type="gramStart"/>
      <w:r w:rsidRPr="00CC1650">
        <w:rPr>
          <w:rFonts w:hint="eastAsia"/>
        </w:rPr>
        <w:t>該部亦指出</w:t>
      </w:r>
      <w:proofErr w:type="gramEnd"/>
      <w:r w:rsidRPr="00CC1650">
        <w:rPr>
          <w:rFonts w:hint="eastAsia"/>
        </w:rPr>
        <w:t>且當前法律義務</w:t>
      </w:r>
      <w:r w:rsidRPr="00CC1650">
        <w:rPr>
          <w:rFonts w:hint="eastAsia"/>
        </w:rPr>
        <w:lastRenderedPageBreak/>
        <w:t>支出已高達歲出之70%，致歲出已有僵化現象，允宜審慎檢討，以消除資源重複投入或不經濟使用情事。例如：社會福利支出宜適時滾動檢討，全民健康保險政府負擔、各項補助之排富條件、各項退休年金制度之費率及給付條件、基金效益之提升等皆有檢討改進空間。另非法律義務支出方面亦尚有諸多檢討改進空間，例如：部分財團法人財源自籌能力欠佳，仰賴政府補助、捐助及委辦收入</w:t>
      </w:r>
      <w:proofErr w:type="gramStart"/>
      <w:r w:rsidRPr="00CC1650">
        <w:rPr>
          <w:rFonts w:hint="eastAsia"/>
        </w:rPr>
        <w:t>挹</w:t>
      </w:r>
      <w:proofErr w:type="gramEnd"/>
      <w:r w:rsidRPr="00CC1650">
        <w:rPr>
          <w:rFonts w:hint="eastAsia"/>
        </w:rPr>
        <w:t>注，已成為政府長期財政負擔，允宜檢討其合理性及必要性。又如各項委辦費、福利津貼、專業加給等皆已沿習多年，允</w:t>
      </w:r>
      <w:proofErr w:type="gramStart"/>
      <w:r w:rsidRPr="00CC1650">
        <w:rPr>
          <w:rFonts w:hint="eastAsia"/>
        </w:rPr>
        <w:t>宜本諸零</w:t>
      </w:r>
      <w:proofErr w:type="gramEnd"/>
      <w:r w:rsidRPr="00CC1650">
        <w:rPr>
          <w:rFonts w:hint="eastAsia"/>
        </w:rPr>
        <w:t>基預算精神，因時制宜檢討。足見，中央政府對於造成財務困窘問題知之甚詳，且上開問題存在已久，迄今尚未對症下藥，以有效解決財政沈痾，行政院允應確實檢討確實，</w:t>
      </w:r>
      <w:proofErr w:type="gramStart"/>
      <w:r w:rsidRPr="00CC1650">
        <w:rPr>
          <w:rFonts w:hint="eastAsia"/>
        </w:rPr>
        <w:t>研</w:t>
      </w:r>
      <w:proofErr w:type="gramEnd"/>
      <w:r w:rsidRPr="00CC1650">
        <w:rPr>
          <w:rFonts w:hint="eastAsia"/>
        </w:rPr>
        <w:t>議具體有效之改善作為。</w:t>
      </w:r>
      <w:bookmarkEnd w:id="75"/>
      <w:bookmarkEnd w:id="76"/>
      <w:bookmarkEnd w:id="77"/>
    </w:p>
    <w:p w:rsidR="0028740F" w:rsidRPr="00CC1650" w:rsidRDefault="0028740F" w:rsidP="0028740F">
      <w:pPr>
        <w:pStyle w:val="3"/>
        <w:widowControl/>
        <w:kinsoku w:val="0"/>
        <w:overflowPunct/>
        <w:autoSpaceDE/>
        <w:autoSpaceDN/>
        <w:ind w:left="1360" w:hanging="680"/>
      </w:pPr>
      <w:bookmarkStart w:id="78" w:name="_Toc454877572"/>
      <w:bookmarkStart w:id="79" w:name="_Toc454884629"/>
      <w:bookmarkStart w:id="80" w:name="_Toc455056168"/>
      <w:r w:rsidRPr="00CC1650">
        <w:rPr>
          <w:rFonts w:hint="eastAsia"/>
        </w:rPr>
        <w:t>基上，政府財政之健全為國家整體經濟永續發展之基石，如何</w:t>
      </w:r>
      <w:proofErr w:type="gramStart"/>
      <w:r w:rsidRPr="00CC1650">
        <w:rPr>
          <w:rFonts w:hint="eastAsia"/>
        </w:rPr>
        <w:t>有效減債以</w:t>
      </w:r>
      <w:proofErr w:type="gramEnd"/>
      <w:r w:rsidRPr="00CC1650">
        <w:rPr>
          <w:rFonts w:hint="eastAsia"/>
        </w:rPr>
        <w:t>確保財政</w:t>
      </w:r>
      <w:proofErr w:type="gramStart"/>
      <w:r w:rsidRPr="00CC1650">
        <w:rPr>
          <w:rFonts w:hint="eastAsia"/>
        </w:rPr>
        <w:t>健全，</w:t>
      </w:r>
      <w:proofErr w:type="gramEnd"/>
      <w:r w:rsidRPr="00CC1650">
        <w:rPr>
          <w:rFonts w:hint="eastAsia"/>
        </w:rPr>
        <w:t>中央及地方政府責無旁貸。職是，為有效清理高額債務降低債務餘額，</w:t>
      </w:r>
      <w:proofErr w:type="gramStart"/>
      <w:r w:rsidRPr="00CC1650">
        <w:rPr>
          <w:rFonts w:hint="eastAsia"/>
        </w:rPr>
        <w:t>避免債留子孫</w:t>
      </w:r>
      <w:proofErr w:type="gramEnd"/>
      <w:r w:rsidRPr="00CC1650">
        <w:rPr>
          <w:rFonts w:hint="eastAsia"/>
        </w:rPr>
        <w:t>，行政院</w:t>
      </w:r>
      <w:proofErr w:type="gramStart"/>
      <w:r w:rsidRPr="00CC1650">
        <w:rPr>
          <w:rFonts w:hint="eastAsia"/>
        </w:rPr>
        <w:t>允</w:t>
      </w:r>
      <w:proofErr w:type="gramEnd"/>
      <w:r w:rsidRPr="00CC1650">
        <w:rPr>
          <w:rFonts w:hint="eastAsia"/>
        </w:rPr>
        <w:t>應賡續強化債務管理，擬定</w:t>
      </w:r>
      <w:proofErr w:type="gramStart"/>
      <w:r w:rsidRPr="00CC1650">
        <w:rPr>
          <w:rFonts w:hint="eastAsia"/>
        </w:rPr>
        <w:t>有效減債措施</w:t>
      </w:r>
      <w:proofErr w:type="gramEnd"/>
      <w:r w:rsidRPr="00CC1650">
        <w:rPr>
          <w:rFonts w:hint="eastAsia"/>
        </w:rPr>
        <w:t>，積極督促各級政府增加年度還本數，以確保政府財政得以永續。另法律義務支出逐年攀升，至</w:t>
      </w:r>
      <w:proofErr w:type="gramStart"/>
      <w:r w:rsidRPr="00CC1650">
        <w:rPr>
          <w:rFonts w:hint="eastAsia"/>
        </w:rPr>
        <w:t>103</w:t>
      </w:r>
      <w:proofErr w:type="gramEnd"/>
      <w:r w:rsidRPr="00CC1650">
        <w:rPr>
          <w:rFonts w:hint="eastAsia"/>
        </w:rPr>
        <w:t>年度已高達歲出之70%，允宜務實檢討其合理性及必要性，落實</w:t>
      </w:r>
      <w:proofErr w:type="gramStart"/>
      <w:r w:rsidRPr="00CC1650">
        <w:rPr>
          <w:rFonts w:hint="eastAsia"/>
        </w:rPr>
        <w:t>撙</w:t>
      </w:r>
      <w:proofErr w:type="gramEnd"/>
      <w:r w:rsidRPr="00CC1650">
        <w:rPr>
          <w:rFonts w:hint="eastAsia"/>
        </w:rPr>
        <w:t>節開支作為。</w:t>
      </w:r>
      <w:bookmarkEnd w:id="78"/>
      <w:bookmarkEnd w:id="79"/>
      <w:bookmarkEnd w:id="80"/>
    </w:p>
    <w:p w:rsidR="0028740F" w:rsidRPr="00CC1650" w:rsidRDefault="0028740F" w:rsidP="0028740F">
      <w:pPr>
        <w:pStyle w:val="2"/>
        <w:kinsoku w:val="0"/>
        <w:overflowPunct/>
        <w:autoSpaceDE/>
        <w:autoSpaceDN/>
        <w:ind w:left="1020" w:hanging="680"/>
        <w:rPr>
          <w:b/>
        </w:rPr>
      </w:pPr>
      <w:bookmarkStart w:id="81" w:name="_Toc455056169"/>
      <w:r w:rsidRPr="00CC1650">
        <w:rPr>
          <w:rFonts w:hint="eastAsia"/>
          <w:b/>
        </w:rPr>
        <w:t>潛藏負債雖非政府立即應支付之負債，然目前中央與地方政府之潛藏負債經估算金額高達17.74兆元，</w:t>
      </w:r>
      <w:proofErr w:type="gramStart"/>
      <w:r w:rsidRPr="00CC1650">
        <w:rPr>
          <w:rFonts w:hint="eastAsia"/>
          <w:b/>
        </w:rPr>
        <w:t>凸</w:t>
      </w:r>
      <w:proofErr w:type="gramEnd"/>
      <w:r w:rsidRPr="00CC1650">
        <w:rPr>
          <w:rFonts w:hint="eastAsia"/>
          <w:b/>
        </w:rPr>
        <w:t>顯各項社會保險財務結構之不健全。行政院除應積極督促各權責主管機關及地方政府將該等資訊確實及充分揭露表達外，為避免成為政府實質債務，行政院允應預為籌謀因應，督促相關權責主管機關積極</w:t>
      </w:r>
      <w:proofErr w:type="gramStart"/>
      <w:r w:rsidRPr="00CC1650">
        <w:rPr>
          <w:rFonts w:hint="eastAsia"/>
          <w:b/>
        </w:rPr>
        <w:t>研</w:t>
      </w:r>
      <w:proofErr w:type="gramEnd"/>
      <w:r w:rsidRPr="00CC1650">
        <w:rPr>
          <w:rFonts w:hint="eastAsia"/>
          <w:b/>
        </w:rPr>
        <w:t>議</w:t>
      </w:r>
      <w:r w:rsidRPr="00CC1650">
        <w:rPr>
          <w:rFonts w:hint="eastAsia"/>
          <w:b/>
        </w:rPr>
        <w:lastRenderedPageBreak/>
        <w:t>解決之道。</w:t>
      </w:r>
      <w:bookmarkEnd w:id="81"/>
    </w:p>
    <w:p w:rsidR="0028740F" w:rsidRPr="00CC1650" w:rsidRDefault="0028740F" w:rsidP="0028740F">
      <w:pPr>
        <w:pStyle w:val="3"/>
      </w:pPr>
      <w:bookmarkStart w:id="82" w:name="_Toc454877574"/>
      <w:bookmarkStart w:id="83" w:name="_Toc454884631"/>
      <w:bookmarkStart w:id="84" w:name="_Toc455056170"/>
      <w:r w:rsidRPr="00CC1650">
        <w:rPr>
          <w:rFonts w:hint="eastAsia"/>
        </w:rPr>
        <w:t>依公共債務法第4條規定，公共債務指中央、直轄市、縣（市）及鄉（鎮、市）為應公共事務支出所負擔之公債、國庫券、國內外借款及保證債務等，但不包括中央銀行為調節、穩定金融所負擔之債務。次按公共債務法第4、5條規定：各級政府公共債務</w:t>
      </w:r>
      <w:proofErr w:type="gramStart"/>
      <w:r w:rsidRPr="00CC1650">
        <w:rPr>
          <w:rFonts w:hint="eastAsia"/>
        </w:rPr>
        <w:t>未償</w:t>
      </w:r>
      <w:proofErr w:type="gramEnd"/>
      <w:r w:rsidRPr="00CC1650">
        <w:rPr>
          <w:rFonts w:hint="eastAsia"/>
        </w:rPr>
        <w:t>餘額，係指總預算、特別預算以及在營業基金、信託基金以外之特種基金所舉借1年以上之債務，但不包括具自償性之負債。又</w:t>
      </w:r>
      <w:r w:rsidRPr="00CC1650">
        <w:rPr>
          <w:rFonts w:hAnsi="標楷體" w:hint="eastAsia"/>
        </w:rPr>
        <w:t>國際貨幣基金政府財政統計手冊</w:t>
      </w:r>
      <w:r w:rsidRPr="00CC1650">
        <w:rPr>
          <w:rFonts w:hint="eastAsia"/>
        </w:rPr>
        <w:t>(Government Financial Statistics Manual)定義一般政府債務，不包括公營事業負債、社會保險給付義務等；政府保證及或有負債亦不計入政府債務，僅於財務報表附註揭露。政府公共債務</w:t>
      </w:r>
      <w:proofErr w:type="gramStart"/>
      <w:r w:rsidRPr="00CC1650">
        <w:rPr>
          <w:rFonts w:hint="eastAsia"/>
        </w:rPr>
        <w:t>未償</w:t>
      </w:r>
      <w:proofErr w:type="gramEnd"/>
      <w:r w:rsidRPr="00CC1650">
        <w:rPr>
          <w:rFonts w:hint="eastAsia"/>
        </w:rPr>
        <w:t>餘額於104年底時高達6兆220億元（中央政府5兆2,769億元、地方政府7,451億元），其中尚未包含潛藏負債。潛藏負債雖非政府立即應支付之負債，然目前中央與地方政府之潛藏負債經估算金額高達17.74兆元，實需政府嚴正以對，未雨綢繆。</w:t>
      </w:r>
      <w:bookmarkEnd w:id="82"/>
      <w:bookmarkEnd w:id="83"/>
      <w:bookmarkEnd w:id="84"/>
    </w:p>
    <w:p w:rsidR="0028740F" w:rsidRPr="00CC1650" w:rsidRDefault="0028740F" w:rsidP="0028740F">
      <w:pPr>
        <w:pStyle w:val="3"/>
        <w:kinsoku w:val="0"/>
        <w:overflowPunct/>
        <w:autoSpaceDE/>
        <w:autoSpaceDN/>
        <w:ind w:left="1360" w:hanging="680"/>
      </w:pPr>
      <w:bookmarkStart w:id="85" w:name="_Toc454877575"/>
      <w:bookmarkStart w:id="86" w:name="_Toc454884632"/>
      <w:bookmarkStart w:id="87" w:name="_Toc455056171"/>
      <w:r w:rsidRPr="00CC1650">
        <w:rPr>
          <w:rFonts w:hint="eastAsia"/>
        </w:rPr>
        <w:t>經查我國潛藏負債，係由主計總</w:t>
      </w:r>
      <w:proofErr w:type="gramStart"/>
      <w:r w:rsidRPr="00CC1650">
        <w:rPr>
          <w:rFonts w:hint="eastAsia"/>
        </w:rPr>
        <w:t>處參依</w:t>
      </w:r>
      <w:proofErr w:type="gramEnd"/>
      <w:r w:rsidRPr="00CC1650">
        <w:rPr>
          <w:rFonts w:hint="eastAsia"/>
        </w:rPr>
        <w:t>國際貨幣基金規定，並邀請</w:t>
      </w:r>
      <w:proofErr w:type="gramStart"/>
      <w:r w:rsidRPr="00CC1650">
        <w:rPr>
          <w:rFonts w:hint="eastAsia"/>
        </w:rPr>
        <w:t>審計部及各</w:t>
      </w:r>
      <w:proofErr w:type="gramEnd"/>
      <w:r w:rsidRPr="00CC1650">
        <w:rPr>
          <w:rFonts w:hint="eastAsia"/>
        </w:rPr>
        <w:t>權責機關共同開會研討決定，由各權責機關定期辦理精算提供相關內容，據以於總預（決）算書中揭露。目前未列入公共債務法債限規範之政府潛藏負債，主要項目包括勞工保險、舊制軍公教人員退休金、公務人員退休撫卹金、國民年金保險、公教人員保險給付、農民健康保險、軍人保險及地方政府等積欠健保等保險費</w:t>
      </w:r>
      <w:proofErr w:type="gramStart"/>
      <w:r w:rsidRPr="00CC1650">
        <w:rPr>
          <w:rFonts w:hint="eastAsia"/>
        </w:rPr>
        <w:t>補助款暨退休</w:t>
      </w:r>
      <w:proofErr w:type="gramEnd"/>
      <w:r w:rsidRPr="00CC1650">
        <w:rPr>
          <w:rFonts w:hint="eastAsia"/>
        </w:rPr>
        <w:t>公教人員優惠存款差額利息等，依各主管機關提供104年底之精(估)算等資料，中央政府潛藏負債約13.2兆元，連同地方政府4.54兆元，</w:t>
      </w:r>
      <w:r w:rsidRPr="00CC1650">
        <w:rPr>
          <w:rFonts w:hint="eastAsia"/>
        </w:rPr>
        <w:lastRenderedPageBreak/>
        <w:t>合共17.74兆元，包括勞工保險8.95兆元、舊制軍公教人員退休金5.66兆元、公務人員退休撫卹金2.33兆元、國民年金保險0.5兆元、公教人員保險給付0.1兆元、農民健康保險0.1兆元、軍人保險0.04兆元及地方政府等積欠健保等保險費</w:t>
      </w:r>
      <w:proofErr w:type="gramStart"/>
      <w:r w:rsidRPr="00CC1650">
        <w:rPr>
          <w:rFonts w:hint="eastAsia"/>
        </w:rPr>
        <w:t>補助款暨退休</w:t>
      </w:r>
      <w:proofErr w:type="gramEnd"/>
      <w:r w:rsidRPr="00CC1650">
        <w:rPr>
          <w:rFonts w:hint="eastAsia"/>
        </w:rPr>
        <w:t>公教人員優惠存款差額利息0.06兆元。</w:t>
      </w:r>
      <w:bookmarkEnd w:id="85"/>
      <w:bookmarkEnd w:id="86"/>
      <w:bookmarkEnd w:id="87"/>
    </w:p>
    <w:p w:rsidR="0028740F" w:rsidRPr="00CC1650" w:rsidRDefault="0028740F" w:rsidP="0028740F">
      <w:pPr>
        <w:pStyle w:val="3"/>
        <w:kinsoku w:val="0"/>
        <w:overflowPunct/>
        <w:autoSpaceDE/>
        <w:autoSpaceDN/>
        <w:ind w:left="1360" w:hanging="680"/>
      </w:pPr>
      <w:bookmarkStart w:id="88" w:name="_Toc454877576"/>
      <w:bookmarkStart w:id="89" w:name="_Toc454884633"/>
      <w:bookmarkStart w:id="90" w:name="_Toc455056172"/>
      <w:r w:rsidRPr="00CC1650">
        <w:rPr>
          <w:rFonts w:hint="eastAsia"/>
        </w:rPr>
        <w:t>該等債務之揭露表達，主計總處自98年度起於中央政府總決算總說明中，表達各界關切未列入公共債務法債限規範之政府潛藏負債事項，並就各項之主管機關、相關精算條件及相關金額等予以說明；且自</w:t>
      </w:r>
      <w:proofErr w:type="gramStart"/>
      <w:r w:rsidRPr="00CC1650">
        <w:rPr>
          <w:rFonts w:hint="eastAsia"/>
        </w:rPr>
        <w:t>100</w:t>
      </w:r>
      <w:proofErr w:type="gramEnd"/>
      <w:r w:rsidRPr="00CC1650">
        <w:rPr>
          <w:rFonts w:hint="eastAsia"/>
        </w:rPr>
        <w:t>年度中央總決算編製作業手冊規定，各主管機關應確實參考上年度中央政府總決算揭露之潛藏負債事項，其屬主管範圍內之機關及基金所辦者，應於主管決算總說明妥為揭露。</w:t>
      </w:r>
      <w:proofErr w:type="gramStart"/>
      <w:r w:rsidRPr="00CC1650">
        <w:rPr>
          <w:rFonts w:hint="eastAsia"/>
        </w:rPr>
        <w:t>審計部亦自</w:t>
      </w:r>
      <w:proofErr w:type="gramEnd"/>
      <w:r w:rsidRPr="00CC1650">
        <w:rPr>
          <w:rFonts w:hint="eastAsia"/>
        </w:rPr>
        <w:t>98年度起於中央政府總決算審核報告予以列表揭露各級政府潛藏負債。</w:t>
      </w:r>
      <w:bookmarkEnd w:id="88"/>
      <w:bookmarkEnd w:id="89"/>
      <w:bookmarkEnd w:id="90"/>
    </w:p>
    <w:p w:rsidR="0028740F" w:rsidRPr="00CC1650" w:rsidRDefault="0028740F" w:rsidP="0028740F">
      <w:pPr>
        <w:pStyle w:val="3"/>
        <w:kinsoku w:val="0"/>
        <w:overflowPunct/>
        <w:autoSpaceDE/>
        <w:autoSpaceDN/>
        <w:ind w:left="1360" w:hanging="680"/>
      </w:pPr>
      <w:bookmarkStart w:id="91" w:name="_Toc454877577"/>
      <w:bookmarkStart w:id="92" w:name="_Toc454884634"/>
      <w:bookmarkStart w:id="93" w:name="_Toc455056173"/>
      <w:r w:rsidRPr="00CC1650">
        <w:rPr>
          <w:rFonts w:hint="eastAsia"/>
        </w:rPr>
        <w:t>就潛藏負債之揭露，</w:t>
      </w:r>
      <w:proofErr w:type="gramStart"/>
      <w:r w:rsidRPr="00CC1650">
        <w:rPr>
          <w:rFonts w:hint="eastAsia"/>
        </w:rPr>
        <w:t>前據審計部各</w:t>
      </w:r>
      <w:proofErr w:type="gramEnd"/>
      <w:r w:rsidRPr="00CC1650">
        <w:rPr>
          <w:rFonts w:hint="eastAsia"/>
        </w:rPr>
        <w:t>地方審計處</w:t>
      </w:r>
      <w:r w:rsidR="00D97830" w:rsidRPr="00CC1650">
        <w:rPr>
          <w:rFonts w:hint="eastAsia"/>
        </w:rPr>
        <w:t>(</w:t>
      </w:r>
      <w:r w:rsidRPr="00CC1650">
        <w:rPr>
          <w:rFonts w:hint="eastAsia"/>
        </w:rPr>
        <w:t>室</w:t>
      </w:r>
      <w:r w:rsidR="00D97830" w:rsidRPr="00CC1650">
        <w:rPr>
          <w:rFonts w:hint="eastAsia"/>
        </w:rPr>
        <w:t>)</w:t>
      </w:r>
      <w:r w:rsidRPr="00CC1650">
        <w:rPr>
          <w:rFonts w:hint="eastAsia"/>
        </w:rPr>
        <w:t>追蹤查報各市縣政府有關舊制公教人員退休金潛藏性債務於</w:t>
      </w:r>
      <w:proofErr w:type="gramStart"/>
      <w:r w:rsidRPr="00CC1650">
        <w:rPr>
          <w:rFonts w:hint="eastAsia"/>
        </w:rPr>
        <w:t>103</w:t>
      </w:r>
      <w:proofErr w:type="gramEnd"/>
      <w:r w:rsidRPr="00CC1650">
        <w:rPr>
          <w:rFonts w:hint="eastAsia"/>
        </w:rPr>
        <w:t>年度總決算揭露情形，尚發現</w:t>
      </w:r>
      <w:r w:rsidR="003E6581" w:rsidRPr="00CC1650">
        <w:rPr>
          <w:rFonts w:hint="eastAsia"/>
        </w:rPr>
        <w:t>有部分市縣未予揭露或其揭露基準未盡一致等情事。經函請主計總處</w:t>
      </w:r>
      <w:proofErr w:type="gramStart"/>
      <w:r w:rsidR="003E6581" w:rsidRPr="00CC1650">
        <w:rPr>
          <w:rFonts w:hint="eastAsia"/>
        </w:rPr>
        <w:t>研</w:t>
      </w:r>
      <w:proofErr w:type="gramEnd"/>
      <w:r w:rsidR="003E6581" w:rsidRPr="00CC1650">
        <w:rPr>
          <w:rFonts w:hint="eastAsia"/>
        </w:rPr>
        <w:t>定</w:t>
      </w:r>
      <w:r w:rsidRPr="00CC1650">
        <w:rPr>
          <w:rFonts w:hint="eastAsia"/>
        </w:rPr>
        <w:t>揭露基準，並督促各市縣政府依所訂規範為一致性表達，雖該總處已函請各市縣政府確實依照規定，及依據權責機關最新精(估)算資料辦理潛藏負債揭露，且經追蹤各市縣政府</w:t>
      </w:r>
      <w:proofErr w:type="gramStart"/>
      <w:r w:rsidRPr="00CC1650">
        <w:rPr>
          <w:rFonts w:hint="eastAsia"/>
        </w:rPr>
        <w:t>104</w:t>
      </w:r>
      <w:proofErr w:type="gramEnd"/>
      <w:r w:rsidRPr="00CC1650">
        <w:rPr>
          <w:rFonts w:hint="eastAsia"/>
        </w:rPr>
        <w:t>年度總決算，</w:t>
      </w:r>
      <w:proofErr w:type="gramStart"/>
      <w:r w:rsidRPr="00CC1650">
        <w:rPr>
          <w:rFonts w:hint="eastAsia"/>
        </w:rPr>
        <w:t>均已於總</w:t>
      </w:r>
      <w:proofErr w:type="gramEnd"/>
      <w:r w:rsidRPr="00CC1650">
        <w:rPr>
          <w:rFonts w:hint="eastAsia"/>
        </w:rPr>
        <w:t>說明中揭露在案，然為持續有效預警並提升地方政府財政透明度，爾後仍應持續督促強化各地方政府債務揭露之確實性。又依審計部提供本院資料指出「民營化</w:t>
      </w:r>
      <w:proofErr w:type="gramStart"/>
      <w:r w:rsidRPr="00CC1650">
        <w:rPr>
          <w:rFonts w:hint="eastAsia"/>
        </w:rPr>
        <w:t>基金因釋股進度續無進展</w:t>
      </w:r>
      <w:proofErr w:type="gramEnd"/>
      <w:r w:rsidRPr="00CC1650">
        <w:rPr>
          <w:rFonts w:hint="eastAsia"/>
        </w:rPr>
        <w:t>，收入匱乏，未來尚須因應鉅額潛藏負債1,481億3,603萬餘元，有待</w:t>
      </w:r>
      <w:proofErr w:type="gramStart"/>
      <w:r w:rsidRPr="00CC1650">
        <w:rPr>
          <w:rFonts w:hint="eastAsia"/>
        </w:rPr>
        <w:t>研</w:t>
      </w:r>
      <w:proofErr w:type="gramEnd"/>
      <w:r w:rsidRPr="00CC1650">
        <w:rPr>
          <w:rFonts w:hint="eastAsia"/>
        </w:rPr>
        <w:t>謀因應對策</w:t>
      </w:r>
      <w:proofErr w:type="gramStart"/>
      <w:r w:rsidRPr="00CC1650">
        <w:rPr>
          <w:rFonts w:hint="eastAsia"/>
        </w:rPr>
        <w:t>妥處」惟查</w:t>
      </w:r>
      <w:proofErr w:type="gramEnd"/>
      <w:r w:rsidRPr="00CC1650">
        <w:rPr>
          <w:rFonts w:hint="eastAsia"/>
        </w:rPr>
        <w:t>，</w:t>
      </w:r>
      <w:r w:rsidRPr="00CC1650">
        <w:rPr>
          <w:rFonts w:hint="eastAsia"/>
        </w:rPr>
        <w:lastRenderedPageBreak/>
        <w:t>上開潛藏負債1,481億餘元並未列入</w:t>
      </w:r>
      <w:proofErr w:type="gramStart"/>
      <w:r w:rsidRPr="00CC1650">
        <w:rPr>
          <w:rFonts w:hint="eastAsia"/>
        </w:rPr>
        <w:t>104</w:t>
      </w:r>
      <w:proofErr w:type="gramEnd"/>
      <w:r w:rsidRPr="00CC1650">
        <w:rPr>
          <w:rFonts w:hint="eastAsia"/>
        </w:rPr>
        <w:t>年度政府潛藏負債之計算，其合理性及潛藏負債包含項目是否確實，仍待確實檢討。</w:t>
      </w:r>
      <w:bookmarkEnd w:id="91"/>
      <w:bookmarkEnd w:id="92"/>
      <w:bookmarkEnd w:id="93"/>
    </w:p>
    <w:p w:rsidR="0028740F" w:rsidRPr="00CC1650" w:rsidRDefault="0028740F" w:rsidP="0028740F">
      <w:pPr>
        <w:pStyle w:val="3"/>
        <w:kinsoku w:val="0"/>
        <w:overflowPunct/>
        <w:autoSpaceDE/>
        <w:autoSpaceDN/>
        <w:ind w:left="1360" w:hanging="680"/>
      </w:pPr>
      <w:bookmarkStart w:id="94" w:name="_Toc454877578"/>
      <w:bookmarkStart w:id="95" w:name="_Toc454884635"/>
      <w:bookmarkStart w:id="96" w:name="_Toc455056174"/>
      <w:r w:rsidRPr="00CC1650">
        <w:rPr>
          <w:rFonts w:hint="eastAsia"/>
        </w:rPr>
        <w:t>據財政部說明稱：政府潛藏負債屬政府未來應負擔之法定給付義務者，係以編列年度預算方式支應；屬未來社會安全給付事項者，可藉由透過費率調整、給付條件改變、經營績效等</w:t>
      </w:r>
      <w:proofErr w:type="gramStart"/>
      <w:r w:rsidRPr="00CC1650">
        <w:rPr>
          <w:rFonts w:hint="eastAsia"/>
        </w:rPr>
        <w:t>挹</w:t>
      </w:r>
      <w:proofErr w:type="gramEnd"/>
      <w:r w:rsidRPr="00CC1650">
        <w:rPr>
          <w:rFonts w:hint="eastAsia"/>
        </w:rPr>
        <w:t>注，以改善各種社會保險之財務結構，均未必成為政府實質債務等語。</w:t>
      </w:r>
      <w:proofErr w:type="gramStart"/>
      <w:r w:rsidRPr="00CC1650">
        <w:rPr>
          <w:rFonts w:hint="eastAsia"/>
        </w:rPr>
        <w:t>惟</w:t>
      </w:r>
      <w:proofErr w:type="gramEnd"/>
      <w:r w:rsidRPr="00CC1650">
        <w:rPr>
          <w:rFonts w:hint="eastAsia"/>
        </w:rPr>
        <w:t>不論給付支應方式為何，雖非屬公共債務法規定之債務，然該等</w:t>
      </w:r>
      <w:proofErr w:type="gramStart"/>
      <w:r w:rsidRPr="00CC1650">
        <w:rPr>
          <w:rFonts w:hint="eastAsia"/>
        </w:rPr>
        <w:t>負債均屬政府</w:t>
      </w:r>
      <w:proofErr w:type="gramEnd"/>
      <w:r w:rsidRPr="00CC1650">
        <w:rPr>
          <w:rFonts w:hint="eastAsia"/>
        </w:rPr>
        <w:t>應計債務，僅金額不確定，</w:t>
      </w:r>
      <w:proofErr w:type="gramStart"/>
      <w:r w:rsidRPr="00CC1650">
        <w:rPr>
          <w:rFonts w:hint="eastAsia"/>
        </w:rPr>
        <w:t>目前均由各</w:t>
      </w:r>
      <w:proofErr w:type="gramEnd"/>
      <w:r w:rsidRPr="00CC1650">
        <w:rPr>
          <w:rFonts w:hint="eastAsia"/>
        </w:rPr>
        <w:t>主管機關</w:t>
      </w:r>
      <w:proofErr w:type="gramStart"/>
      <w:r w:rsidRPr="00CC1650">
        <w:rPr>
          <w:rFonts w:hint="eastAsia"/>
        </w:rPr>
        <w:t>精算推估</w:t>
      </w:r>
      <w:proofErr w:type="gramEnd"/>
      <w:r w:rsidRPr="00CC1650">
        <w:rPr>
          <w:rFonts w:hint="eastAsia"/>
        </w:rPr>
        <w:t>，而</w:t>
      </w:r>
      <w:proofErr w:type="gramStart"/>
      <w:r w:rsidRPr="00CC1650">
        <w:rPr>
          <w:rFonts w:hint="eastAsia"/>
        </w:rPr>
        <w:t>設算推估</w:t>
      </w:r>
      <w:proofErr w:type="gramEnd"/>
      <w:r w:rsidRPr="00CC1650">
        <w:rPr>
          <w:rFonts w:hint="eastAsia"/>
        </w:rPr>
        <w:t>各類社會保險之財務責任，其用意乃作為檢討基金運用收益率是否偏低以及基金資產配置是否允當，以為評估應否調整</w:t>
      </w:r>
      <w:proofErr w:type="gramStart"/>
      <w:r w:rsidRPr="00CC1650">
        <w:rPr>
          <w:rFonts w:hint="eastAsia"/>
        </w:rPr>
        <w:t>提撥</w:t>
      </w:r>
      <w:proofErr w:type="gramEnd"/>
      <w:r w:rsidRPr="00CC1650">
        <w:rPr>
          <w:rFonts w:hint="eastAsia"/>
        </w:rPr>
        <w:t>率或給付標準之參考。以目前估算潛藏負債金額龐大高達17.7兆元，顯見各保險費率遠低於</w:t>
      </w:r>
      <w:proofErr w:type="gramStart"/>
      <w:r w:rsidRPr="00CC1650">
        <w:rPr>
          <w:rFonts w:hint="eastAsia"/>
        </w:rPr>
        <w:t>最適精</w:t>
      </w:r>
      <w:proofErr w:type="gramEnd"/>
      <w:r w:rsidRPr="00CC1650">
        <w:rPr>
          <w:rFonts w:hint="eastAsia"/>
        </w:rPr>
        <w:t>算假設之平衡費率，故實有必要積極改善各種社會保險之財務結構以為因應。然過往就保險費率之調整、改變給付條件，充滿高度政治性，故調整時除應就對經濟、社會及財政之影響通盤評估，妥為規劃</w:t>
      </w:r>
      <w:proofErr w:type="gramStart"/>
      <w:r w:rsidRPr="00CC1650">
        <w:rPr>
          <w:rFonts w:hint="eastAsia"/>
        </w:rPr>
        <w:t>研</w:t>
      </w:r>
      <w:proofErr w:type="gramEnd"/>
      <w:r w:rsidRPr="00CC1650">
        <w:rPr>
          <w:rFonts w:hint="eastAsia"/>
        </w:rPr>
        <w:t>議，</w:t>
      </w:r>
      <w:proofErr w:type="gramStart"/>
      <w:r w:rsidRPr="00CC1650">
        <w:rPr>
          <w:rFonts w:hint="eastAsia"/>
        </w:rPr>
        <w:t>更需凝具</w:t>
      </w:r>
      <w:proofErr w:type="gramEnd"/>
      <w:r w:rsidRPr="00CC1650">
        <w:rPr>
          <w:rFonts w:hint="eastAsia"/>
        </w:rPr>
        <w:t>各方共識，且需經立法程序始可完成，以農民健康保險費率調整幾經波折尚無法完成修正為例，費率調整之難度可見一斑；加上各基金經營績效欠佳，造成潛藏負債不斷攀升。潛藏債務屬未來必須支付之債務，僅金額不確定，為避免潛藏負債成為政府之實質債務，政府實有必要積極面對，進行全方位之檢討改革因應。</w:t>
      </w:r>
      <w:bookmarkEnd w:id="94"/>
      <w:bookmarkEnd w:id="95"/>
      <w:bookmarkEnd w:id="96"/>
    </w:p>
    <w:p w:rsidR="0028740F" w:rsidRPr="00CC1650" w:rsidRDefault="0028740F" w:rsidP="0028740F">
      <w:pPr>
        <w:pStyle w:val="3"/>
        <w:kinsoku w:val="0"/>
        <w:overflowPunct/>
        <w:autoSpaceDE/>
        <w:autoSpaceDN/>
        <w:ind w:left="1360" w:hanging="680"/>
      </w:pPr>
      <w:bookmarkStart w:id="97" w:name="_Toc454877579"/>
      <w:bookmarkStart w:id="98" w:name="_Toc454884636"/>
      <w:bookmarkStart w:id="99" w:name="_Toc455056175"/>
      <w:r w:rsidRPr="00CC1650">
        <w:rPr>
          <w:rFonts w:hint="eastAsia"/>
        </w:rPr>
        <w:t>綜上，各主管機關如未透過費率調整、給付條件改變、提高經營績效等，改</w:t>
      </w:r>
      <w:r w:rsidR="00733004" w:rsidRPr="00CC1650">
        <w:rPr>
          <w:rFonts w:hint="eastAsia"/>
        </w:rPr>
        <w:t>善各種社會保險之財務結構，潛藏負債將成為政府之實質債務，實需嚴陣</w:t>
      </w:r>
      <w:r w:rsidRPr="00CC1650">
        <w:rPr>
          <w:rFonts w:hint="eastAsia"/>
        </w:rPr>
        <w:t>以</w:t>
      </w:r>
      <w:r w:rsidRPr="00CC1650">
        <w:rPr>
          <w:rFonts w:hint="eastAsia"/>
        </w:rPr>
        <w:lastRenderedPageBreak/>
        <w:t>待。行政院除應督促主管機關及市縣政府確實揭露潛藏負債相關資訊，以提升政府財政資訊透明度外，並應促使相關權責主管機關預為規劃合理財務改革方案以為因應。</w:t>
      </w:r>
      <w:bookmarkEnd w:id="97"/>
      <w:bookmarkEnd w:id="98"/>
      <w:bookmarkEnd w:id="99"/>
    </w:p>
    <w:p w:rsidR="0028740F" w:rsidRPr="00CC1650" w:rsidRDefault="0028740F" w:rsidP="0028740F">
      <w:pPr>
        <w:pStyle w:val="2"/>
        <w:kinsoku w:val="0"/>
        <w:overflowPunct/>
        <w:autoSpaceDE/>
        <w:autoSpaceDN/>
        <w:ind w:left="1020" w:hanging="680"/>
        <w:rPr>
          <w:b/>
        </w:rPr>
      </w:pPr>
      <w:bookmarkStart w:id="100" w:name="_Toc455056176"/>
      <w:r w:rsidRPr="00CC1650">
        <w:rPr>
          <w:rFonts w:hint="eastAsia"/>
          <w:b/>
        </w:rPr>
        <w:t>經統計近10年來（95至104年）依據特別條例而編列之特別預算高達1兆3,810億元，歲出執行總額達1兆1,876億餘元，其中逾</w:t>
      </w:r>
      <w:proofErr w:type="gramStart"/>
      <w:r w:rsidRPr="00CC1650">
        <w:rPr>
          <w:rFonts w:hint="eastAsia"/>
          <w:b/>
        </w:rPr>
        <w:t>9成</w:t>
      </w:r>
      <w:proofErr w:type="gramEnd"/>
      <w:r w:rsidRPr="00CC1650">
        <w:rPr>
          <w:rFonts w:hint="eastAsia"/>
          <w:b/>
        </w:rPr>
        <w:t>6（1兆1,461億餘元）以舉債支應，且依特別條例規定不受預算法不得充作經常支出、不得流用、可流用比率限制及公共債務法年度舉債額度之限制。長此以往，除使總預算失真，更破壞債限管制機制，影響財政安全，行政院允應檢討改善。</w:t>
      </w:r>
      <w:bookmarkEnd w:id="100"/>
    </w:p>
    <w:p w:rsidR="0028740F" w:rsidRPr="00CC1650" w:rsidRDefault="0028740F" w:rsidP="0028740F">
      <w:pPr>
        <w:pStyle w:val="3"/>
        <w:kinsoku w:val="0"/>
        <w:overflowPunct/>
        <w:autoSpaceDE/>
        <w:autoSpaceDN/>
        <w:ind w:left="1360" w:hanging="680"/>
      </w:pPr>
      <w:bookmarkStart w:id="101" w:name="_Toc454877581"/>
      <w:bookmarkStart w:id="102" w:name="_Toc454884638"/>
      <w:bookmarkStart w:id="103" w:name="_Toc455056177"/>
      <w:r w:rsidRPr="00CC1650">
        <w:rPr>
          <w:rFonts w:hint="eastAsia"/>
        </w:rPr>
        <w:t>按預算法第1條第2項規定：</w:t>
      </w:r>
      <w:r w:rsidR="00733004" w:rsidRPr="00CC1650">
        <w:rPr>
          <w:rFonts w:hAnsi="標楷體" w:hint="eastAsia"/>
        </w:rPr>
        <w:t>「</w:t>
      </w:r>
      <w:r w:rsidRPr="00CC1650">
        <w:rPr>
          <w:rFonts w:hint="eastAsia"/>
        </w:rPr>
        <w:t>預算以提供政府於一定期間完成作業所需經費為目的。</w:t>
      </w:r>
      <w:r w:rsidR="00733004" w:rsidRPr="00CC1650">
        <w:rPr>
          <w:rFonts w:hAnsi="標楷體" w:hint="eastAsia"/>
        </w:rPr>
        <w:t>」</w:t>
      </w:r>
      <w:r w:rsidRPr="00CC1650">
        <w:rPr>
          <w:rFonts w:hint="eastAsia"/>
        </w:rPr>
        <w:t>且預算是一國政府在一定期間內為達成政治、經濟和社會目的，以國家整體資源與國民負擔能力為估計基礎，所預定的財政收支計畫，經由政治程序對國家資源進行整體分配，是一國財政收支的具體內容</w:t>
      </w:r>
      <w:r w:rsidRPr="00CC1650">
        <w:rPr>
          <w:rStyle w:val="afd"/>
        </w:rPr>
        <w:footnoteReference w:id="2"/>
      </w:r>
      <w:r w:rsidRPr="00CC1650">
        <w:rPr>
          <w:rFonts w:hint="eastAsia"/>
        </w:rPr>
        <w:t>，因此，政府預算編列係為控管機關一定期間完成作業所需經費。又，預算法第83條規定：「有下列情事之一時，行政院得於年度總預算外，提出特別預算</w:t>
      </w:r>
      <w:proofErr w:type="gramStart"/>
      <w:r w:rsidRPr="00CC1650">
        <w:rPr>
          <w:rFonts w:hint="eastAsia"/>
        </w:rPr>
        <w:t>︰</w:t>
      </w:r>
      <w:proofErr w:type="gramEnd"/>
      <w:r w:rsidRPr="00CC1650">
        <w:rPr>
          <w:rFonts w:hint="eastAsia"/>
        </w:rPr>
        <w:t>一、國防緊急設施或戰爭。二、國家經濟重大變故。三、重大災變。四、不定期或數年一次之重大政事。」</w:t>
      </w:r>
      <w:proofErr w:type="gramStart"/>
      <w:r w:rsidRPr="00CC1650">
        <w:rPr>
          <w:rFonts w:hint="eastAsia"/>
        </w:rPr>
        <w:t>揆</w:t>
      </w:r>
      <w:proofErr w:type="gramEnd"/>
      <w:r w:rsidRPr="00CC1650">
        <w:rPr>
          <w:rFonts w:hint="eastAsia"/>
        </w:rPr>
        <w:t>以特別預算是國家遇有特殊情況，按照特定條件而於年度總預算以外所成立之預算，具有「緊急性」及「不可預見性」其運用上必須謹慎，非屬特殊急迫情形，仍應確實於年度預算中編列，不應任意以特別預算方式辦理。</w:t>
      </w:r>
      <w:bookmarkEnd w:id="101"/>
      <w:bookmarkEnd w:id="102"/>
      <w:bookmarkEnd w:id="103"/>
    </w:p>
    <w:p w:rsidR="0028740F" w:rsidRPr="00CC1650" w:rsidRDefault="0028740F" w:rsidP="0028740F">
      <w:pPr>
        <w:pStyle w:val="3"/>
        <w:kinsoku w:val="0"/>
        <w:overflowPunct/>
        <w:autoSpaceDE/>
        <w:autoSpaceDN/>
        <w:ind w:left="1360" w:hanging="680"/>
      </w:pPr>
      <w:bookmarkStart w:id="104" w:name="_Toc454877582"/>
      <w:bookmarkStart w:id="105" w:name="_Toc454884639"/>
      <w:bookmarkStart w:id="106" w:name="_Toc455056178"/>
      <w:r w:rsidRPr="00CC1650">
        <w:rPr>
          <w:rFonts w:hint="eastAsia"/>
        </w:rPr>
        <w:lastRenderedPageBreak/>
        <w:t>特</w:t>
      </w:r>
      <w:r w:rsidR="00E24D1B" w:rsidRPr="00CC1650">
        <w:rPr>
          <w:rFonts w:hint="eastAsia"/>
        </w:rPr>
        <w:t>別預算為總預算外之彈性調整制度，如前所言，其運用不可浮濫，惟以制</w:t>
      </w:r>
      <w:r w:rsidRPr="00CC1650">
        <w:rPr>
          <w:rFonts w:hint="eastAsia"/>
        </w:rPr>
        <w:t>定特別法方式取得編列特別預算法源依據，多排除預算法第23條資本收入、公債與賒借收入、以前年度歲計賸餘不得充經常支出之用、同法</w:t>
      </w:r>
      <w:r w:rsidR="00733004" w:rsidRPr="00CC1650">
        <w:rPr>
          <w:rFonts w:hint="eastAsia"/>
        </w:rPr>
        <w:t>第</w:t>
      </w:r>
      <w:r w:rsidRPr="00CC1650">
        <w:rPr>
          <w:rFonts w:hint="eastAsia"/>
        </w:rPr>
        <w:t>62、63條經費不得流用之限制及可流用比率限制、財政收支劃分法第30條、第37條補助地方事項與經費負擔規定之限制及公共債務法第5條第7項有關每年度舉債額度之限制等。</w:t>
      </w:r>
      <w:proofErr w:type="gramStart"/>
      <w:r w:rsidRPr="00CC1650">
        <w:rPr>
          <w:rFonts w:hint="eastAsia"/>
        </w:rPr>
        <w:t>故近10年來</w:t>
      </w:r>
      <w:proofErr w:type="gramEnd"/>
      <w:r w:rsidRPr="00CC1650">
        <w:rPr>
          <w:rFonts w:hint="eastAsia"/>
        </w:rPr>
        <w:t>（95-104年）以特別條例立法方式取得編列預算法源基礎，幾成常態，例如：擴大公共建設投資特別條例（支應擴大公共建設投資計畫所需經費上限為5,000億元）、水患治理特別條例（支應解決易淹水地區水患治理計畫所需經費上限為1,160億元）、振興經濟擴大公共建設特別條例（5,000億元）、</w:t>
      </w:r>
      <w:proofErr w:type="gramStart"/>
      <w:r w:rsidRPr="00CC1650">
        <w:rPr>
          <w:rFonts w:hint="eastAsia"/>
        </w:rPr>
        <w:t>莫拉克</w:t>
      </w:r>
      <w:proofErr w:type="gramEnd"/>
      <w:r w:rsidRPr="00CC1650">
        <w:rPr>
          <w:rFonts w:hint="eastAsia"/>
        </w:rPr>
        <w:t>颱風災後重建特別條例、振興經濟消費</w:t>
      </w:r>
      <w:proofErr w:type="gramStart"/>
      <w:r w:rsidRPr="00CC1650">
        <w:rPr>
          <w:rFonts w:hint="eastAsia"/>
        </w:rPr>
        <w:t>券</w:t>
      </w:r>
      <w:proofErr w:type="gramEnd"/>
      <w:r w:rsidRPr="00CC1650">
        <w:rPr>
          <w:rFonts w:hint="eastAsia"/>
        </w:rPr>
        <w:t>發放特別條例、石門水庫及其集水區整治特別條例…</w:t>
      </w:r>
      <w:proofErr w:type="gramStart"/>
      <w:r w:rsidRPr="00CC1650">
        <w:rPr>
          <w:rFonts w:hint="eastAsia"/>
        </w:rPr>
        <w:t>…</w:t>
      </w:r>
      <w:proofErr w:type="gramEnd"/>
      <w:r w:rsidRPr="00CC1650">
        <w:rPr>
          <w:rFonts w:hint="eastAsia"/>
        </w:rPr>
        <w:t>等，上開依據特別條例編列特別預算高達1兆3,810億元，執行之特別預算歲出總額高達1兆1,876億餘元，其中1兆1,461億餘元以舉借債務支應，其所占比例高達</w:t>
      </w:r>
      <w:proofErr w:type="gramStart"/>
      <w:r w:rsidRPr="00CC1650">
        <w:rPr>
          <w:rFonts w:hint="eastAsia"/>
        </w:rPr>
        <w:t>9成</w:t>
      </w:r>
      <w:proofErr w:type="gramEnd"/>
      <w:r w:rsidRPr="00CC1650">
        <w:rPr>
          <w:rFonts w:hint="eastAsia"/>
        </w:rPr>
        <w:t>6以上（詳如附表十一）。該等特別</w:t>
      </w:r>
      <w:proofErr w:type="gramStart"/>
      <w:r w:rsidRPr="00CC1650">
        <w:rPr>
          <w:rFonts w:hint="eastAsia"/>
        </w:rPr>
        <w:t>預算均屬公共</w:t>
      </w:r>
      <w:proofErr w:type="gramEnd"/>
      <w:r w:rsidRPr="00CC1650">
        <w:rPr>
          <w:rFonts w:hint="eastAsia"/>
        </w:rPr>
        <w:t>建設，是否具「不可預見性」、「緊急必要性」不無疑義，且政府連年以重大政事為由編列特別預算從事公共建設，使得特別預算幾成常態性辦理事項，此舉除將使總預算失真，且恐破壞預算制度與精神，況且多以特別法排除「預算法」、「公共債務法」、「財政收支劃分法」等法律，嚴重破壞預算精神，將導致財政紀律</w:t>
      </w:r>
      <w:proofErr w:type="gramStart"/>
      <w:r w:rsidRPr="00CC1650">
        <w:rPr>
          <w:rFonts w:hint="eastAsia"/>
        </w:rPr>
        <w:t>不</w:t>
      </w:r>
      <w:proofErr w:type="gramEnd"/>
      <w:r w:rsidRPr="00CC1650">
        <w:rPr>
          <w:rFonts w:hint="eastAsia"/>
        </w:rPr>
        <w:t>彰、國債高漲，影響跨世代公平。</w:t>
      </w:r>
      <w:bookmarkEnd w:id="104"/>
      <w:bookmarkEnd w:id="105"/>
      <w:bookmarkEnd w:id="106"/>
    </w:p>
    <w:p w:rsidR="0028740F" w:rsidRPr="00CC1650" w:rsidRDefault="0028740F" w:rsidP="0028740F">
      <w:pPr>
        <w:pStyle w:val="3"/>
        <w:kinsoku w:val="0"/>
        <w:overflowPunct/>
        <w:autoSpaceDE/>
        <w:autoSpaceDN/>
        <w:ind w:left="1360" w:hanging="680"/>
      </w:pPr>
      <w:bookmarkStart w:id="107" w:name="_Toc454877583"/>
      <w:bookmarkStart w:id="108" w:name="_Toc454884640"/>
      <w:bookmarkStart w:id="109" w:name="_Toc455056179"/>
      <w:r w:rsidRPr="00CC1650">
        <w:rPr>
          <w:rFonts w:hint="eastAsia"/>
        </w:rPr>
        <w:t>上開依據特別條例執行之特別預算所需經費來源，均得以舉借債務或出售政府所持有事業股份方式辦</w:t>
      </w:r>
      <w:r w:rsidRPr="00CC1650">
        <w:rPr>
          <w:rFonts w:hint="eastAsia"/>
        </w:rPr>
        <w:lastRenderedPageBreak/>
        <w:t>理，且不受公共債務法第5條第7項有關中央總預算及特別預算每年度舉債額度不得超過其總預算及特別預算歲出總額之百分之</w:t>
      </w:r>
      <w:r w:rsidR="003C7B8E" w:rsidRPr="00CC1650">
        <w:rPr>
          <w:rFonts w:hint="eastAsia"/>
        </w:rPr>
        <w:t>十五</w:t>
      </w:r>
      <w:r w:rsidRPr="00CC1650">
        <w:rPr>
          <w:rFonts w:hint="eastAsia"/>
        </w:rPr>
        <w:t>之舉債額度限制。依據公共債務法對於各級政府之公共債務，係以存量及流量</w:t>
      </w:r>
      <w:proofErr w:type="gramStart"/>
      <w:r w:rsidRPr="00CC1650">
        <w:rPr>
          <w:rFonts w:hint="eastAsia"/>
        </w:rPr>
        <w:t>併</w:t>
      </w:r>
      <w:proofErr w:type="gramEnd"/>
      <w:r w:rsidRPr="00CC1650">
        <w:rPr>
          <w:rFonts w:hint="eastAsia"/>
        </w:rPr>
        <w:t>行管制，其中「每年度舉債額度」之流量管制，係就債務依存度予以規範。然而近年來政府為解決財源籌措問題，動輒透過立法程序以特別條例取得編列特別預算之法源依據，並以舉債支應，此法將所舉債務排除於公共債務法流量管制之限制，雖仍受債限存量規範，然長此以往，將使債務</w:t>
      </w:r>
      <w:proofErr w:type="gramStart"/>
      <w:r w:rsidRPr="00CC1650">
        <w:rPr>
          <w:rFonts w:hint="eastAsia"/>
        </w:rPr>
        <w:t>未償</w:t>
      </w:r>
      <w:proofErr w:type="gramEnd"/>
      <w:r w:rsidRPr="00CC1650">
        <w:rPr>
          <w:rFonts w:hint="eastAsia"/>
        </w:rPr>
        <w:t>餘額不斷增高，破壞債限管制機制，影響政府財政安全。</w:t>
      </w:r>
      <w:bookmarkEnd w:id="107"/>
      <w:bookmarkEnd w:id="108"/>
      <w:bookmarkEnd w:id="109"/>
    </w:p>
    <w:p w:rsidR="0028740F" w:rsidRPr="00CC1650" w:rsidRDefault="0028740F" w:rsidP="0028740F">
      <w:pPr>
        <w:pStyle w:val="3"/>
        <w:kinsoku w:val="0"/>
        <w:overflowPunct/>
        <w:autoSpaceDE/>
        <w:autoSpaceDN/>
        <w:ind w:left="1360" w:hanging="680"/>
      </w:pPr>
      <w:bookmarkStart w:id="110" w:name="_Toc454877584"/>
      <w:bookmarkStart w:id="111" w:name="_Toc454884641"/>
      <w:bookmarkStart w:id="112" w:name="_Toc455056180"/>
      <w:r w:rsidRPr="00CC1650">
        <w:rPr>
          <w:rFonts w:hint="eastAsia"/>
        </w:rPr>
        <w:t>綜上，依據特別條例而編列之特別預算並舉債支應，不受公共債務法流量管制之限制，除使總預算失真，更破壞債限管制機制，影響財政安全，為避免舉債過多導致債臺高築，行政院允應檢討改善。</w:t>
      </w:r>
      <w:bookmarkEnd w:id="110"/>
      <w:bookmarkEnd w:id="111"/>
      <w:bookmarkEnd w:id="112"/>
    </w:p>
    <w:p w:rsidR="0028740F" w:rsidRPr="00CC1650" w:rsidRDefault="0028740F" w:rsidP="0028740F">
      <w:pPr>
        <w:pStyle w:val="2"/>
        <w:kinsoku w:val="0"/>
        <w:overflowPunct/>
        <w:autoSpaceDE/>
        <w:autoSpaceDN/>
        <w:ind w:left="1020" w:hanging="680"/>
        <w:rPr>
          <w:b/>
        </w:rPr>
      </w:pPr>
      <w:bookmarkStart w:id="113" w:name="_Toc455056181"/>
      <w:r w:rsidRPr="00CC1650">
        <w:rPr>
          <w:rFonts w:hint="eastAsia"/>
          <w:b/>
        </w:rPr>
        <w:t>長年編列之釋股收入執行率偏低，因無法執行造成之現金缺口僅能靠國庫大量發行債券或向銀行借貸周轉之方式因應，易使國庫資金發生調度失靈狀況。為避免招致虛列收入以達</w:t>
      </w:r>
      <w:proofErr w:type="gramStart"/>
      <w:r w:rsidRPr="00CC1650">
        <w:rPr>
          <w:rFonts w:hint="eastAsia"/>
          <w:b/>
        </w:rPr>
        <w:t>帳面</w:t>
      </w:r>
      <w:proofErr w:type="gramEnd"/>
      <w:r w:rsidRPr="00CC1650">
        <w:rPr>
          <w:rFonts w:hint="eastAsia"/>
          <w:b/>
        </w:rPr>
        <w:t>平衡，掩蓋財政收支嚴重失衡之訾議，行政院允應加強釋股預算之執行效率。又高達2,764億餘元鉅額未實現之釋股收入，保留多年仍無進展，所保留之金額未能反映真實情形，行政院亦應確實因應檢討。</w:t>
      </w:r>
      <w:bookmarkEnd w:id="113"/>
    </w:p>
    <w:p w:rsidR="0028740F" w:rsidRPr="00CC1650" w:rsidRDefault="0028740F" w:rsidP="0028740F">
      <w:pPr>
        <w:pStyle w:val="3"/>
        <w:kinsoku w:val="0"/>
        <w:overflowPunct/>
        <w:autoSpaceDE/>
        <w:autoSpaceDN/>
        <w:ind w:left="1360" w:hanging="680"/>
      </w:pPr>
      <w:bookmarkStart w:id="114" w:name="_Toc454877586"/>
      <w:bookmarkStart w:id="115" w:name="_Toc454884643"/>
      <w:bookmarkStart w:id="116" w:name="_Toc455056182"/>
      <w:r w:rsidRPr="00CC1650">
        <w:rPr>
          <w:rFonts w:hint="eastAsia"/>
        </w:rPr>
        <w:t>為提升國營事業競爭力，政府長期推動國營事業民營化，每年均編列釋股收入，</w:t>
      </w:r>
      <w:proofErr w:type="gramStart"/>
      <w:r w:rsidRPr="00CC1650">
        <w:rPr>
          <w:rFonts w:hint="eastAsia"/>
        </w:rPr>
        <w:t>然因釋股</w:t>
      </w:r>
      <w:proofErr w:type="gramEnd"/>
      <w:r w:rsidRPr="00CC1650">
        <w:rPr>
          <w:rFonts w:hint="eastAsia"/>
        </w:rPr>
        <w:t>預算進度停滯，已編列釋股收入預算多未執行，造成歲入預算虛列。本院為瞭解近年來政府釋股預算編列、執行、註銷及待執行情形，經請行政院提供資料統計，95至104年以來，釋股收入預算累計共編列1,181.45</w:t>
      </w:r>
      <w:r w:rsidRPr="00CC1650">
        <w:rPr>
          <w:rFonts w:hint="eastAsia"/>
        </w:rPr>
        <w:lastRenderedPageBreak/>
        <w:t>億元，其中僅執行61.79億，執行率僅5.23%，註銷高達650.82億元（占55.09%），尚待執行468.84億元（39.68%</w:t>
      </w:r>
      <w:r w:rsidR="006F2AFA" w:rsidRPr="00CC1650">
        <w:rPr>
          <w:rFonts w:hint="eastAsia"/>
        </w:rPr>
        <w:t>），詳如下表。釋股收入預算執行率偏低，長年高比例</w:t>
      </w:r>
      <w:r w:rsidRPr="00CC1650">
        <w:rPr>
          <w:rFonts w:hint="eastAsia"/>
        </w:rPr>
        <w:t>之註銷，行政院明知歷年來編列的釋股預算無法完全釋出，卻仍於每年度編列幾百億元之釋股預算，故常有政府</w:t>
      </w:r>
      <w:proofErr w:type="gramStart"/>
      <w:r w:rsidRPr="00CC1650">
        <w:rPr>
          <w:rFonts w:hint="eastAsia"/>
        </w:rPr>
        <w:t>藉虛列釋</w:t>
      </w:r>
      <w:proofErr w:type="gramEnd"/>
      <w:r w:rsidRPr="00CC1650">
        <w:rPr>
          <w:rFonts w:hint="eastAsia"/>
        </w:rPr>
        <w:t>股收入彌補經常收入與經常支出差短的缺口，以掩蓋財政收支嚴重失衡問題，藉此規避違反預算法第23條政府經常收支，應保持平衡之訾議。且歷年預算編列之釋股收入尚未出售，卻已於該預算年度認列收入，</w:t>
      </w:r>
      <w:proofErr w:type="gramStart"/>
      <w:r w:rsidRPr="00CC1650">
        <w:rPr>
          <w:rFonts w:hint="eastAsia"/>
        </w:rPr>
        <w:t>虛增歲計</w:t>
      </w:r>
      <w:proofErr w:type="gramEnd"/>
      <w:r w:rsidRPr="00CC1650">
        <w:rPr>
          <w:rFonts w:hint="eastAsia"/>
        </w:rPr>
        <w:t>賸餘，並保留至下年度列為以前年度應收款。然該收入並無實質財源存在，如各項歲出都照預算編列用磬，而釋股收入卻無法如期實現，因無法執行造成所需龐大現金缺口，僅能倚賴國庫大量發行債券或向銀行借貸周轉方式因應，</w:t>
      </w:r>
      <w:proofErr w:type="gramStart"/>
      <w:r w:rsidRPr="00CC1650">
        <w:rPr>
          <w:rFonts w:hint="eastAsia"/>
        </w:rPr>
        <w:t>此易使</w:t>
      </w:r>
      <w:proofErr w:type="gramEnd"/>
      <w:r w:rsidRPr="00CC1650">
        <w:rPr>
          <w:rFonts w:hint="eastAsia"/>
        </w:rPr>
        <w:t>國庫資金發生調度失靈狀況，著實令人擔憂。</w:t>
      </w:r>
      <w:proofErr w:type="gramStart"/>
      <w:r w:rsidRPr="00CC1650">
        <w:rPr>
          <w:rFonts w:hint="eastAsia"/>
        </w:rPr>
        <w:t>且雖政府</w:t>
      </w:r>
      <w:proofErr w:type="gramEnd"/>
      <w:r w:rsidRPr="00CC1650">
        <w:rPr>
          <w:rFonts w:hint="eastAsia"/>
        </w:rPr>
        <w:t>財政缺口擴大，</w:t>
      </w:r>
      <w:proofErr w:type="gramStart"/>
      <w:r w:rsidRPr="00CC1650">
        <w:rPr>
          <w:rFonts w:hint="eastAsia"/>
        </w:rPr>
        <w:t>則需舉債</w:t>
      </w:r>
      <w:proofErr w:type="gramEnd"/>
      <w:r w:rsidRPr="00CC1650">
        <w:rPr>
          <w:rFonts w:hint="eastAsia"/>
        </w:rPr>
        <w:t>因應，增加財政負擔，且將面臨公共債務法舉債上限之問題，然此舉恐讓財政更加惡化。</w:t>
      </w:r>
      <w:bookmarkEnd w:id="114"/>
      <w:bookmarkEnd w:id="115"/>
      <w:bookmarkEnd w:id="116"/>
    </w:p>
    <w:p w:rsidR="0028740F" w:rsidRPr="00CC1650" w:rsidRDefault="0028740F" w:rsidP="0028740F">
      <w:pPr>
        <w:pStyle w:val="a4"/>
      </w:pPr>
      <w:bookmarkStart w:id="117" w:name="_Toc455056622"/>
      <w:r w:rsidRPr="00CC1650">
        <w:rPr>
          <w:rFonts w:hint="eastAsia"/>
        </w:rPr>
        <w:t>近10年釋股預算編列、執行、註銷及待執行情形表</w:t>
      </w:r>
      <w:bookmarkEnd w:id="117"/>
    </w:p>
    <w:p w:rsidR="0028740F" w:rsidRPr="00CC1650" w:rsidRDefault="0028740F" w:rsidP="0028740F">
      <w:pPr>
        <w:pStyle w:val="5"/>
        <w:numPr>
          <w:ilvl w:val="0"/>
          <w:numId w:val="0"/>
        </w:numPr>
        <w:wordWrap w:val="0"/>
        <w:spacing w:line="280" w:lineRule="exact"/>
        <w:ind w:left="2041" w:right="-143"/>
        <w:jc w:val="right"/>
        <w:rPr>
          <w:sz w:val="24"/>
          <w:szCs w:val="24"/>
        </w:rPr>
      </w:pPr>
      <w:r w:rsidRPr="00CC1650">
        <w:rPr>
          <w:rFonts w:hint="eastAsia"/>
          <w:sz w:val="24"/>
          <w:szCs w:val="24"/>
        </w:rPr>
        <w:t>單位：億元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2"/>
        <w:gridCol w:w="1957"/>
        <w:gridCol w:w="2028"/>
        <w:gridCol w:w="2130"/>
        <w:gridCol w:w="2130"/>
      </w:tblGrid>
      <w:tr w:rsidR="006A75EE" w:rsidRPr="00CC1650" w:rsidTr="00A87AFB">
        <w:trPr>
          <w:trHeight w:val="340"/>
          <w:tblHeader/>
        </w:trPr>
        <w:tc>
          <w:tcPr>
            <w:tcW w:w="483" w:type="pct"/>
            <w:vMerge w:val="restar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年度</w:t>
            </w:r>
          </w:p>
        </w:tc>
        <w:tc>
          <w:tcPr>
            <w:tcW w:w="1072" w:type="pct"/>
            <w:vMerge w:val="restart"/>
            <w:shd w:val="clear" w:color="auto" w:fill="auto"/>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法定預算數</w:t>
            </w:r>
            <w:r w:rsidRPr="00CC1650">
              <w:rPr>
                <w:rFonts w:hAnsi="標楷體" w:cs="新細明體" w:hint="eastAsia"/>
                <w:kern w:val="0"/>
                <w:sz w:val="24"/>
                <w:szCs w:val="24"/>
              </w:rPr>
              <w:br/>
              <w:t>(1)</w:t>
            </w:r>
          </w:p>
        </w:tc>
        <w:tc>
          <w:tcPr>
            <w:tcW w:w="1111" w:type="pct"/>
            <w:vMerge w:val="restart"/>
            <w:shd w:val="clear" w:color="auto" w:fill="auto"/>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實際執行數</w:t>
            </w:r>
            <w:r w:rsidRPr="00CC1650">
              <w:rPr>
                <w:rFonts w:hAnsi="標楷體" w:cs="新細明體" w:hint="eastAsia"/>
                <w:kern w:val="0"/>
                <w:sz w:val="24"/>
                <w:szCs w:val="24"/>
              </w:rPr>
              <w:br/>
              <w:t>(2)</w:t>
            </w:r>
          </w:p>
        </w:tc>
        <w:tc>
          <w:tcPr>
            <w:tcW w:w="1167" w:type="pct"/>
            <w:vMerge w:val="restart"/>
            <w:shd w:val="clear" w:color="auto" w:fill="auto"/>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註銷預算數</w:t>
            </w:r>
            <w:r w:rsidRPr="00CC1650">
              <w:rPr>
                <w:rFonts w:hAnsi="標楷體" w:cs="新細明體" w:hint="eastAsia"/>
                <w:kern w:val="0"/>
                <w:sz w:val="24"/>
                <w:szCs w:val="24"/>
              </w:rPr>
              <w:br/>
              <w:t>(3)</w:t>
            </w:r>
          </w:p>
        </w:tc>
        <w:tc>
          <w:tcPr>
            <w:tcW w:w="1167" w:type="pct"/>
            <w:vMerge w:val="restart"/>
            <w:shd w:val="clear" w:color="auto" w:fill="auto"/>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待執行預算數</w:t>
            </w:r>
            <w:r w:rsidRPr="00CC1650">
              <w:rPr>
                <w:rFonts w:hAnsi="標楷體" w:cs="新細明體" w:hint="eastAsia"/>
                <w:kern w:val="0"/>
                <w:sz w:val="24"/>
                <w:szCs w:val="24"/>
              </w:rPr>
              <w:br/>
              <w:t>(4)=(1)-(2)-(3)</w:t>
            </w:r>
          </w:p>
        </w:tc>
      </w:tr>
      <w:tr w:rsidR="006A75EE" w:rsidRPr="00CC1650" w:rsidTr="00A87AFB">
        <w:trPr>
          <w:trHeight w:val="340"/>
        </w:trPr>
        <w:tc>
          <w:tcPr>
            <w:tcW w:w="483" w:type="pct"/>
            <w:vMerge/>
            <w:vAlign w:val="center"/>
            <w:hideMark/>
          </w:tcPr>
          <w:p w:rsidR="0028740F" w:rsidRPr="00CC1650" w:rsidRDefault="0028740F" w:rsidP="00A87AFB">
            <w:pPr>
              <w:widowControl/>
              <w:rPr>
                <w:rFonts w:hAnsi="標楷體" w:cs="新細明體"/>
                <w:kern w:val="0"/>
                <w:sz w:val="24"/>
                <w:szCs w:val="24"/>
              </w:rPr>
            </w:pPr>
          </w:p>
        </w:tc>
        <w:tc>
          <w:tcPr>
            <w:tcW w:w="1072" w:type="pct"/>
            <w:vMerge/>
            <w:vAlign w:val="center"/>
            <w:hideMark/>
          </w:tcPr>
          <w:p w:rsidR="0028740F" w:rsidRPr="00CC1650" w:rsidRDefault="0028740F" w:rsidP="00A87AFB">
            <w:pPr>
              <w:widowControl/>
              <w:rPr>
                <w:rFonts w:hAnsi="標楷體" w:cs="新細明體"/>
                <w:kern w:val="0"/>
                <w:sz w:val="24"/>
                <w:szCs w:val="24"/>
              </w:rPr>
            </w:pPr>
          </w:p>
        </w:tc>
        <w:tc>
          <w:tcPr>
            <w:tcW w:w="1111" w:type="pct"/>
            <w:vMerge/>
            <w:vAlign w:val="center"/>
            <w:hideMark/>
          </w:tcPr>
          <w:p w:rsidR="0028740F" w:rsidRPr="00CC1650" w:rsidRDefault="0028740F" w:rsidP="00A87AFB">
            <w:pPr>
              <w:widowControl/>
              <w:rPr>
                <w:rFonts w:hAnsi="標楷體" w:cs="新細明體"/>
                <w:kern w:val="0"/>
                <w:sz w:val="24"/>
                <w:szCs w:val="24"/>
              </w:rPr>
            </w:pPr>
          </w:p>
        </w:tc>
        <w:tc>
          <w:tcPr>
            <w:tcW w:w="1167" w:type="pct"/>
            <w:vMerge/>
            <w:vAlign w:val="center"/>
            <w:hideMark/>
          </w:tcPr>
          <w:p w:rsidR="0028740F" w:rsidRPr="00CC1650" w:rsidRDefault="0028740F" w:rsidP="00A87AFB">
            <w:pPr>
              <w:widowControl/>
              <w:rPr>
                <w:rFonts w:hAnsi="標楷體" w:cs="新細明體"/>
                <w:kern w:val="0"/>
                <w:sz w:val="24"/>
                <w:szCs w:val="24"/>
              </w:rPr>
            </w:pPr>
          </w:p>
        </w:tc>
        <w:tc>
          <w:tcPr>
            <w:tcW w:w="1167" w:type="pct"/>
            <w:vMerge/>
            <w:vAlign w:val="center"/>
            <w:hideMark/>
          </w:tcPr>
          <w:p w:rsidR="0028740F" w:rsidRPr="00CC1650" w:rsidRDefault="0028740F" w:rsidP="00A87AFB">
            <w:pPr>
              <w:widowControl/>
              <w:rPr>
                <w:rFonts w:hAnsi="標楷體" w:cs="新細明體"/>
                <w:kern w:val="0"/>
                <w:sz w:val="24"/>
                <w:szCs w:val="24"/>
              </w:rPr>
            </w:pP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95</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457.48</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0.08</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307.61</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149.79</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96</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3.10</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3.02</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0.08</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97</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148.51</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54.01</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13.22</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81.27</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98</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18.29</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2.12</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4.77</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11.40</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99</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227.66</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1.14</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0.14</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226.38</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100</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1.36</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1.36</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101</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0.06</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0.06</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102</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103</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200.00</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200.00</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lastRenderedPageBreak/>
              <w:t>104</w:t>
            </w:r>
          </w:p>
        </w:tc>
        <w:tc>
          <w:tcPr>
            <w:tcW w:w="1072"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125.00</w:t>
            </w:r>
          </w:p>
        </w:tc>
        <w:tc>
          <w:tcPr>
            <w:tcW w:w="1111"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125.00</w:t>
            </w:r>
          </w:p>
        </w:tc>
        <w:tc>
          <w:tcPr>
            <w:tcW w:w="1167" w:type="pct"/>
            <w:shd w:val="clear" w:color="auto" w:fill="auto"/>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w:t>
            </w:r>
          </w:p>
        </w:tc>
      </w:tr>
      <w:tr w:rsidR="006A75EE" w:rsidRPr="00CC1650" w:rsidTr="00A87AFB">
        <w:trPr>
          <w:trHeight w:val="340"/>
        </w:trPr>
        <w:tc>
          <w:tcPr>
            <w:tcW w:w="483" w:type="pct"/>
            <w:shd w:val="clear" w:color="auto" w:fill="auto"/>
            <w:noWrap/>
            <w:vAlign w:val="center"/>
            <w:hideMark/>
          </w:tcPr>
          <w:p w:rsidR="0028740F" w:rsidRPr="00CC1650" w:rsidRDefault="0028740F" w:rsidP="00A87AFB">
            <w:pPr>
              <w:widowControl/>
              <w:jc w:val="center"/>
              <w:rPr>
                <w:rFonts w:hAnsi="標楷體" w:cs="新細明體"/>
                <w:kern w:val="0"/>
                <w:sz w:val="24"/>
                <w:szCs w:val="24"/>
              </w:rPr>
            </w:pPr>
            <w:r w:rsidRPr="00CC1650">
              <w:rPr>
                <w:rFonts w:hAnsi="標楷體" w:cs="新細明體" w:hint="eastAsia"/>
                <w:kern w:val="0"/>
                <w:sz w:val="24"/>
                <w:szCs w:val="24"/>
              </w:rPr>
              <w:t>合計</w:t>
            </w:r>
          </w:p>
        </w:tc>
        <w:tc>
          <w:tcPr>
            <w:tcW w:w="1072" w:type="pct"/>
            <w:shd w:val="clear" w:color="auto" w:fill="auto"/>
            <w:noWrap/>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1,181.45</w:t>
            </w:r>
          </w:p>
        </w:tc>
        <w:tc>
          <w:tcPr>
            <w:tcW w:w="1111" w:type="pct"/>
            <w:shd w:val="clear" w:color="auto" w:fill="auto"/>
            <w:noWrap/>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61.79</w:t>
            </w:r>
          </w:p>
        </w:tc>
        <w:tc>
          <w:tcPr>
            <w:tcW w:w="1167" w:type="pct"/>
            <w:shd w:val="clear" w:color="auto" w:fill="auto"/>
            <w:noWrap/>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650.82</w:t>
            </w:r>
          </w:p>
        </w:tc>
        <w:tc>
          <w:tcPr>
            <w:tcW w:w="1167" w:type="pct"/>
            <w:shd w:val="clear" w:color="auto" w:fill="auto"/>
            <w:noWrap/>
            <w:vAlign w:val="center"/>
            <w:hideMark/>
          </w:tcPr>
          <w:p w:rsidR="0028740F" w:rsidRPr="00CC1650" w:rsidRDefault="0028740F" w:rsidP="00A87AFB">
            <w:pPr>
              <w:widowControl/>
              <w:jc w:val="right"/>
              <w:rPr>
                <w:rFonts w:hAnsi="標楷體" w:cs="新細明體"/>
                <w:kern w:val="0"/>
                <w:sz w:val="24"/>
                <w:szCs w:val="24"/>
              </w:rPr>
            </w:pPr>
            <w:r w:rsidRPr="00CC1650">
              <w:rPr>
                <w:rFonts w:hAnsi="標楷體" w:cs="新細明體" w:hint="eastAsia"/>
                <w:kern w:val="0"/>
                <w:sz w:val="24"/>
                <w:szCs w:val="24"/>
              </w:rPr>
              <w:t>468.84</w:t>
            </w:r>
          </w:p>
        </w:tc>
      </w:tr>
    </w:tbl>
    <w:p w:rsidR="0028740F" w:rsidRPr="00CC1650" w:rsidRDefault="0028740F" w:rsidP="00CC1650">
      <w:pPr>
        <w:widowControl/>
        <w:spacing w:afterLines="25"/>
        <w:rPr>
          <w:rFonts w:hAnsi="標楷體" w:cs="新細明體"/>
          <w:kern w:val="0"/>
          <w:sz w:val="24"/>
          <w:szCs w:val="24"/>
        </w:rPr>
      </w:pPr>
      <w:r w:rsidRPr="00CC1650">
        <w:rPr>
          <w:rFonts w:hAnsi="標楷體" w:cs="新細明體" w:hint="eastAsia"/>
          <w:kern w:val="0"/>
          <w:sz w:val="24"/>
          <w:szCs w:val="24"/>
        </w:rPr>
        <w:t>資料來源：主計總處</w:t>
      </w:r>
    </w:p>
    <w:p w:rsidR="0028740F" w:rsidRPr="00CC1650" w:rsidRDefault="0028740F" w:rsidP="0028740F">
      <w:pPr>
        <w:pStyle w:val="3"/>
      </w:pPr>
      <w:bookmarkStart w:id="118" w:name="_Toc454877587"/>
      <w:bookmarkStart w:id="119" w:name="_Toc454884644"/>
      <w:bookmarkStart w:id="120" w:name="_Toc455056183"/>
      <w:r w:rsidRPr="00CC1650">
        <w:rPr>
          <w:rFonts w:hint="eastAsia"/>
        </w:rPr>
        <w:t>鉅額釋股預算保留多年未執行，以</w:t>
      </w:r>
      <w:proofErr w:type="gramStart"/>
      <w:r w:rsidRPr="00CC1650">
        <w:rPr>
          <w:rFonts w:hint="eastAsia"/>
        </w:rPr>
        <w:t>103</w:t>
      </w:r>
      <w:proofErr w:type="gramEnd"/>
      <w:r w:rsidRPr="00CC1650">
        <w:rPr>
          <w:rFonts w:hint="eastAsia"/>
        </w:rPr>
        <w:t>年度觀之，以前年度保留待執行釋股預算高達2,764億7,901萬餘元（經濟部1,977億3,727萬餘元、財政部152億1,057萬元、民營化基金635億3,117萬元）未執行並保留至</w:t>
      </w:r>
      <w:proofErr w:type="gramStart"/>
      <w:r w:rsidRPr="00CC1650">
        <w:rPr>
          <w:rFonts w:hint="eastAsia"/>
        </w:rPr>
        <w:t>104</w:t>
      </w:r>
      <w:proofErr w:type="gramEnd"/>
      <w:r w:rsidR="008076A4" w:rsidRPr="00CC1650">
        <w:rPr>
          <w:rFonts w:hint="eastAsia"/>
        </w:rPr>
        <w:t>年度繼續執行，保留主要原因仍為台</w:t>
      </w:r>
      <w:r w:rsidRPr="00CC1650">
        <w:rPr>
          <w:rFonts w:hint="eastAsia"/>
        </w:rPr>
        <w:t>灣電力</w:t>
      </w:r>
      <w:r w:rsidR="008076A4" w:rsidRPr="00CC1650">
        <w:rPr>
          <w:rFonts w:hint="eastAsia"/>
        </w:rPr>
        <w:t>股份有限公司(下稱台灣電力公司)</w:t>
      </w:r>
      <w:r w:rsidRPr="00CC1650">
        <w:rPr>
          <w:rFonts w:hint="eastAsia"/>
        </w:rPr>
        <w:t>、</w:t>
      </w:r>
      <w:r w:rsidR="0062684D" w:rsidRPr="00CC1650">
        <w:rPr>
          <w:rFonts w:hint="eastAsia"/>
        </w:rPr>
        <w:t>台灣中油股份有限公司(下稱台灣中油公司)</w:t>
      </w:r>
      <w:r w:rsidRPr="00CC1650">
        <w:rPr>
          <w:rFonts w:hint="eastAsia"/>
        </w:rPr>
        <w:t>及</w:t>
      </w:r>
      <w:r w:rsidR="0062684D" w:rsidRPr="00CC1650">
        <w:rPr>
          <w:rFonts w:hint="eastAsia"/>
        </w:rPr>
        <w:t>臺灣菸酒股份有限公司</w:t>
      </w:r>
      <w:r w:rsidRPr="00CC1650">
        <w:rPr>
          <w:rFonts w:hint="eastAsia"/>
        </w:rPr>
        <w:t>等公司，須</w:t>
      </w:r>
      <w:proofErr w:type="gramStart"/>
      <w:r w:rsidRPr="00CC1650">
        <w:rPr>
          <w:rFonts w:hint="eastAsia"/>
        </w:rPr>
        <w:t>俟</w:t>
      </w:r>
      <w:proofErr w:type="gramEnd"/>
      <w:r w:rsidRPr="00CC1650">
        <w:rPr>
          <w:rFonts w:hint="eastAsia"/>
        </w:rPr>
        <w:t>電業法修正通過，或立法院決議，在轉虧為盈，</w:t>
      </w:r>
      <w:proofErr w:type="gramStart"/>
      <w:r w:rsidRPr="00CC1650">
        <w:rPr>
          <w:rFonts w:hint="eastAsia"/>
        </w:rPr>
        <w:t>弭</w:t>
      </w:r>
      <w:proofErr w:type="gramEnd"/>
      <w:r w:rsidRPr="00CC1650">
        <w:rPr>
          <w:rFonts w:hint="eastAsia"/>
        </w:rPr>
        <w:t>平累計虧損前，應暫緩推動民營化作業，或經行政院函示暫緩執行釋股作業等所致。</w:t>
      </w:r>
      <w:proofErr w:type="gramStart"/>
      <w:r w:rsidRPr="00CC1650">
        <w:rPr>
          <w:rFonts w:hint="eastAsia"/>
        </w:rPr>
        <w:t>且釋股</w:t>
      </w:r>
      <w:proofErr w:type="gramEnd"/>
      <w:r w:rsidRPr="00CC1650">
        <w:rPr>
          <w:rFonts w:hint="eastAsia"/>
        </w:rPr>
        <w:t>預算保留多年未執行，除民營化基金於</w:t>
      </w:r>
      <w:proofErr w:type="gramStart"/>
      <w:r w:rsidRPr="00CC1650">
        <w:rPr>
          <w:rFonts w:hint="eastAsia"/>
        </w:rPr>
        <w:t>101</w:t>
      </w:r>
      <w:proofErr w:type="gramEnd"/>
      <w:r w:rsidRPr="00CC1650">
        <w:rPr>
          <w:rFonts w:hint="eastAsia"/>
        </w:rPr>
        <w:t>年度編列</w:t>
      </w:r>
      <w:r w:rsidR="0062684D" w:rsidRPr="00CC1650">
        <w:rPr>
          <w:rFonts w:hint="eastAsia"/>
        </w:rPr>
        <w:t>台灣土地開發股份有限公司</w:t>
      </w:r>
      <w:r w:rsidRPr="00CC1650">
        <w:rPr>
          <w:rFonts w:hint="eastAsia"/>
        </w:rPr>
        <w:t>釋股預算556萬餘元，未逾4年外，其餘保留</w:t>
      </w:r>
      <w:proofErr w:type="gramStart"/>
      <w:r w:rsidRPr="00CC1650">
        <w:rPr>
          <w:rFonts w:hint="eastAsia"/>
        </w:rPr>
        <w:t>期間均已逾</w:t>
      </w:r>
      <w:proofErr w:type="gramEnd"/>
      <w:r w:rsidRPr="00CC1650">
        <w:rPr>
          <w:rFonts w:hint="eastAsia"/>
        </w:rPr>
        <w:t>4年，甚有經濟部於87及88</w:t>
      </w:r>
      <w:r w:rsidR="0062684D" w:rsidRPr="00CC1650">
        <w:rPr>
          <w:rFonts w:hint="eastAsia"/>
        </w:rPr>
        <w:t>年度編列台</w:t>
      </w:r>
      <w:r w:rsidR="008076A4" w:rsidRPr="00CC1650">
        <w:rPr>
          <w:rFonts w:hint="eastAsia"/>
        </w:rPr>
        <w:t>灣中油</w:t>
      </w:r>
      <w:r w:rsidR="0062684D" w:rsidRPr="00CC1650">
        <w:rPr>
          <w:rFonts w:hint="eastAsia"/>
        </w:rPr>
        <w:t>公司</w:t>
      </w:r>
      <w:r w:rsidR="008076A4" w:rsidRPr="00CC1650">
        <w:rPr>
          <w:rFonts w:hint="eastAsia"/>
        </w:rPr>
        <w:t>及台</w:t>
      </w:r>
      <w:r w:rsidRPr="00CC1650">
        <w:rPr>
          <w:rFonts w:hint="eastAsia"/>
        </w:rPr>
        <w:t>灣電力公司釋股預算1,736億4,618</w:t>
      </w:r>
      <w:r w:rsidR="0062684D" w:rsidRPr="00CC1650">
        <w:rPr>
          <w:rFonts w:hint="eastAsia"/>
        </w:rPr>
        <w:t>萬元（台</w:t>
      </w:r>
      <w:r w:rsidRPr="00CC1650">
        <w:rPr>
          <w:rFonts w:hint="eastAsia"/>
        </w:rPr>
        <w:t>灣中油公司1,161億6,018</w:t>
      </w:r>
      <w:r w:rsidR="008076A4" w:rsidRPr="00CC1650">
        <w:rPr>
          <w:rFonts w:hint="eastAsia"/>
        </w:rPr>
        <w:t>萬元、台</w:t>
      </w:r>
      <w:r w:rsidRPr="00CC1650">
        <w:rPr>
          <w:rFonts w:hint="eastAsia"/>
        </w:rPr>
        <w:t>灣電力公司574億8,600萬元），已保留逾15年仍無法執行。又</w:t>
      </w:r>
      <w:proofErr w:type="gramStart"/>
      <w:r w:rsidRPr="00CC1650">
        <w:rPr>
          <w:rFonts w:hint="eastAsia"/>
        </w:rPr>
        <w:t>104</w:t>
      </w:r>
      <w:proofErr w:type="gramEnd"/>
      <w:r w:rsidRPr="00CC1650">
        <w:rPr>
          <w:rFonts w:hint="eastAsia"/>
        </w:rPr>
        <w:t>年度執行結果，僅</w:t>
      </w:r>
      <w:r w:rsidR="00ED6B14" w:rsidRPr="00CC1650">
        <w:rPr>
          <w:rFonts w:hint="eastAsia"/>
        </w:rPr>
        <w:t>執行</w:t>
      </w:r>
      <w:r w:rsidRPr="00CC1650">
        <w:rPr>
          <w:rFonts w:hint="eastAsia"/>
        </w:rPr>
        <w:t>編列於民營化基金之</w:t>
      </w:r>
      <w:r w:rsidR="0062684D" w:rsidRPr="00CC1650">
        <w:rPr>
          <w:rFonts w:hint="eastAsia"/>
        </w:rPr>
        <w:t>中央再保險股份有限公司</w:t>
      </w:r>
      <w:r w:rsidRPr="00CC1650">
        <w:rPr>
          <w:rFonts w:hint="eastAsia"/>
        </w:rPr>
        <w:t>、</w:t>
      </w:r>
      <w:r w:rsidR="0062684D" w:rsidRPr="00CC1650">
        <w:rPr>
          <w:rFonts w:hint="eastAsia"/>
        </w:rPr>
        <w:t>聯華電子股份有限公司</w:t>
      </w:r>
      <w:r w:rsidRPr="00CC1650">
        <w:rPr>
          <w:rFonts w:hint="eastAsia"/>
        </w:rPr>
        <w:t>及編列於經濟部之</w:t>
      </w:r>
      <w:r w:rsidR="0062684D" w:rsidRPr="00CC1650">
        <w:rPr>
          <w:rFonts w:hint="eastAsia"/>
        </w:rPr>
        <w:t>漢翔航空工業股份有限公司</w:t>
      </w:r>
      <w:r w:rsidRPr="00CC1650">
        <w:rPr>
          <w:rFonts w:hint="eastAsia"/>
        </w:rPr>
        <w:t>等公司</w:t>
      </w:r>
      <w:r w:rsidR="00BB4F19" w:rsidRPr="00CC1650">
        <w:rPr>
          <w:rFonts w:hint="eastAsia"/>
        </w:rPr>
        <w:t>之</w:t>
      </w:r>
      <w:r w:rsidRPr="00CC1650">
        <w:rPr>
          <w:rFonts w:hint="eastAsia"/>
        </w:rPr>
        <w:t>股收入4億1,895萬餘元，其餘2,760億6,005萬餘</w:t>
      </w:r>
      <w:proofErr w:type="gramStart"/>
      <w:r w:rsidRPr="00CC1650">
        <w:rPr>
          <w:rFonts w:hint="eastAsia"/>
        </w:rPr>
        <w:t>元均未執行</w:t>
      </w:r>
      <w:proofErr w:type="gramEnd"/>
      <w:r w:rsidRPr="00CC1650">
        <w:rPr>
          <w:rFonts w:hint="eastAsia"/>
        </w:rPr>
        <w:t>，並再經行政院核定保留至</w:t>
      </w:r>
      <w:proofErr w:type="gramStart"/>
      <w:r w:rsidRPr="00CC1650">
        <w:rPr>
          <w:rFonts w:hint="eastAsia"/>
        </w:rPr>
        <w:t>105</w:t>
      </w:r>
      <w:proofErr w:type="gramEnd"/>
      <w:r w:rsidRPr="00CC1650">
        <w:rPr>
          <w:rFonts w:hint="eastAsia"/>
        </w:rPr>
        <w:t>年度繼續執行。鉅額未實現之釋股收入，保留多年仍無進展，此將造成財政赤字問題更為嚴重。</w:t>
      </w:r>
      <w:bookmarkEnd w:id="118"/>
      <w:bookmarkEnd w:id="119"/>
      <w:bookmarkEnd w:id="120"/>
    </w:p>
    <w:p w:rsidR="0028740F" w:rsidRPr="00CC1650" w:rsidRDefault="008076A4" w:rsidP="0028740F">
      <w:pPr>
        <w:pStyle w:val="3"/>
      </w:pPr>
      <w:bookmarkStart w:id="121" w:name="_Toc454877588"/>
      <w:bookmarkStart w:id="122" w:name="_Toc454884645"/>
      <w:bookmarkStart w:id="123" w:name="_Toc455056184"/>
      <w:r w:rsidRPr="00CC1650">
        <w:rPr>
          <w:rFonts w:hint="eastAsia"/>
        </w:rPr>
        <w:t>本院諮詢之專家學者亦嚴正表示：釋股收入已成為我國</w:t>
      </w:r>
      <w:r w:rsidR="0028740F" w:rsidRPr="00CC1650">
        <w:rPr>
          <w:rFonts w:hint="eastAsia"/>
        </w:rPr>
        <w:t>財政最獨特的毒瘤，已編列釋股收入並未實</w:t>
      </w:r>
      <w:r w:rsidR="0028740F" w:rsidRPr="00CC1650">
        <w:rPr>
          <w:rFonts w:hint="eastAsia"/>
        </w:rPr>
        <w:lastRenderedPageBreak/>
        <w:t>現，虛的收入懸在那裡，但支出都用掉了(已實現)，這是財政上另一個很困難的問題，從預算制度、法令的角度，實不應允許這樣的情況存在。若要解決要從預算制度、法令去面對。應透過數據與制度的分析，將事實真相的嚴肅性具體呈現到所有社會大眾面前，形成促使政府面對此一問題的壓力，才有能解決的一日等語。且以近年來中央政府釋股收入預算未實現部分，既未產生任何交易，</w:t>
      </w:r>
      <w:r w:rsidR="00E24D1B" w:rsidRPr="00CC1650">
        <w:rPr>
          <w:rFonts w:hint="eastAsia"/>
        </w:rPr>
        <w:t>亦沒有權責發生，數千億元的未實現釋股預算卻均保留認列收入，實有</w:t>
      </w:r>
      <w:r w:rsidR="0028740F" w:rsidRPr="00CC1650">
        <w:rPr>
          <w:rFonts w:hint="eastAsia"/>
        </w:rPr>
        <w:t>操縱報表之嫌，為避免影響政府預算之籌編及財政</w:t>
      </w:r>
      <w:proofErr w:type="gramStart"/>
      <w:r w:rsidR="0028740F" w:rsidRPr="00CC1650">
        <w:rPr>
          <w:rFonts w:hint="eastAsia"/>
        </w:rPr>
        <w:t>健全，</w:t>
      </w:r>
      <w:proofErr w:type="gramEnd"/>
      <w:r w:rsidR="0028740F" w:rsidRPr="00CC1650">
        <w:rPr>
          <w:rFonts w:hint="eastAsia"/>
        </w:rPr>
        <w:t>行政院允應督促有關機關積極辦理民營化相關作業，並審慎</w:t>
      </w:r>
      <w:proofErr w:type="gramStart"/>
      <w:r w:rsidR="0028740F" w:rsidRPr="00CC1650">
        <w:rPr>
          <w:rFonts w:hint="eastAsia"/>
        </w:rPr>
        <w:t>衡酌釋股</w:t>
      </w:r>
      <w:proofErr w:type="gramEnd"/>
      <w:r w:rsidR="0028740F" w:rsidRPr="00CC1650">
        <w:rPr>
          <w:rFonts w:hint="eastAsia"/>
        </w:rPr>
        <w:t>預算續予保留之必要性。</w:t>
      </w:r>
      <w:bookmarkEnd w:id="121"/>
      <w:bookmarkEnd w:id="122"/>
      <w:bookmarkEnd w:id="123"/>
    </w:p>
    <w:p w:rsidR="0028740F" w:rsidRPr="00CC1650" w:rsidRDefault="0028740F" w:rsidP="0028740F">
      <w:pPr>
        <w:pStyle w:val="3"/>
      </w:pPr>
      <w:bookmarkStart w:id="124" w:name="_Toc454877589"/>
      <w:bookmarkStart w:id="125" w:name="_Toc454884646"/>
      <w:bookmarkStart w:id="126" w:name="_Toc455056185"/>
      <w:r w:rsidRPr="00CC1650">
        <w:rPr>
          <w:rFonts w:hint="eastAsia"/>
        </w:rPr>
        <w:t>前揭保留至</w:t>
      </w:r>
      <w:proofErr w:type="gramStart"/>
      <w:r w:rsidRPr="00CC1650">
        <w:rPr>
          <w:rFonts w:hint="eastAsia"/>
        </w:rPr>
        <w:t>104</w:t>
      </w:r>
      <w:proofErr w:type="gramEnd"/>
      <w:r w:rsidRPr="00CC1650">
        <w:rPr>
          <w:rFonts w:hint="eastAsia"/>
        </w:rPr>
        <w:t>年度繼續執行釋股預算2,764億7,901萬餘元，若按103年底各事業市(淨)值計算結果，釋股收入約1,638億5,480萬餘元，較保留釋股預算減少1,126億2,420萬餘元。顯見釋股收入仍僅依原</w:t>
      </w:r>
      <w:proofErr w:type="gramStart"/>
      <w:r w:rsidRPr="00CC1650">
        <w:rPr>
          <w:rFonts w:hint="eastAsia"/>
        </w:rPr>
        <w:t>編列數認列</w:t>
      </w:r>
      <w:proofErr w:type="gramEnd"/>
      <w:r w:rsidRPr="00CC1650">
        <w:rPr>
          <w:rFonts w:hint="eastAsia"/>
        </w:rPr>
        <w:t>，未依淨值變動加以調整，令人質疑保留釋股預算價格之合理性，為反映真實情形，允應</w:t>
      </w:r>
      <w:proofErr w:type="gramStart"/>
      <w:r w:rsidRPr="00CC1650">
        <w:rPr>
          <w:rFonts w:hint="eastAsia"/>
        </w:rPr>
        <w:t>研</w:t>
      </w:r>
      <w:proofErr w:type="gramEnd"/>
      <w:r w:rsidRPr="00CC1650">
        <w:rPr>
          <w:rFonts w:hint="eastAsia"/>
        </w:rPr>
        <w:t>議是否應重新並定期評估調整。且民營化基金虧損嚴重，</w:t>
      </w:r>
      <w:proofErr w:type="gramStart"/>
      <w:r w:rsidRPr="00CC1650">
        <w:rPr>
          <w:rFonts w:hint="eastAsia"/>
        </w:rPr>
        <w:t>103</w:t>
      </w:r>
      <w:proofErr w:type="gramEnd"/>
      <w:r w:rsidRPr="00CC1650">
        <w:rPr>
          <w:rFonts w:hint="eastAsia"/>
        </w:rPr>
        <w:t>年度短期借款餘額611億9,000萬元，基金餘額已達負615億3,155萬餘元，</w:t>
      </w:r>
      <w:proofErr w:type="gramStart"/>
      <w:r w:rsidRPr="00CC1650">
        <w:rPr>
          <w:rFonts w:hint="eastAsia"/>
        </w:rPr>
        <w:t>104</w:t>
      </w:r>
      <w:proofErr w:type="gramEnd"/>
      <w:r w:rsidRPr="00CC1650">
        <w:rPr>
          <w:rFonts w:hint="eastAsia"/>
        </w:rPr>
        <w:t>年度雖獲國庫</w:t>
      </w:r>
      <w:proofErr w:type="gramStart"/>
      <w:r w:rsidRPr="00CC1650">
        <w:rPr>
          <w:rFonts w:hint="eastAsia"/>
        </w:rPr>
        <w:t>挹</w:t>
      </w:r>
      <w:proofErr w:type="gramEnd"/>
      <w:r w:rsidRPr="00CC1650">
        <w:rPr>
          <w:rFonts w:hint="eastAsia"/>
        </w:rPr>
        <w:t>注70億1,400萬元，基金來源74億2,826萬餘元，仍不敷支應基金用途79億5,750萬餘元，續發生短</w:t>
      </w:r>
      <w:proofErr w:type="gramStart"/>
      <w:r w:rsidRPr="00CC1650">
        <w:rPr>
          <w:rFonts w:hint="eastAsia"/>
        </w:rPr>
        <w:t>絀</w:t>
      </w:r>
      <w:proofErr w:type="gramEnd"/>
      <w:r w:rsidRPr="00CC1650">
        <w:rPr>
          <w:rFonts w:hint="eastAsia"/>
        </w:rPr>
        <w:t>5億2,924萬餘元，又據各民營化事業主管機關精算結果，未來尚須因應潛藏負債1,481億3,603萬餘元。上開</w:t>
      </w:r>
      <w:proofErr w:type="gramStart"/>
      <w:r w:rsidRPr="00CC1650">
        <w:rPr>
          <w:rFonts w:hint="eastAsia"/>
        </w:rPr>
        <w:t>資訊均應確實充分且妥適</w:t>
      </w:r>
      <w:proofErr w:type="gramEnd"/>
      <w:r w:rsidRPr="00CC1650">
        <w:rPr>
          <w:rFonts w:hint="eastAsia"/>
        </w:rPr>
        <w:t>揭露，讓人民充分掌握政府財政資訊。</w:t>
      </w:r>
      <w:bookmarkEnd w:id="124"/>
      <w:bookmarkEnd w:id="125"/>
      <w:bookmarkEnd w:id="126"/>
    </w:p>
    <w:p w:rsidR="0028740F" w:rsidRPr="00CC1650" w:rsidRDefault="0028740F" w:rsidP="0028740F">
      <w:pPr>
        <w:pStyle w:val="3"/>
      </w:pPr>
      <w:bookmarkStart w:id="127" w:name="_Toc454877590"/>
      <w:bookmarkStart w:id="128" w:name="_Toc454884647"/>
      <w:bookmarkStart w:id="129" w:name="_Toc455056186"/>
      <w:r w:rsidRPr="00CC1650">
        <w:rPr>
          <w:rFonts w:hint="eastAsia"/>
        </w:rPr>
        <w:t>綜上，長年編列之釋股收入執行率偏低，因無法執行造成之現金缺口僅能靠國庫大量發行債券或向</w:t>
      </w:r>
      <w:r w:rsidRPr="00CC1650">
        <w:rPr>
          <w:rFonts w:hint="eastAsia"/>
        </w:rPr>
        <w:lastRenderedPageBreak/>
        <w:t>銀行借貸周轉方式因應，易使國庫資金發生調度失靈狀況，招致虛列收入以達</w:t>
      </w:r>
      <w:proofErr w:type="gramStart"/>
      <w:r w:rsidRPr="00CC1650">
        <w:rPr>
          <w:rFonts w:hint="eastAsia"/>
        </w:rPr>
        <w:t>帳面</w:t>
      </w:r>
      <w:proofErr w:type="gramEnd"/>
      <w:r w:rsidRPr="00CC1650">
        <w:rPr>
          <w:rFonts w:hint="eastAsia"/>
        </w:rPr>
        <w:t>平衡，掩蓋財政收支嚴重失衡之訾議；且鉅額未實現之釋股收入，保留多年仍無進展，保留金額又未能反映真實情形，行政院允應確實因應檢討。</w:t>
      </w:r>
      <w:bookmarkEnd w:id="127"/>
      <w:bookmarkEnd w:id="128"/>
      <w:bookmarkEnd w:id="129"/>
    </w:p>
    <w:p w:rsidR="0028740F" w:rsidRPr="00CC1650" w:rsidRDefault="0028740F" w:rsidP="0028740F">
      <w:pPr>
        <w:pStyle w:val="2"/>
        <w:kinsoku w:val="0"/>
        <w:overflowPunct/>
        <w:autoSpaceDE/>
        <w:autoSpaceDN/>
        <w:ind w:left="1020" w:hanging="680"/>
        <w:rPr>
          <w:b/>
        </w:rPr>
      </w:pPr>
      <w:bookmarkStart w:id="130" w:name="_Toc455056187"/>
      <w:r w:rsidRPr="00CC1650">
        <w:rPr>
          <w:rFonts w:hint="eastAsia"/>
          <w:b/>
        </w:rPr>
        <w:t>地方政府財政困窘，普遍存在自有財源比率過低，過度仰賴中央政府補助收入</w:t>
      </w:r>
      <w:proofErr w:type="gramStart"/>
      <w:r w:rsidRPr="00CC1650">
        <w:rPr>
          <w:rFonts w:hint="eastAsia"/>
          <w:b/>
        </w:rPr>
        <w:t>挹</w:t>
      </w:r>
      <w:proofErr w:type="gramEnd"/>
      <w:r w:rsidRPr="00CC1650">
        <w:rPr>
          <w:rFonts w:hint="eastAsia"/>
          <w:b/>
        </w:rPr>
        <w:t>注，且財政自主性顯著偏低，自有財源尚不足支應人事費用支出之市縣政府數目</w:t>
      </w:r>
      <w:proofErr w:type="gramStart"/>
      <w:r w:rsidRPr="00CC1650">
        <w:rPr>
          <w:rFonts w:hint="eastAsia"/>
          <w:b/>
        </w:rPr>
        <w:t>眾多，</w:t>
      </w:r>
      <w:proofErr w:type="gramEnd"/>
      <w:r w:rsidRPr="00CC1650">
        <w:rPr>
          <w:rFonts w:hint="eastAsia"/>
          <w:b/>
        </w:rPr>
        <w:t>造成財政僵化，影響政務推展，加上歲出預算過半數以上均支付人事費用，甚有</w:t>
      </w:r>
      <w:proofErr w:type="gramStart"/>
      <w:r w:rsidRPr="00CC1650">
        <w:rPr>
          <w:rFonts w:hint="eastAsia"/>
          <w:b/>
        </w:rPr>
        <w:t>市縣進用</w:t>
      </w:r>
      <w:proofErr w:type="gramEnd"/>
      <w:r w:rsidRPr="00CC1650">
        <w:rPr>
          <w:rFonts w:hint="eastAsia"/>
          <w:b/>
        </w:rPr>
        <w:t>約</w:t>
      </w:r>
      <w:r w:rsidR="00C77629" w:rsidRPr="00CC1650">
        <w:rPr>
          <w:rFonts w:hint="eastAsia"/>
          <w:b/>
        </w:rPr>
        <w:t>聘雇</w:t>
      </w:r>
      <w:r w:rsidRPr="00CC1650">
        <w:rPr>
          <w:rFonts w:hint="eastAsia"/>
          <w:b/>
        </w:rPr>
        <w:t>人力高達</w:t>
      </w:r>
      <w:proofErr w:type="gramStart"/>
      <w:r w:rsidRPr="00CC1650">
        <w:rPr>
          <w:rFonts w:hint="eastAsia"/>
          <w:b/>
        </w:rPr>
        <w:t>5成</w:t>
      </w:r>
      <w:proofErr w:type="gramEnd"/>
      <w:r w:rsidRPr="00CC1650">
        <w:rPr>
          <w:rFonts w:hint="eastAsia"/>
          <w:b/>
        </w:rPr>
        <w:t>，龐大人事成本恐將排擠政事費用，影響政務順利推行，行政院允應加強督促地方政府積極調整人事結構，杜絕寬濫聘用，以改善財政困境。</w:t>
      </w:r>
      <w:bookmarkEnd w:id="130"/>
    </w:p>
    <w:p w:rsidR="0028740F" w:rsidRPr="00CC1650" w:rsidRDefault="0028740F" w:rsidP="0028740F">
      <w:pPr>
        <w:pStyle w:val="3"/>
        <w:kinsoku w:val="0"/>
        <w:overflowPunct/>
        <w:autoSpaceDE/>
        <w:autoSpaceDN/>
        <w:ind w:left="1360" w:hanging="680"/>
      </w:pPr>
      <w:r w:rsidRPr="00CC1650">
        <w:rPr>
          <w:rFonts w:hint="eastAsia"/>
        </w:rPr>
        <w:tab/>
      </w:r>
      <w:bookmarkStart w:id="131" w:name="_Toc454877592"/>
      <w:bookmarkStart w:id="132" w:name="_Toc454884649"/>
      <w:bookmarkStart w:id="133" w:name="_Toc455056188"/>
      <w:r w:rsidRPr="00CC1650">
        <w:rPr>
          <w:rFonts w:hint="eastAsia"/>
        </w:rPr>
        <w:t>截至104年12月底，各市縣政府1年以上</w:t>
      </w:r>
      <w:r w:rsidR="00BB4F19" w:rsidRPr="00CC1650">
        <w:rPr>
          <w:rFonts w:hint="eastAsia"/>
        </w:rPr>
        <w:t>公共</w:t>
      </w:r>
      <w:r w:rsidRPr="00CC1650">
        <w:rPr>
          <w:rFonts w:hint="eastAsia"/>
        </w:rPr>
        <w:t>債務</w:t>
      </w:r>
      <w:proofErr w:type="gramStart"/>
      <w:r w:rsidRPr="00CC1650">
        <w:rPr>
          <w:rFonts w:hint="eastAsia"/>
        </w:rPr>
        <w:t>未償</w:t>
      </w:r>
      <w:proofErr w:type="gramEnd"/>
      <w:r w:rsidRPr="00CC1650">
        <w:rPr>
          <w:rFonts w:hint="eastAsia"/>
        </w:rPr>
        <w:t>餘額合計高達7,443.78億元，未滿1年債務</w:t>
      </w:r>
      <w:proofErr w:type="gramStart"/>
      <w:r w:rsidRPr="00CC1650">
        <w:rPr>
          <w:rFonts w:hint="eastAsia"/>
        </w:rPr>
        <w:t>未償</w:t>
      </w:r>
      <w:proofErr w:type="gramEnd"/>
      <w:r w:rsidRPr="00CC1650">
        <w:rPr>
          <w:rFonts w:hint="eastAsia"/>
        </w:rPr>
        <w:t>餘額合計達1,730.71億元，除金門縣及連江縣無負債情形外，地方政府普遍存在財政困窘狀況。若以各市縣政府之1年以上</w:t>
      </w:r>
      <w:r w:rsidR="00BB4F19" w:rsidRPr="00CC1650">
        <w:rPr>
          <w:rFonts w:hint="eastAsia"/>
        </w:rPr>
        <w:t>公</w:t>
      </w:r>
      <w:r w:rsidRPr="00CC1650">
        <w:rPr>
          <w:rFonts w:hint="eastAsia"/>
        </w:rPr>
        <w:t>共債務</w:t>
      </w:r>
      <w:proofErr w:type="gramStart"/>
      <w:r w:rsidRPr="00CC1650">
        <w:rPr>
          <w:rFonts w:hint="eastAsia"/>
        </w:rPr>
        <w:t>未償</w:t>
      </w:r>
      <w:proofErr w:type="gramEnd"/>
      <w:r w:rsidRPr="00CC1650">
        <w:rPr>
          <w:rFonts w:hint="eastAsia"/>
        </w:rPr>
        <w:t>餘額加計未滿1年債務</w:t>
      </w:r>
      <w:proofErr w:type="gramStart"/>
      <w:r w:rsidRPr="00CC1650">
        <w:rPr>
          <w:rFonts w:hint="eastAsia"/>
        </w:rPr>
        <w:t>未償</w:t>
      </w:r>
      <w:proofErr w:type="gramEnd"/>
      <w:r w:rsidRPr="00CC1650">
        <w:rPr>
          <w:rFonts w:hint="eastAsia"/>
        </w:rPr>
        <w:t>餘額後，除以該市縣人口數，計算平均每位市</w:t>
      </w:r>
      <w:r w:rsidR="00780315" w:rsidRPr="00CC1650">
        <w:rPr>
          <w:rFonts w:hint="eastAsia"/>
        </w:rPr>
        <w:t>、</w:t>
      </w:r>
      <w:r w:rsidRPr="00CC1650">
        <w:rPr>
          <w:rFonts w:hint="eastAsia"/>
        </w:rPr>
        <w:t>縣民負擔債務，直轄市部分以高雄市</w:t>
      </w:r>
      <w:r w:rsidRPr="00CC1650">
        <w:rPr>
          <w:rFonts w:hAnsi="標楷體" w:hint="eastAsia"/>
        </w:rPr>
        <w:t>平均每位市民負債9.16萬元最高，縣（市）以苗栗縣平均每位縣民負債6.96萬元最高。茲將各市縣政府</w:t>
      </w:r>
      <w:r w:rsidRPr="00CC1650">
        <w:rPr>
          <w:rFonts w:hint="eastAsia"/>
        </w:rPr>
        <w:t>公共債務</w:t>
      </w:r>
      <w:proofErr w:type="gramStart"/>
      <w:r w:rsidRPr="00CC1650">
        <w:rPr>
          <w:rFonts w:hint="eastAsia"/>
        </w:rPr>
        <w:t>未償</w:t>
      </w:r>
      <w:proofErr w:type="gramEnd"/>
      <w:r w:rsidRPr="00CC1650">
        <w:rPr>
          <w:rFonts w:hint="eastAsia"/>
        </w:rPr>
        <w:t>餘額及</w:t>
      </w:r>
      <w:r w:rsidRPr="00CC1650">
        <w:rPr>
          <w:rFonts w:hAnsi="標楷體" w:hint="eastAsia"/>
        </w:rPr>
        <w:t>人均負債情形，表</w:t>
      </w:r>
      <w:proofErr w:type="gramStart"/>
      <w:r w:rsidRPr="00CC1650">
        <w:rPr>
          <w:rFonts w:hAnsi="標楷體" w:hint="eastAsia"/>
        </w:rPr>
        <w:t>列如</w:t>
      </w:r>
      <w:proofErr w:type="gramEnd"/>
      <w:r w:rsidRPr="00CC1650">
        <w:rPr>
          <w:rFonts w:hAnsi="標楷體" w:hint="eastAsia"/>
        </w:rPr>
        <w:t>下：</w:t>
      </w:r>
      <w:bookmarkEnd w:id="131"/>
      <w:bookmarkEnd w:id="132"/>
      <w:bookmarkEnd w:id="133"/>
    </w:p>
    <w:p w:rsidR="0028740F" w:rsidRPr="00CC1650" w:rsidRDefault="0028740F" w:rsidP="0028740F">
      <w:pPr>
        <w:pStyle w:val="a4"/>
        <w:ind w:left="709"/>
        <w:jc w:val="left"/>
      </w:pPr>
      <w:bookmarkStart w:id="134" w:name="_Toc455056623"/>
      <w:r w:rsidRPr="00CC1650">
        <w:rPr>
          <w:rFonts w:hint="eastAsia"/>
        </w:rPr>
        <w:t>各市縣政府104年底公共債務</w:t>
      </w:r>
      <w:proofErr w:type="gramStart"/>
      <w:r w:rsidRPr="00CC1650">
        <w:rPr>
          <w:rFonts w:hint="eastAsia"/>
        </w:rPr>
        <w:t>未償</w:t>
      </w:r>
      <w:proofErr w:type="gramEnd"/>
      <w:r w:rsidRPr="00CC1650">
        <w:rPr>
          <w:rFonts w:hint="eastAsia"/>
        </w:rPr>
        <w:t>餘額</w:t>
      </w:r>
      <w:bookmarkEnd w:id="134"/>
    </w:p>
    <w:tbl>
      <w:tblPr>
        <w:tblStyle w:val="af7"/>
        <w:tblW w:w="4942" w:type="pct"/>
        <w:tblInd w:w="108" w:type="dxa"/>
        <w:tblLook w:val="04A0"/>
      </w:tblPr>
      <w:tblGrid>
        <w:gridCol w:w="1463"/>
        <w:gridCol w:w="1715"/>
        <w:gridCol w:w="1715"/>
        <w:gridCol w:w="2399"/>
        <w:gridCol w:w="1887"/>
      </w:tblGrid>
      <w:tr w:rsidR="006A75EE" w:rsidRPr="00CC1650" w:rsidTr="00A87AFB">
        <w:trPr>
          <w:tblHeader/>
        </w:trPr>
        <w:tc>
          <w:tcPr>
            <w:tcW w:w="797" w:type="pct"/>
            <w:vAlign w:val="center"/>
          </w:tcPr>
          <w:p w:rsidR="0028740F" w:rsidRPr="00CC1650" w:rsidRDefault="0028740F" w:rsidP="00842E57">
            <w:pPr>
              <w:spacing w:line="280" w:lineRule="exact"/>
              <w:jc w:val="center"/>
              <w:rPr>
                <w:rFonts w:hAnsi="標楷體" w:cs="新細明體"/>
                <w:sz w:val="24"/>
                <w:szCs w:val="24"/>
              </w:rPr>
            </w:pPr>
            <w:r w:rsidRPr="00CC1650">
              <w:rPr>
                <w:rFonts w:hAnsi="標楷體" w:hint="eastAsia"/>
                <w:sz w:val="24"/>
                <w:szCs w:val="24"/>
              </w:rPr>
              <w:t>直轄市或縣(市)</w:t>
            </w:r>
          </w:p>
        </w:tc>
        <w:tc>
          <w:tcPr>
            <w:tcW w:w="934" w:type="pct"/>
            <w:vAlign w:val="center"/>
          </w:tcPr>
          <w:p w:rsidR="0028740F" w:rsidRPr="00CC1650" w:rsidRDefault="0028740F" w:rsidP="00842E57">
            <w:pPr>
              <w:spacing w:line="280" w:lineRule="exact"/>
              <w:jc w:val="center"/>
              <w:rPr>
                <w:rFonts w:hAnsi="標楷體" w:cs="新細明體"/>
                <w:sz w:val="24"/>
                <w:szCs w:val="24"/>
              </w:rPr>
            </w:pPr>
            <w:r w:rsidRPr="00CC1650">
              <w:rPr>
                <w:rFonts w:hAnsi="標楷體" w:hint="eastAsia"/>
                <w:sz w:val="24"/>
                <w:szCs w:val="24"/>
              </w:rPr>
              <w:t>1年以上債務</w:t>
            </w:r>
            <w:proofErr w:type="gramStart"/>
            <w:r w:rsidRPr="00CC1650">
              <w:rPr>
                <w:rFonts w:hAnsi="標楷體" w:hint="eastAsia"/>
                <w:sz w:val="24"/>
                <w:szCs w:val="24"/>
              </w:rPr>
              <w:t>未償</w:t>
            </w:r>
            <w:proofErr w:type="gramEnd"/>
            <w:r w:rsidRPr="00CC1650">
              <w:rPr>
                <w:rFonts w:hAnsi="標楷體" w:hint="eastAsia"/>
                <w:sz w:val="24"/>
                <w:szCs w:val="24"/>
              </w:rPr>
              <w:t>餘額實際數(億元)</w:t>
            </w:r>
            <w:r w:rsidRPr="00CC1650">
              <w:rPr>
                <w:rFonts w:hAnsi="標楷體" w:hint="eastAsia"/>
                <w:sz w:val="24"/>
                <w:szCs w:val="24"/>
              </w:rPr>
              <w:br/>
              <w:t>A</w:t>
            </w:r>
          </w:p>
        </w:tc>
        <w:tc>
          <w:tcPr>
            <w:tcW w:w="934" w:type="pct"/>
            <w:vAlign w:val="center"/>
          </w:tcPr>
          <w:p w:rsidR="0028740F" w:rsidRPr="00CC1650" w:rsidRDefault="0028740F" w:rsidP="00842E57">
            <w:pPr>
              <w:spacing w:line="280" w:lineRule="exact"/>
              <w:jc w:val="center"/>
              <w:rPr>
                <w:rFonts w:hAnsi="標楷體" w:cs="新細明體"/>
                <w:sz w:val="24"/>
                <w:szCs w:val="24"/>
              </w:rPr>
            </w:pPr>
            <w:r w:rsidRPr="00CC1650">
              <w:rPr>
                <w:rFonts w:hAnsi="標楷體" w:hint="eastAsia"/>
                <w:sz w:val="24"/>
                <w:szCs w:val="24"/>
              </w:rPr>
              <w:t>未滿1年債務</w:t>
            </w:r>
            <w:proofErr w:type="gramStart"/>
            <w:r w:rsidRPr="00CC1650">
              <w:rPr>
                <w:rFonts w:hAnsi="標楷體" w:hint="eastAsia"/>
                <w:sz w:val="24"/>
                <w:szCs w:val="24"/>
              </w:rPr>
              <w:t>未償</w:t>
            </w:r>
            <w:proofErr w:type="gramEnd"/>
            <w:r w:rsidRPr="00CC1650">
              <w:rPr>
                <w:rFonts w:hAnsi="標楷體" w:hint="eastAsia"/>
                <w:sz w:val="24"/>
                <w:szCs w:val="24"/>
              </w:rPr>
              <w:t>餘額實際數(億元)</w:t>
            </w:r>
            <w:r w:rsidRPr="00CC1650">
              <w:rPr>
                <w:rFonts w:hAnsi="標楷體" w:hint="eastAsia"/>
                <w:sz w:val="24"/>
                <w:szCs w:val="24"/>
              </w:rPr>
              <w:br/>
              <w:t>B</w:t>
            </w:r>
          </w:p>
        </w:tc>
        <w:tc>
          <w:tcPr>
            <w:tcW w:w="1307" w:type="pct"/>
            <w:vAlign w:val="center"/>
          </w:tcPr>
          <w:p w:rsidR="0028740F" w:rsidRPr="00CC1650" w:rsidRDefault="0028740F" w:rsidP="00842E57">
            <w:pPr>
              <w:spacing w:line="280" w:lineRule="exact"/>
              <w:jc w:val="center"/>
              <w:rPr>
                <w:rFonts w:hAnsi="標楷體" w:cs="新細明體"/>
                <w:sz w:val="24"/>
                <w:szCs w:val="24"/>
              </w:rPr>
            </w:pPr>
            <w:r w:rsidRPr="00CC1650">
              <w:rPr>
                <w:rFonts w:hAnsi="標楷體" w:hint="eastAsia"/>
                <w:sz w:val="24"/>
                <w:szCs w:val="24"/>
              </w:rPr>
              <w:t>人口數（人）</w:t>
            </w:r>
            <w:r w:rsidRPr="00CC1650">
              <w:rPr>
                <w:rFonts w:hAnsi="標楷體" w:hint="eastAsia"/>
                <w:sz w:val="24"/>
                <w:szCs w:val="24"/>
              </w:rPr>
              <w:br/>
              <w:t>C</w:t>
            </w:r>
          </w:p>
        </w:tc>
        <w:tc>
          <w:tcPr>
            <w:tcW w:w="1028" w:type="pct"/>
            <w:vAlign w:val="center"/>
          </w:tcPr>
          <w:p w:rsidR="0028740F" w:rsidRPr="00CC1650" w:rsidRDefault="0028740F" w:rsidP="00842E57">
            <w:pPr>
              <w:spacing w:line="280" w:lineRule="exact"/>
              <w:jc w:val="center"/>
              <w:rPr>
                <w:rFonts w:hAnsi="標楷體" w:cs="新細明體"/>
                <w:sz w:val="24"/>
                <w:szCs w:val="24"/>
              </w:rPr>
            </w:pPr>
            <w:r w:rsidRPr="00CC1650">
              <w:rPr>
                <w:rFonts w:hAnsi="標楷體" w:hint="eastAsia"/>
                <w:sz w:val="24"/>
                <w:szCs w:val="24"/>
              </w:rPr>
              <w:t>平均每位市(縣)民負擔債務(萬元)</w:t>
            </w:r>
            <w:r w:rsidRPr="00CC1650">
              <w:rPr>
                <w:rFonts w:hAnsi="標楷體" w:hint="eastAsia"/>
                <w:sz w:val="24"/>
                <w:szCs w:val="24"/>
              </w:rPr>
              <w:br/>
              <w:t>D=(A+B)/C</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臺北市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1,302.67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0.00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2,702,809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4.82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高雄市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2,371.06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174.60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2,778,918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9.16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新北市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858.00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370.00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3,970,644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3.09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proofErr w:type="gramStart"/>
            <w:r w:rsidRPr="00CC1650">
              <w:rPr>
                <w:rFonts w:hAnsi="標楷體" w:hint="eastAsia"/>
                <w:sz w:val="28"/>
                <w:szCs w:val="28"/>
              </w:rPr>
              <w:t>臺</w:t>
            </w:r>
            <w:proofErr w:type="gramEnd"/>
            <w:r w:rsidRPr="00CC1650">
              <w:rPr>
                <w:rFonts w:hAnsi="標楷體" w:hint="eastAsia"/>
                <w:sz w:val="28"/>
                <w:szCs w:val="28"/>
              </w:rPr>
              <w:t>中市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565.29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175.08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2,744,445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2.70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proofErr w:type="gramStart"/>
            <w:r w:rsidRPr="00CC1650">
              <w:rPr>
                <w:rFonts w:hAnsi="標楷體" w:hint="eastAsia"/>
                <w:sz w:val="28"/>
                <w:szCs w:val="28"/>
              </w:rPr>
              <w:lastRenderedPageBreak/>
              <w:t>臺</w:t>
            </w:r>
            <w:proofErr w:type="gramEnd"/>
            <w:r w:rsidRPr="00CC1650">
              <w:rPr>
                <w:rFonts w:hAnsi="標楷體" w:hint="eastAsia"/>
                <w:sz w:val="28"/>
                <w:szCs w:val="28"/>
              </w:rPr>
              <w:t>南市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545.73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185.00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1,885,390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3.88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桃園市</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176.00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40.00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2,105,780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1.03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宜蘭縣</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131.43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96.22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458,070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4.97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新竹縣</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155.90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64.15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542,042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4.06 </w:t>
            </w:r>
          </w:p>
        </w:tc>
      </w:tr>
      <w:tr w:rsidR="006A75EE" w:rsidRPr="00CC1650" w:rsidTr="00A87AFB">
        <w:tc>
          <w:tcPr>
            <w:tcW w:w="797" w:type="pct"/>
            <w:vAlign w:val="center"/>
          </w:tcPr>
          <w:p w:rsidR="0028740F" w:rsidRPr="00CC1650" w:rsidRDefault="0028740F" w:rsidP="00842E57">
            <w:pPr>
              <w:spacing w:line="320" w:lineRule="exact"/>
              <w:jc w:val="center"/>
              <w:rPr>
                <w:rFonts w:hAnsi="標楷體" w:cs="新細明體"/>
                <w:sz w:val="28"/>
                <w:szCs w:val="28"/>
              </w:rPr>
            </w:pPr>
            <w:r w:rsidRPr="00CC1650">
              <w:rPr>
                <w:rFonts w:hAnsi="標楷體" w:hint="eastAsia"/>
                <w:sz w:val="28"/>
                <w:szCs w:val="28"/>
              </w:rPr>
              <w:t>苗栗縣</w:t>
            </w:r>
          </w:p>
        </w:tc>
        <w:tc>
          <w:tcPr>
            <w:tcW w:w="934" w:type="pct"/>
            <w:vAlign w:val="center"/>
          </w:tcPr>
          <w:p w:rsidR="0028740F" w:rsidRPr="00CC1650" w:rsidRDefault="0028740F" w:rsidP="00842E57">
            <w:pPr>
              <w:spacing w:line="320" w:lineRule="exact"/>
              <w:ind w:rightChars="69" w:right="235"/>
              <w:jc w:val="right"/>
              <w:rPr>
                <w:rFonts w:ascii="Times New Roman" w:eastAsia="新細明體"/>
                <w:sz w:val="26"/>
                <w:szCs w:val="26"/>
              </w:rPr>
            </w:pPr>
            <w:r w:rsidRPr="00CC1650">
              <w:rPr>
                <w:rFonts w:ascii="Times New Roman"/>
                <w:sz w:val="26"/>
                <w:szCs w:val="26"/>
              </w:rPr>
              <w:t xml:space="preserve">228.44 </w:t>
            </w:r>
          </w:p>
        </w:tc>
        <w:tc>
          <w:tcPr>
            <w:tcW w:w="934" w:type="pct"/>
            <w:vAlign w:val="center"/>
          </w:tcPr>
          <w:p w:rsidR="0028740F" w:rsidRPr="00CC1650" w:rsidRDefault="0028740F" w:rsidP="00842E57">
            <w:pPr>
              <w:spacing w:line="320" w:lineRule="exact"/>
              <w:ind w:rightChars="73" w:right="248"/>
              <w:jc w:val="right"/>
              <w:rPr>
                <w:rFonts w:ascii="Times New Roman" w:eastAsia="新細明體"/>
                <w:sz w:val="26"/>
                <w:szCs w:val="26"/>
              </w:rPr>
            </w:pPr>
            <w:r w:rsidRPr="00CC1650">
              <w:rPr>
                <w:rFonts w:ascii="Times New Roman"/>
                <w:sz w:val="26"/>
                <w:szCs w:val="26"/>
              </w:rPr>
              <w:t xml:space="preserve">164.42 </w:t>
            </w:r>
          </w:p>
        </w:tc>
        <w:tc>
          <w:tcPr>
            <w:tcW w:w="1307" w:type="pct"/>
            <w:vAlign w:val="center"/>
          </w:tcPr>
          <w:p w:rsidR="0028740F" w:rsidRPr="00CC1650" w:rsidRDefault="0028740F" w:rsidP="00842E57">
            <w:pPr>
              <w:spacing w:line="320" w:lineRule="exact"/>
              <w:ind w:rightChars="111" w:right="378"/>
              <w:jc w:val="right"/>
              <w:rPr>
                <w:rFonts w:ascii="Times New Roman" w:eastAsia="新細明體"/>
                <w:sz w:val="26"/>
                <w:szCs w:val="26"/>
              </w:rPr>
            </w:pPr>
            <w:r w:rsidRPr="00CC1650">
              <w:rPr>
                <w:rFonts w:ascii="Times New Roman"/>
                <w:sz w:val="26"/>
                <w:szCs w:val="26"/>
              </w:rPr>
              <w:t xml:space="preserve">564,111 </w:t>
            </w:r>
          </w:p>
        </w:tc>
        <w:tc>
          <w:tcPr>
            <w:tcW w:w="1028" w:type="pct"/>
            <w:vAlign w:val="center"/>
          </w:tcPr>
          <w:p w:rsidR="0028740F" w:rsidRPr="00CC1650" w:rsidRDefault="0028740F" w:rsidP="00842E57">
            <w:pPr>
              <w:spacing w:line="320" w:lineRule="exact"/>
              <w:ind w:rightChars="124" w:right="422"/>
              <w:jc w:val="right"/>
              <w:rPr>
                <w:rFonts w:ascii="Times New Roman" w:eastAsia="新細明體"/>
                <w:sz w:val="26"/>
                <w:szCs w:val="26"/>
              </w:rPr>
            </w:pPr>
            <w:r w:rsidRPr="00CC1650">
              <w:rPr>
                <w:rFonts w:ascii="Times New Roman"/>
                <w:sz w:val="26"/>
                <w:szCs w:val="26"/>
              </w:rPr>
              <w:t xml:space="preserve">6.96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彰化縣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155.17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83.28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1,289,072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1.85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南投縣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117.41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53.59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509,490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3.36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雲林縣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188.60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73.96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699,633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3.75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嘉義縣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152.20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54.42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519,839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3.97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屏東縣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182.28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71.20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841,253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3.01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proofErr w:type="gramStart"/>
            <w:r w:rsidRPr="00CC1650">
              <w:rPr>
                <w:rFonts w:hAnsi="標楷體" w:hint="eastAsia"/>
                <w:sz w:val="28"/>
                <w:szCs w:val="28"/>
              </w:rPr>
              <w:t>臺</w:t>
            </w:r>
            <w:proofErr w:type="gramEnd"/>
            <w:r w:rsidRPr="00CC1650">
              <w:rPr>
                <w:rFonts w:hAnsi="標楷體" w:hint="eastAsia"/>
                <w:sz w:val="28"/>
                <w:szCs w:val="28"/>
              </w:rPr>
              <w:t>東縣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46.81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28.47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222,452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3.38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花蓮縣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81.20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41.42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332,063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3.69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澎湖縣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18.00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2.05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102,304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1.96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基隆市</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81.91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16.00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372,226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2.63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新竹市</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82.10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36.84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433,774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2.74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嘉義市</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3.57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0.00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270,366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0.13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金門縣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0.00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0.00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132,799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0.00 </w:t>
            </w:r>
          </w:p>
        </w:tc>
      </w:tr>
      <w:tr w:rsidR="006A75EE" w:rsidRPr="00CC1650" w:rsidTr="00A87AFB">
        <w:tc>
          <w:tcPr>
            <w:tcW w:w="797" w:type="pct"/>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連江縣</w:t>
            </w:r>
          </w:p>
        </w:tc>
        <w:tc>
          <w:tcPr>
            <w:tcW w:w="934" w:type="pct"/>
            <w:vAlign w:val="center"/>
          </w:tcPr>
          <w:p w:rsidR="0028740F" w:rsidRPr="00CC1650" w:rsidRDefault="0028740F" w:rsidP="0028740F">
            <w:pPr>
              <w:ind w:rightChars="69" w:right="235"/>
              <w:jc w:val="right"/>
              <w:rPr>
                <w:rFonts w:ascii="Times New Roman" w:eastAsia="新細明體"/>
                <w:sz w:val="26"/>
                <w:szCs w:val="26"/>
              </w:rPr>
            </w:pPr>
            <w:r w:rsidRPr="00CC1650">
              <w:rPr>
                <w:rFonts w:ascii="Times New Roman"/>
                <w:sz w:val="26"/>
                <w:szCs w:val="26"/>
              </w:rPr>
              <w:t xml:space="preserve">0.00 </w:t>
            </w:r>
          </w:p>
        </w:tc>
        <w:tc>
          <w:tcPr>
            <w:tcW w:w="934" w:type="pct"/>
            <w:vAlign w:val="center"/>
          </w:tcPr>
          <w:p w:rsidR="0028740F" w:rsidRPr="00CC1650" w:rsidRDefault="0028740F" w:rsidP="0028740F">
            <w:pPr>
              <w:ind w:rightChars="73" w:right="248"/>
              <w:jc w:val="right"/>
              <w:rPr>
                <w:rFonts w:ascii="Times New Roman" w:eastAsia="新細明體"/>
                <w:sz w:val="26"/>
                <w:szCs w:val="26"/>
              </w:rPr>
            </w:pPr>
            <w:r w:rsidRPr="00CC1650">
              <w:rPr>
                <w:rFonts w:ascii="Times New Roman"/>
                <w:sz w:val="26"/>
                <w:szCs w:val="26"/>
              </w:rPr>
              <w:t xml:space="preserve">0.00 </w:t>
            </w:r>
          </w:p>
        </w:tc>
        <w:tc>
          <w:tcPr>
            <w:tcW w:w="1307" w:type="pct"/>
            <w:vAlign w:val="center"/>
          </w:tcPr>
          <w:p w:rsidR="0028740F" w:rsidRPr="00CC1650" w:rsidRDefault="0028740F" w:rsidP="0028740F">
            <w:pPr>
              <w:ind w:rightChars="111" w:right="378"/>
              <w:jc w:val="right"/>
              <w:rPr>
                <w:rFonts w:ascii="Times New Roman" w:eastAsia="新細明體"/>
                <w:sz w:val="26"/>
                <w:szCs w:val="26"/>
              </w:rPr>
            </w:pPr>
            <w:r w:rsidRPr="00CC1650">
              <w:rPr>
                <w:rFonts w:ascii="Times New Roman"/>
                <w:sz w:val="26"/>
                <w:szCs w:val="26"/>
              </w:rPr>
              <w:t xml:space="preserve">12,547 </w:t>
            </w:r>
          </w:p>
        </w:tc>
        <w:tc>
          <w:tcPr>
            <w:tcW w:w="1028" w:type="pct"/>
            <w:vAlign w:val="center"/>
          </w:tcPr>
          <w:p w:rsidR="0028740F" w:rsidRPr="00CC1650" w:rsidRDefault="0028740F" w:rsidP="0028740F">
            <w:pPr>
              <w:ind w:rightChars="124" w:right="422"/>
              <w:jc w:val="right"/>
              <w:rPr>
                <w:rFonts w:ascii="Times New Roman" w:eastAsia="新細明體"/>
                <w:sz w:val="26"/>
                <w:szCs w:val="26"/>
              </w:rPr>
            </w:pPr>
            <w:r w:rsidRPr="00CC1650">
              <w:rPr>
                <w:rFonts w:ascii="Times New Roman"/>
                <w:sz w:val="26"/>
                <w:szCs w:val="26"/>
              </w:rPr>
              <w:t xml:space="preserve">0.00 </w:t>
            </w:r>
          </w:p>
        </w:tc>
      </w:tr>
      <w:tr w:rsidR="006A75EE" w:rsidRPr="00CC1650" w:rsidTr="00A87AFB">
        <w:tc>
          <w:tcPr>
            <w:tcW w:w="797" w:type="pct"/>
            <w:vAlign w:val="center"/>
          </w:tcPr>
          <w:p w:rsidR="0028740F" w:rsidRPr="00CC1650" w:rsidRDefault="0028740F" w:rsidP="00A87AFB">
            <w:pPr>
              <w:jc w:val="center"/>
              <w:rPr>
                <w:rFonts w:hAnsi="標楷體"/>
                <w:sz w:val="28"/>
                <w:szCs w:val="28"/>
              </w:rPr>
            </w:pPr>
            <w:r w:rsidRPr="00CC1650">
              <w:rPr>
                <w:rFonts w:hAnsi="標楷體" w:hint="eastAsia"/>
                <w:sz w:val="28"/>
                <w:szCs w:val="28"/>
              </w:rPr>
              <w:t>合計</w:t>
            </w:r>
          </w:p>
        </w:tc>
        <w:tc>
          <w:tcPr>
            <w:tcW w:w="934" w:type="pct"/>
            <w:vAlign w:val="center"/>
          </w:tcPr>
          <w:p w:rsidR="0028740F" w:rsidRPr="00CC1650" w:rsidRDefault="0028740F" w:rsidP="0028740F">
            <w:pPr>
              <w:ind w:rightChars="69" w:right="235"/>
              <w:jc w:val="right"/>
              <w:rPr>
                <w:rFonts w:ascii="Times New Roman"/>
                <w:sz w:val="26"/>
                <w:szCs w:val="26"/>
              </w:rPr>
            </w:pPr>
            <w:r w:rsidRPr="00CC1650">
              <w:rPr>
                <w:rFonts w:ascii="Times New Roman"/>
                <w:sz w:val="26"/>
                <w:szCs w:val="26"/>
              </w:rPr>
              <w:t xml:space="preserve">7,443.78 </w:t>
            </w:r>
          </w:p>
        </w:tc>
        <w:tc>
          <w:tcPr>
            <w:tcW w:w="934" w:type="pct"/>
            <w:vAlign w:val="center"/>
          </w:tcPr>
          <w:p w:rsidR="0028740F" w:rsidRPr="00CC1650" w:rsidRDefault="0028740F" w:rsidP="0028740F">
            <w:pPr>
              <w:ind w:rightChars="69" w:right="235"/>
              <w:jc w:val="right"/>
              <w:rPr>
                <w:rFonts w:ascii="Times New Roman"/>
                <w:sz w:val="26"/>
                <w:szCs w:val="26"/>
              </w:rPr>
            </w:pPr>
            <w:r w:rsidRPr="00CC1650">
              <w:rPr>
                <w:rFonts w:ascii="Times New Roman"/>
                <w:sz w:val="26"/>
                <w:szCs w:val="26"/>
              </w:rPr>
              <w:t xml:space="preserve">1,730.71 </w:t>
            </w:r>
          </w:p>
        </w:tc>
        <w:tc>
          <w:tcPr>
            <w:tcW w:w="1307" w:type="pct"/>
            <w:vAlign w:val="center"/>
          </w:tcPr>
          <w:p w:rsidR="0028740F" w:rsidRPr="00CC1650" w:rsidRDefault="0028740F" w:rsidP="0028740F">
            <w:pPr>
              <w:ind w:rightChars="69" w:right="235"/>
              <w:jc w:val="right"/>
              <w:rPr>
                <w:rFonts w:ascii="Times New Roman"/>
                <w:sz w:val="26"/>
                <w:szCs w:val="26"/>
              </w:rPr>
            </w:pPr>
            <w:r w:rsidRPr="00CC1650">
              <w:rPr>
                <w:rFonts w:ascii="Times New Roman"/>
                <w:sz w:val="26"/>
                <w:szCs w:val="26"/>
              </w:rPr>
              <w:t xml:space="preserve">23,490,027 </w:t>
            </w:r>
          </w:p>
        </w:tc>
        <w:tc>
          <w:tcPr>
            <w:tcW w:w="1028" w:type="pct"/>
            <w:vAlign w:val="center"/>
          </w:tcPr>
          <w:p w:rsidR="0028740F" w:rsidRPr="00CC1650" w:rsidRDefault="0028740F" w:rsidP="0028740F">
            <w:pPr>
              <w:ind w:rightChars="124" w:right="422"/>
              <w:jc w:val="right"/>
              <w:rPr>
                <w:rFonts w:ascii="Times New Roman"/>
                <w:sz w:val="26"/>
                <w:szCs w:val="26"/>
              </w:rPr>
            </w:pPr>
          </w:p>
        </w:tc>
      </w:tr>
    </w:tbl>
    <w:p w:rsidR="0028740F" w:rsidRPr="00CC1650" w:rsidRDefault="0028740F" w:rsidP="00CC1650">
      <w:pPr>
        <w:pStyle w:val="1"/>
        <w:numPr>
          <w:ilvl w:val="0"/>
          <w:numId w:val="0"/>
        </w:numPr>
        <w:spacing w:afterLines="25" w:line="240" w:lineRule="exact"/>
        <w:rPr>
          <w:sz w:val="24"/>
          <w:szCs w:val="24"/>
        </w:rPr>
      </w:pPr>
      <w:bookmarkStart w:id="135" w:name="_Toc454877593"/>
      <w:bookmarkStart w:id="136" w:name="_Toc454884650"/>
      <w:bookmarkStart w:id="137" w:name="_Toc455056189"/>
      <w:r w:rsidRPr="00CC1650">
        <w:rPr>
          <w:rFonts w:hint="eastAsia"/>
          <w:sz w:val="24"/>
          <w:szCs w:val="24"/>
        </w:rPr>
        <w:t>資料來源：財政部、各該市縣政府</w:t>
      </w:r>
      <w:bookmarkEnd w:id="135"/>
      <w:bookmarkEnd w:id="136"/>
      <w:bookmarkEnd w:id="137"/>
    </w:p>
    <w:p w:rsidR="0028740F" w:rsidRPr="00CC1650" w:rsidRDefault="0028740F" w:rsidP="0028740F">
      <w:pPr>
        <w:pStyle w:val="3"/>
        <w:kinsoku w:val="0"/>
        <w:overflowPunct/>
        <w:autoSpaceDE/>
        <w:autoSpaceDN/>
        <w:ind w:left="1360" w:hanging="680"/>
      </w:pPr>
      <w:bookmarkStart w:id="138" w:name="_Toc454877594"/>
      <w:bookmarkStart w:id="139" w:name="_Toc454884651"/>
      <w:bookmarkStart w:id="140" w:name="_Toc455056190"/>
      <w:r w:rsidRPr="00CC1650">
        <w:rPr>
          <w:rFonts w:hint="eastAsia"/>
        </w:rPr>
        <w:t>自苗栗縣政府</w:t>
      </w:r>
      <w:proofErr w:type="gramStart"/>
      <w:r w:rsidRPr="00CC1650">
        <w:rPr>
          <w:rFonts w:hint="eastAsia"/>
        </w:rPr>
        <w:t>發生滯發員工</w:t>
      </w:r>
      <w:proofErr w:type="gramEnd"/>
      <w:r w:rsidRPr="00CC1650">
        <w:rPr>
          <w:rFonts w:hint="eastAsia"/>
        </w:rPr>
        <w:t>薪資，積欠廠商工程款等財政問題，引發外界震驚關注並開始嚴肅正視市縣政府早已存在之財政吃緊問題。本院為瞭解各市縣政府財務結構，自有財源（包含自有稅課收入、統籌分配稅收入及</w:t>
      </w:r>
      <w:r w:rsidR="00797D65" w:rsidRPr="00CC1650">
        <w:rPr>
          <w:rFonts w:hint="eastAsia"/>
        </w:rPr>
        <w:t>其他各項收入）及非自有財源（包含補助及協助收入）占整體收入之比率</w:t>
      </w:r>
      <w:r w:rsidRPr="00CC1650">
        <w:rPr>
          <w:rFonts w:hint="eastAsia"/>
        </w:rPr>
        <w:t>，經統計100至104年自有財源占比未達當年度歲入之50%之市縣，詳如下表。其中</w:t>
      </w:r>
      <w:proofErr w:type="gramStart"/>
      <w:r w:rsidRPr="00CC1650">
        <w:rPr>
          <w:rFonts w:hint="eastAsia"/>
        </w:rPr>
        <w:t>100</w:t>
      </w:r>
      <w:proofErr w:type="gramEnd"/>
      <w:r w:rsidRPr="00CC1650">
        <w:rPr>
          <w:rFonts w:hint="eastAsia"/>
        </w:rPr>
        <w:t>年度全國高達13個之市縣，已超逾半數以上，</w:t>
      </w:r>
      <w:proofErr w:type="gramStart"/>
      <w:r w:rsidRPr="00CC1650">
        <w:rPr>
          <w:rFonts w:hint="eastAsia"/>
        </w:rPr>
        <w:t>101</w:t>
      </w:r>
      <w:proofErr w:type="gramEnd"/>
      <w:r w:rsidRPr="00CC1650">
        <w:rPr>
          <w:rFonts w:hint="eastAsia"/>
        </w:rPr>
        <w:t>年度尚有11個市縣，102年至</w:t>
      </w:r>
      <w:proofErr w:type="gramStart"/>
      <w:r w:rsidRPr="00CC1650">
        <w:rPr>
          <w:rFonts w:hint="eastAsia"/>
        </w:rPr>
        <w:t>104</w:t>
      </w:r>
      <w:proofErr w:type="gramEnd"/>
      <w:r w:rsidRPr="00CC1650">
        <w:rPr>
          <w:rFonts w:hint="eastAsia"/>
        </w:rPr>
        <w:t>年度尚仍有7</w:t>
      </w:r>
      <w:r w:rsidR="006F2AFA" w:rsidRPr="00CC1650">
        <w:rPr>
          <w:rFonts w:hint="eastAsia"/>
        </w:rPr>
        <w:t>個市縣，且因自有財源比率</w:t>
      </w:r>
      <w:r w:rsidRPr="00CC1650">
        <w:rPr>
          <w:rFonts w:hint="eastAsia"/>
        </w:rPr>
        <w:t>偏低，導致地方政府過度仰賴中央補助款等非</w:t>
      </w:r>
      <w:r w:rsidRPr="00CC1650">
        <w:rPr>
          <w:rFonts w:hint="eastAsia"/>
        </w:rPr>
        <w:lastRenderedPageBreak/>
        <w:t>自有財源，財務結構顯已失衡，財務風險相對偏高。</w:t>
      </w:r>
      <w:bookmarkEnd w:id="138"/>
      <w:bookmarkEnd w:id="139"/>
      <w:bookmarkEnd w:id="140"/>
    </w:p>
    <w:p w:rsidR="0028740F" w:rsidRPr="00CC1650" w:rsidRDefault="0028740F" w:rsidP="0028740F">
      <w:pPr>
        <w:pStyle w:val="a4"/>
        <w:jc w:val="left"/>
      </w:pPr>
      <w:bookmarkStart w:id="141" w:name="_Toc455056624"/>
      <w:r w:rsidRPr="00CC1650">
        <w:rPr>
          <w:rFonts w:hint="eastAsia"/>
        </w:rPr>
        <w:t>自有財源未達當年度歲入五成之市縣</w:t>
      </w:r>
      <w:bookmarkEnd w:id="141"/>
    </w:p>
    <w:tbl>
      <w:tblPr>
        <w:tblStyle w:val="af7"/>
        <w:tblW w:w="4942" w:type="pct"/>
        <w:tblInd w:w="108" w:type="dxa"/>
        <w:tblLook w:val="04A0"/>
      </w:tblPr>
      <w:tblGrid>
        <w:gridCol w:w="1191"/>
        <w:gridCol w:w="7988"/>
      </w:tblGrid>
      <w:tr w:rsidR="006A75EE" w:rsidRPr="00CC1650" w:rsidTr="00A87AFB">
        <w:trPr>
          <w:tblHeader/>
        </w:trPr>
        <w:tc>
          <w:tcPr>
            <w:tcW w:w="649" w:type="pct"/>
          </w:tcPr>
          <w:p w:rsidR="0028740F" w:rsidRPr="00CC1650" w:rsidRDefault="0028740F" w:rsidP="00A87AFB">
            <w:pPr>
              <w:pStyle w:val="3"/>
              <w:numPr>
                <w:ilvl w:val="0"/>
                <w:numId w:val="0"/>
              </w:numPr>
              <w:jc w:val="center"/>
              <w:rPr>
                <w:sz w:val="28"/>
                <w:szCs w:val="28"/>
              </w:rPr>
            </w:pPr>
            <w:bookmarkStart w:id="142" w:name="_Toc454877595"/>
            <w:bookmarkStart w:id="143" w:name="_Toc454884652"/>
            <w:bookmarkStart w:id="144" w:name="_Toc455056191"/>
            <w:r w:rsidRPr="00CC1650">
              <w:rPr>
                <w:rFonts w:hint="eastAsia"/>
                <w:sz w:val="28"/>
                <w:szCs w:val="28"/>
              </w:rPr>
              <w:t>年度</w:t>
            </w:r>
            <w:bookmarkEnd w:id="142"/>
            <w:bookmarkEnd w:id="143"/>
            <w:bookmarkEnd w:id="144"/>
          </w:p>
        </w:tc>
        <w:tc>
          <w:tcPr>
            <w:tcW w:w="4351" w:type="pct"/>
          </w:tcPr>
          <w:p w:rsidR="0028740F" w:rsidRPr="00CC1650" w:rsidRDefault="0028740F" w:rsidP="00A87AFB">
            <w:pPr>
              <w:pStyle w:val="3"/>
              <w:numPr>
                <w:ilvl w:val="0"/>
                <w:numId w:val="0"/>
              </w:numPr>
              <w:jc w:val="center"/>
              <w:rPr>
                <w:sz w:val="28"/>
                <w:szCs w:val="28"/>
              </w:rPr>
            </w:pPr>
            <w:bookmarkStart w:id="145" w:name="_Toc454877596"/>
            <w:bookmarkStart w:id="146" w:name="_Toc454884653"/>
            <w:bookmarkStart w:id="147" w:name="_Toc455056192"/>
            <w:r w:rsidRPr="00CC1650">
              <w:rPr>
                <w:rFonts w:hint="eastAsia"/>
                <w:sz w:val="28"/>
                <w:szCs w:val="28"/>
              </w:rPr>
              <w:t>市縣</w:t>
            </w:r>
            <w:bookmarkEnd w:id="145"/>
            <w:bookmarkEnd w:id="146"/>
            <w:bookmarkEnd w:id="147"/>
          </w:p>
        </w:tc>
      </w:tr>
      <w:tr w:rsidR="006A75EE" w:rsidRPr="00CC1650" w:rsidTr="00A87AFB">
        <w:tc>
          <w:tcPr>
            <w:tcW w:w="649" w:type="pct"/>
            <w:vAlign w:val="center"/>
          </w:tcPr>
          <w:p w:rsidR="0028740F" w:rsidRPr="00CC1650" w:rsidRDefault="0028740F" w:rsidP="00A87AFB">
            <w:pPr>
              <w:pStyle w:val="3"/>
              <w:numPr>
                <w:ilvl w:val="0"/>
                <w:numId w:val="0"/>
              </w:numPr>
              <w:jc w:val="center"/>
              <w:rPr>
                <w:sz w:val="28"/>
                <w:szCs w:val="28"/>
              </w:rPr>
            </w:pPr>
            <w:bookmarkStart w:id="148" w:name="_Toc454877597"/>
            <w:bookmarkStart w:id="149" w:name="_Toc454884654"/>
            <w:bookmarkStart w:id="150" w:name="_Toc455056193"/>
            <w:r w:rsidRPr="00CC1650">
              <w:rPr>
                <w:rFonts w:hint="eastAsia"/>
                <w:sz w:val="28"/>
                <w:szCs w:val="28"/>
              </w:rPr>
              <w:t>100</w:t>
            </w:r>
            <w:bookmarkEnd w:id="148"/>
            <w:bookmarkEnd w:id="149"/>
            <w:bookmarkEnd w:id="150"/>
          </w:p>
        </w:tc>
        <w:tc>
          <w:tcPr>
            <w:tcW w:w="4351" w:type="pct"/>
          </w:tcPr>
          <w:p w:rsidR="0028740F" w:rsidRPr="00CC1650" w:rsidRDefault="0028740F" w:rsidP="00A87AFB">
            <w:pPr>
              <w:pStyle w:val="3"/>
              <w:numPr>
                <w:ilvl w:val="0"/>
                <w:numId w:val="0"/>
              </w:numPr>
              <w:rPr>
                <w:sz w:val="28"/>
                <w:szCs w:val="28"/>
              </w:rPr>
            </w:pPr>
            <w:bookmarkStart w:id="151" w:name="_Toc454877598"/>
            <w:bookmarkStart w:id="152" w:name="_Toc454884655"/>
            <w:bookmarkStart w:id="153" w:name="_Toc455056194"/>
            <w:r w:rsidRPr="00CC1650">
              <w:rPr>
                <w:rFonts w:hint="eastAsia"/>
                <w:sz w:val="28"/>
                <w:szCs w:val="28"/>
              </w:rPr>
              <w:t>宜蘭縣、苗栗縣、彰化縣、南投縣、雲林縣、嘉義縣、屏東縣、</w:t>
            </w:r>
            <w:proofErr w:type="gramStart"/>
            <w:r w:rsidRPr="00CC1650">
              <w:rPr>
                <w:rFonts w:hint="eastAsia"/>
                <w:sz w:val="28"/>
                <w:szCs w:val="28"/>
              </w:rPr>
              <w:t>臺</w:t>
            </w:r>
            <w:proofErr w:type="gramEnd"/>
            <w:r w:rsidRPr="00CC1650">
              <w:rPr>
                <w:rFonts w:hint="eastAsia"/>
                <w:sz w:val="28"/>
                <w:szCs w:val="28"/>
              </w:rPr>
              <w:t>東縣、花蓮縣、澎湖縣、基隆市、嘉義市、連江縣</w:t>
            </w:r>
            <w:bookmarkEnd w:id="151"/>
            <w:bookmarkEnd w:id="152"/>
            <w:bookmarkEnd w:id="153"/>
          </w:p>
        </w:tc>
      </w:tr>
      <w:tr w:rsidR="006A75EE" w:rsidRPr="00CC1650" w:rsidTr="00A87AFB">
        <w:tc>
          <w:tcPr>
            <w:tcW w:w="649" w:type="pct"/>
            <w:vAlign w:val="center"/>
          </w:tcPr>
          <w:p w:rsidR="0028740F" w:rsidRPr="00CC1650" w:rsidRDefault="0028740F" w:rsidP="00A87AFB">
            <w:pPr>
              <w:pStyle w:val="3"/>
              <w:numPr>
                <w:ilvl w:val="0"/>
                <w:numId w:val="0"/>
              </w:numPr>
              <w:jc w:val="center"/>
              <w:rPr>
                <w:sz w:val="28"/>
                <w:szCs w:val="28"/>
              </w:rPr>
            </w:pPr>
            <w:bookmarkStart w:id="154" w:name="_Toc454877599"/>
            <w:bookmarkStart w:id="155" w:name="_Toc454884656"/>
            <w:bookmarkStart w:id="156" w:name="_Toc455056195"/>
            <w:r w:rsidRPr="00CC1650">
              <w:rPr>
                <w:rFonts w:hint="eastAsia"/>
                <w:sz w:val="28"/>
                <w:szCs w:val="28"/>
              </w:rPr>
              <w:t>101</w:t>
            </w:r>
            <w:bookmarkEnd w:id="154"/>
            <w:bookmarkEnd w:id="155"/>
            <w:bookmarkEnd w:id="156"/>
          </w:p>
        </w:tc>
        <w:tc>
          <w:tcPr>
            <w:tcW w:w="4351" w:type="pct"/>
          </w:tcPr>
          <w:p w:rsidR="0028740F" w:rsidRPr="00CC1650" w:rsidRDefault="0028740F" w:rsidP="00A87AFB">
            <w:pPr>
              <w:pStyle w:val="3"/>
              <w:numPr>
                <w:ilvl w:val="0"/>
                <w:numId w:val="0"/>
              </w:numPr>
              <w:rPr>
                <w:sz w:val="28"/>
                <w:szCs w:val="28"/>
              </w:rPr>
            </w:pPr>
            <w:bookmarkStart w:id="157" w:name="_Toc454877600"/>
            <w:bookmarkStart w:id="158" w:name="_Toc454884657"/>
            <w:bookmarkStart w:id="159" w:name="_Toc455056196"/>
            <w:r w:rsidRPr="00CC1650">
              <w:rPr>
                <w:rFonts w:hint="eastAsia"/>
                <w:sz w:val="28"/>
                <w:szCs w:val="28"/>
              </w:rPr>
              <w:t>宜蘭縣、苗栗縣、彰化縣、南投縣、雲林縣、嘉義縣、屏東縣、</w:t>
            </w:r>
            <w:proofErr w:type="gramStart"/>
            <w:r w:rsidRPr="00CC1650">
              <w:rPr>
                <w:rFonts w:hint="eastAsia"/>
                <w:sz w:val="28"/>
                <w:szCs w:val="28"/>
              </w:rPr>
              <w:t>臺</w:t>
            </w:r>
            <w:proofErr w:type="gramEnd"/>
            <w:r w:rsidRPr="00CC1650">
              <w:rPr>
                <w:rFonts w:hint="eastAsia"/>
                <w:sz w:val="28"/>
                <w:szCs w:val="28"/>
              </w:rPr>
              <w:t>東縣、花蓮縣、澎湖縣、連江縣</w:t>
            </w:r>
            <w:bookmarkEnd w:id="157"/>
            <w:bookmarkEnd w:id="158"/>
            <w:bookmarkEnd w:id="159"/>
          </w:p>
        </w:tc>
      </w:tr>
      <w:tr w:rsidR="006A75EE" w:rsidRPr="00CC1650" w:rsidTr="00A87AFB">
        <w:tc>
          <w:tcPr>
            <w:tcW w:w="649" w:type="pct"/>
            <w:vAlign w:val="center"/>
          </w:tcPr>
          <w:p w:rsidR="0028740F" w:rsidRPr="00CC1650" w:rsidRDefault="0028740F" w:rsidP="00A87AFB">
            <w:pPr>
              <w:pStyle w:val="3"/>
              <w:numPr>
                <w:ilvl w:val="0"/>
                <w:numId w:val="0"/>
              </w:numPr>
              <w:jc w:val="center"/>
              <w:rPr>
                <w:sz w:val="28"/>
                <w:szCs w:val="28"/>
              </w:rPr>
            </w:pPr>
            <w:bookmarkStart w:id="160" w:name="_Toc454877601"/>
            <w:bookmarkStart w:id="161" w:name="_Toc454884658"/>
            <w:bookmarkStart w:id="162" w:name="_Toc455056197"/>
            <w:r w:rsidRPr="00CC1650">
              <w:rPr>
                <w:rFonts w:hint="eastAsia"/>
                <w:sz w:val="28"/>
                <w:szCs w:val="28"/>
              </w:rPr>
              <w:t>102</w:t>
            </w:r>
            <w:bookmarkEnd w:id="160"/>
            <w:bookmarkEnd w:id="161"/>
            <w:bookmarkEnd w:id="162"/>
          </w:p>
        </w:tc>
        <w:tc>
          <w:tcPr>
            <w:tcW w:w="4351" w:type="pct"/>
          </w:tcPr>
          <w:p w:rsidR="0028740F" w:rsidRPr="00CC1650" w:rsidRDefault="0028740F" w:rsidP="00A87AFB">
            <w:pPr>
              <w:pStyle w:val="3"/>
              <w:numPr>
                <w:ilvl w:val="0"/>
                <w:numId w:val="0"/>
              </w:numPr>
              <w:rPr>
                <w:sz w:val="28"/>
                <w:szCs w:val="28"/>
              </w:rPr>
            </w:pPr>
            <w:bookmarkStart w:id="163" w:name="_Toc454877602"/>
            <w:bookmarkStart w:id="164" w:name="_Toc454884659"/>
            <w:bookmarkStart w:id="165" w:name="_Toc455056198"/>
            <w:r w:rsidRPr="00CC1650">
              <w:rPr>
                <w:rFonts w:hint="eastAsia"/>
                <w:sz w:val="28"/>
                <w:szCs w:val="28"/>
              </w:rPr>
              <w:t>雲林縣、嘉義縣、屏東縣、</w:t>
            </w:r>
            <w:proofErr w:type="gramStart"/>
            <w:r w:rsidRPr="00CC1650">
              <w:rPr>
                <w:rFonts w:hint="eastAsia"/>
                <w:sz w:val="28"/>
                <w:szCs w:val="28"/>
              </w:rPr>
              <w:t>臺</w:t>
            </w:r>
            <w:proofErr w:type="gramEnd"/>
            <w:r w:rsidRPr="00CC1650">
              <w:rPr>
                <w:rFonts w:hint="eastAsia"/>
                <w:sz w:val="28"/>
                <w:szCs w:val="28"/>
              </w:rPr>
              <w:t>東縣、花蓮縣、澎湖縣、連江縣</w:t>
            </w:r>
            <w:bookmarkEnd w:id="163"/>
            <w:bookmarkEnd w:id="164"/>
            <w:bookmarkEnd w:id="165"/>
          </w:p>
        </w:tc>
      </w:tr>
      <w:tr w:rsidR="006A75EE" w:rsidRPr="00CC1650" w:rsidTr="00A87AFB">
        <w:tc>
          <w:tcPr>
            <w:tcW w:w="649" w:type="pct"/>
            <w:vAlign w:val="center"/>
          </w:tcPr>
          <w:p w:rsidR="0028740F" w:rsidRPr="00CC1650" w:rsidRDefault="0028740F" w:rsidP="00A87AFB">
            <w:pPr>
              <w:pStyle w:val="3"/>
              <w:numPr>
                <w:ilvl w:val="0"/>
                <w:numId w:val="0"/>
              </w:numPr>
              <w:jc w:val="center"/>
              <w:rPr>
                <w:sz w:val="28"/>
                <w:szCs w:val="28"/>
              </w:rPr>
            </w:pPr>
            <w:bookmarkStart w:id="166" w:name="_Toc454877603"/>
            <w:bookmarkStart w:id="167" w:name="_Toc454884660"/>
            <w:bookmarkStart w:id="168" w:name="_Toc455056199"/>
            <w:r w:rsidRPr="00CC1650">
              <w:rPr>
                <w:rFonts w:hint="eastAsia"/>
                <w:sz w:val="28"/>
                <w:szCs w:val="28"/>
              </w:rPr>
              <w:t>103</w:t>
            </w:r>
            <w:bookmarkEnd w:id="166"/>
            <w:bookmarkEnd w:id="167"/>
            <w:bookmarkEnd w:id="168"/>
          </w:p>
        </w:tc>
        <w:tc>
          <w:tcPr>
            <w:tcW w:w="4351" w:type="pct"/>
          </w:tcPr>
          <w:p w:rsidR="0028740F" w:rsidRPr="00CC1650" w:rsidRDefault="0028740F" w:rsidP="00A87AFB">
            <w:pPr>
              <w:pStyle w:val="3"/>
              <w:numPr>
                <w:ilvl w:val="0"/>
                <w:numId w:val="0"/>
              </w:numPr>
              <w:rPr>
                <w:sz w:val="28"/>
                <w:szCs w:val="28"/>
              </w:rPr>
            </w:pPr>
            <w:bookmarkStart w:id="169" w:name="_Toc454877604"/>
            <w:bookmarkStart w:id="170" w:name="_Toc454884661"/>
            <w:bookmarkStart w:id="171" w:name="_Toc455056200"/>
            <w:r w:rsidRPr="00CC1650">
              <w:rPr>
                <w:rFonts w:hint="eastAsia"/>
                <w:sz w:val="28"/>
                <w:szCs w:val="28"/>
              </w:rPr>
              <w:t>南投縣、嘉義縣、屏東縣、</w:t>
            </w:r>
            <w:proofErr w:type="gramStart"/>
            <w:r w:rsidRPr="00CC1650">
              <w:rPr>
                <w:rFonts w:hint="eastAsia"/>
                <w:sz w:val="28"/>
                <w:szCs w:val="28"/>
              </w:rPr>
              <w:t>臺</w:t>
            </w:r>
            <w:proofErr w:type="gramEnd"/>
            <w:r w:rsidRPr="00CC1650">
              <w:rPr>
                <w:rFonts w:hint="eastAsia"/>
                <w:sz w:val="28"/>
                <w:szCs w:val="28"/>
              </w:rPr>
              <w:t>東縣、花蓮縣、澎湖縣、連江縣</w:t>
            </w:r>
            <w:bookmarkEnd w:id="169"/>
            <w:bookmarkEnd w:id="170"/>
            <w:bookmarkEnd w:id="171"/>
          </w:p>
        </w:tc>
      </w:tr>
      <w:tr w:rsidR="006A75EE" w:rsidRPr="00CC1650" w:rsidTr="00A87AFB">
        <w:tc>
          <w:tcPr>
            <w:tcW w:w="649" w:type="pct"/>
            <w:vAlign w:val="center"/>
          </w:tcPr>
          <w:p w:rsidR="0028740F" w:rsidRPr="00CC1650" w:rsidRDefault="0028740F" w:rsidP="00A87AFB">
            <w:pPr>
              <w:pStyle w:val="3"/>
              <w:numPr>
                <w:ilvl w:val="0"/>
                <w:numId w:val="0"/>
              </w:numPr>
              <w:jc w:val="center"/>
              <w:rPr>
                <w:sz w:val="28"/>
                <w:szCs w:val="28"/>
              </w:rPr>
            </w:pPr>
            <w:bookmarkStart w:id="172" w:name="_Toc454877605"/>
            <w:bookmarkStart w:id="173" w:name="_Toc454884662"/>
            <w:bookmarkStart w:id="174" w:name="_Toc455056201"/>
            <w:r w:rsidRPr="00CC1650">
              <w:rPr>
                <w:rFonts w:hint="eastAsia"/>
                <w:sz w:val="28"/>
                <w:szCs w:val="28"/>
              </w:rPr>
              <w:t>104</w:t>
            </w:r>
            <w:bookmarkEnd w:id="172"/>
            <w:bookmarkEnd w:id="173"/>
            <w:bookmarkEnd w:id="174"/>
          </w:p>
        </w:tc>
        <w:tc>
          <w:tcPr>
            <w:tcW w:w="4351" w:type="pct"/>
          </w:tcPr>
          <w:p w:rsidR="0028740F" w:rsidRPr="00CC1650" w:rsidRDefault="0028740F" w:rsidP="00A87AFB">
            <w:pPr>
              <w:pStyle w:val="3"/>
              <w:numPr>
                <w:ilvl w:val="0"/>
                <w:numId w:val="0"/>
              </w:numPr>
              <w:rPr>
                <w:sz w:val="28"/>
                <w:szCs w:val="28"/>
              </w:rPr>
            </w:pPr>
            <w:bookmarkStart w:id="175" w:name="_Toc454877606"/>
            <w:bookmarkStart w:id="176" w:name="_Toc454884663"/>
            <w:bookmarkStart w:id="177" w:name="_Toc455056202"/>
            <w:r w:rsidRPr="00CC1650">
              <w:rPr>
                <w:rFonts w:hint="eastAsia"/>
                <w:sz w:val="28"/>
                <w:szCs w:val="28"/>
              </w:rPr>
              <w:t>南投縣、嘉義縣、屏東縣、</w:t>
            </w:r>
            <w:proofErr w:type="gramStart"/>
            <w:r w:rsidRPr="00CC1650">
              <w:rPr>
                <w:rFonts w:hint="eastAsia"/>
                <w:sz w:val="28"/>
                <w:szCs w:val="28"/>
              </w:rPr>
              <w:t>臺</w:t>
            </w:r>
            <w:proofErr w:type="gramEnd"/>
            <w:r w:rsidRPr="00CC1650">
              <w:rPr>
                <w:rFonts w:hint="eastAsia"/>
                <w:sz w:val="28"/>
                <w:szCs w:val="28"/>
              </w:rPr>
              <w:t>東縣、花蓮縣、澎湖縣、連江縣</w:t>
            </w:r>
            <w:bookmarkEnd w:id="175"/>
            <w:bookmarkEnd w:id="176"/>
            <w:bookmarkEnd w:id="177"/>
          </w:p>
        </w:tc>
      </w:tr>
    </w:tbl>
    <w:p w:rsidR="0028740F" w:rsidRPr="00CC1650" w:rsidRDefault="0028740F" w:rsidP="00CC1650">
      <w:pPr>
        <w:pStyle w:val="3"/>
        <w:numPr>
          <w:ilvl w:val="0"/>
          <w:numId w:val="0"/>
        </w:numPr>
        <w:spacing w:afterLines="25"/>
        <w:rPr>
          <w:sz w:val="24"/>
          <w:szCs w:val="24"/>
        </w:rPr>
      </w:pPr>
      <w:bookmarkStart w:id="178" w:name="_Toc454877607"/>
      <w:bookmarkStart w:id="179" w:name="_Toc454884664"/>
      <w:bookmarkStart w:id="180" w:name="_Toc455056203"/>
      <w:r w:rsidRPr="00CC1650">
        <w:rPr>
          <w:rFonts w:hint="eastAsia"/>
          <w:sz w:val="24"/>
          <w:szCs w:val="24"/>
        </w:rPr>
        <w:t>資料來源：本報告彙整</w:t>
      </w:r>
      <w:bookmarkEnd w:id="178"/>
      <w:bookmarkEnd w:id="179"/>
      <w:bookmarkEnd w:id="180"/>
    </w:p>
    <w:p w:rsidR="0028740F" w:rsidRPr="00CC1650" w:rsidRDefault="0028740F" w:rsidP="0028740F">
      <w:pPr>
        <w:pStyle w:val="3"/>
        <w:kinsoku w:val="0"/>
        <w:overflowPunct/>
        <w:autoSpaceDE/>
        <w:autoSpaceDN/>
        <w:ind w:left="1360" w:hanging="680"/>
      </w:pPr>
      <w:bookmarkStart w:id="181" w:name="_Toc454877608"/>
      <w:bookmarkStart w:id="182" w:name="_Toc454884665"/>
      <w:bookmarkStart w:id="183" w:name="_Toc455056204"/>
      <w:r w:rsidRPr="00CC1650">
        <w:rPr>
          <w:rFonts w:hint="eastAsia"/>
        </w:rPr>
        <w:t>本院為瞭解各市縣以自有財源支應人事費情形，經彙整統計99至104年度資料發現（詳如下表），99年度有14個市縣人事費占自有財源</w:t>
      </w:r>
      <w:r w:rsidR="006400ED" w:rsidRPr="00CC1650">
        <w:rPr>
          <w:rFonts w:hint="eastAsia"/>
        </w:rPr>
        <w:t>比率</w:t>
      </w:r>
      <w:r w:rsidRPr="00CC1650">
        <w:rPr>
          <w:rFonts w:hint="eastAsia"/>
        </w:rPr>
        <w:t>超過100%，雖呈逐年下降趨勢，至</w:t>
      </w:r>
      <w:proofErr w:type="gramStart"/>
      <w:r w:rsidRPr="00CC1650">
        <w:rPr>
          <w:rFonts w:hint="eastAsia"/>
        </w:rPr>
        <w:t>103</w:t>
      </w:r>
      <w:proofErr w:type="gramEnd"/>
      <w:r w:rsidRPr="00CC1650">
        <w:rPr>
          <w:rFonts w:hint="eastAsia"/>
        </w:rPr>
        <w:t>年度僅餘8個市縣超</w:t>
      </w:r>
      <w:proofErr w:type="gramStart"/>
      <w:r w:rsidRPr="00CC1650">
        <w:rPr>
          <w:rFonts w:hint="eastAsia"/>
        </w:rPr>
        <w:t>逾</w:t>
      </w:r>
      <w:proofErr w:type="gramEnd"/>
      <w:r w:rsidRPr="00CC1650">
        <w:rPr>
          <w:rFonts w:hint="eastAsia"/>
        </w:rPr>
        <w:t>，惟至</w:t>
      </w:r>
      <w:proofErr w:type="gramStart"/>
      <w:r w:rsidRPr="00CC1650">
        <w:rPr>
          <w:rFonts w:hint="eastAsia"/>
        </w:rPr>
        <w:t>104</w:t>
      </w:r>
      <w:proofErr w:type="gramEnd"/>
      <w:r w:rsidRPr="00CC1650">
        <w:rPr>
          <w:rFonts w:hint="eastAsia"/>
        </w:rPr>
        <w:t>年度又成長至9個，此</w:t>
      </w:r>
      <w:proofErr w:type="gramStart"/>
      <w:r w:rsidRPr="00CC1650">
        <w:rPr>
          <w:rFonts w:hint="eastAsia"/>
        </w:rPr>
        <w:t>凸</w:t>
      </w:r>
      <w:proofErr w:type="gramEnd"/>
      <w:r w:rsidRPr="00CC1650">
        <w:rPr>
          <w:rFonts w:hint="eastAsia"/>
        </w:rPr>
        <w:t>顯該等市縣以自有稅課收入、統籌分配稅收入加上其他各項收入，尚無法支應基本人事開銷。</w:t>
      </w:r>
      <w:bookmarkEnd w:id="181"/>
      <w:bookmarkEnd w:id="182"/>
      <w:bookmarkEnd w:id="183"/>
    </w:p>
    <w:p w:rsidR="0028740F" w:rsidRPr="00CC1650" w:rsidRDefault="0028740F" w:rsidP="0028740F">
      <w:pPr>
        <w:pStyle w:val="a4"/>
        <w:jc w:val="left"/>
      </w:pPr>
      <w:bookmarkStart w:id="184" w:name="_Toc455056625"/>
      <w:r w:rsidRPr="00CC1650">
        <w:rPr>
          <w:rFonts w:hint="eastAsia"/>
        </w:rPr>
        <w:t>99至104年度人事費占自有財源</w:t>
      </w:r>
      <w:r w:rsidR="006400ED" w:rsidRPr="00CC1650">
        <w:rPr>
          <w:rFonts w:hint="eastAsia"/>
        </w:rPr>
        <w:t>比率</w:t>
      </w:r>
      <w:r w:rsidRPr="00CC1650">
        <w:rPr>
          <w:rFonts w:hint="eastAsia"/>
        </w:rPr>
        <w:t>超過100%</w:t>
      </w:r>
      <w:r w:rsidR="005E0F0F" w:rsidRPr="00CC1650">
        <w:rPr>
          <w:rFonts w:hint="eastAsia"/>
        </w:rPr>
        <w:t>之</w:t>
      </w:r>
      <w:r w:rsidRPr="00CC1650">
        <w:rPr>
          <w:rFonts w:hint="eastAsia"/>
        </w:rPr>
        <w:t>市縣</w:t>
      </w:r>
      <w:bookmarkEnd w:id="184"/>
    </w:p>
    <w:tbl>
      <w:tblPr>
        <w:tblStyle w:val="25"/>
        <w:tblW w:w="5000" w:type="pct"/>
        <w:tblLook w:val="04A0"/>
      </w:tblPr>
      <w:tblGrid>
        <w:gridCol w:w="970"/>
        <w:gridCol w:w="1040"/>
        <w:gridCol w:w="7277"/>
      </w:tblGrid>
      <w:tr w:rsidR="006A75EE" w:rsidRPr="00CC1650" w:rsidTr="00A87AFB">
        <w:trPr>
          <w:tblHeader/>
        </w:trPr>
        <w:tc>
          <w:tcPr>
            <w:tcW w:w="522" w:type="pct"/>
            <w:vAlign w:val="center"/>
          </w:tcPr>
          <w:p w:rsidR="0028740F" w:rsidRPr="00CC1650" w:rsidRDefault="0028740F" w:rsidP="00A87AFB">
            <w:pPr>
              <w:ind w:left="911" w:hanging="911"/>
              <w:jc w:val="center"/>
              <w:rPr>
                <w:rFonts w:hAnsi="標楷體"/>
                <w:sz w:val="24"/>
              </w:rPr>
            </w:pPr>
            <w:r w:rsidRPr="00CC1650">
              <w:rPr>
                <w:rFonts w:hAnsi="標楷體" w:hint="eastAsia"/>
                <w:sz w:val="24"/>
              </w:rPr>
              <w:t>年度</w:t>
            </w:r>
          </w:p>
        </w:tc>
        <w:tc>
          <w:tcPr>
            <w:tcW w:w="560" w:type="pct"/>
            <w:vAlign w:val="center"/>
          </w:tcPr>
          <w:p w:rsidR="0028740F" w:rsidRPr="00CC1650" w:rsidRDefault="0028740F" w:rsidP="00A87AFB">
            <w:pPr>
              <w:ind w:left="911" w:hanging="911"/>
              <w:jc w:val="center"/>
              <w:rPr>
                <w:rFonts w:hAnsi="標楷體"/>
                <w:sz w:val="24"/>
              </w:rPr>
            </w:pPr>
            <w:r w:rsidRPr="00CC1650">
              <w:rPr>
                <w:rFonts w:hAnsi="標楷體" w:hint="eastAsia"/>
                <w:sz w:val="24"/>
              </w:rPr>
              <w:t>超逾</w:t>
            </w:r>
          </w:p>
        </w:tc>
        <w:tc>
          <w:tcPr>
            <w:tcW w:w="3918" w:type="pct"/>
          </w:tcPr>
          <w:p w:rsidR="0028740F" w:rsidRPr="00CC1650" w:rsidRDefault="0028740F" w:rsidP="00A713DF">
            <w:pPr>
              <w:ind w:left="911" w:hanging="911"/>
              <w:jc w:val="center"/>
              <w:rPr>
                <w:rFonts w:hAnsi="標楷體"/>
                <w:sz w:val="24"/>
              </w:rPr>
            </w:pPr>
            <w:proofErr w:type="gramStart"/>
            <w:r w:rsidRPr="00CC1650">
              <w:rPr>
                <w:rFonts w:hAnsi="標楷體" w:hint="eastAsia"/>
                <w:sz w:val="24"/>
              </w:rPr>
              <w:t>超逾市縣</w:t>
            </w:r>
            <w:proofErr w:type="gramEnd"/>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99</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14</w:t>
            </w:r>
          </w:p>
        </w:tc>
        <w:tc>
          <w:tcPr>
            <w:tcW w:w="3918" w:type="pct"/>
          </w:tcPr>
          <w:p w:rsidR="0028740F" w:rsidRPr="00CC1650" w:rsidRDefault="0028740F" w:rsidP="00A713DF">
            <w:pPr>
              <w:spacing w:line="260" w:lineRule="exact"/>
              <w:rPr>
                <w:rFonts w:hAnsi="標楷體"/>
                <w:sz w:val="24"/>
              </w:rPr>
            </w:pPr>
            <w:proofErr w:type="gramStart"/>
            <w:r w:rsidRPr="00CC1650">
              <w:rPr>
                <w:rFonts w:hAnsi="標楷體" w:hint="eastAsia"/>
                <w:sz w:val="24"/>
              </w:rPr>
              <w:t>臺</w:t>
            </w:r>
            <w:proofErr w:type="gramEnd"/>
            <w:r w:rsidRPr="00CC1650">
              <w:rPr>
                <w:rFonts w:hAnsi="標楷體" w:hint="eastAsia"/>
                <w:sz w:val="24"/>
              </w:rPr>
              <w:t>南市、新竹縣、苗栗縣、基隆市、雲林縣、彰化縣、宜蘭縣、南投縣、嘉義縣、屏東縣、花蓮縣、連江縣、</w:t>
            </w:r>
            <w:proofErr w:type="gramStart"/>
            <w:r w:rsidRPr="00CC1650">
              <w:rPr>
                <w:rFonts w:hAnsi="標楷體" w:hint="eastAsia"/>
                <w:sz w:val="24"/>
              </w:rPr>
              <w:t>臺</w:t>
            </w:r>
            <w:proofErr w:type="gramEnd"/>
            <w:r w:rsidRPr="00CC1650">
              <w:rPr>
                <w:rFonts w:hAnsi="標楷體" w:hint="eastAsia"/>
                <w:sz w:val="24"/>
              </w:rPr>
              <w:t>東縣、澎湖縣</w:t>
            </w:r>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100</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12</w:t>
            </w:r>
          </w:p>
        </w:tc>
        <w:tc>
          <w:tcPr>
            <w:tcW w:w="3918" w:type="pct"/>
          </w:tcPr>
          <w:p w:rsidR="0028740F" w:rsidRPr="00CC1650" w:rsidRDefault="0028740F" w:rsidP="00A713DF">
            <w:pPr>
              <w:spacing w:line="260" w:lineRule="exact"/>
              <w:rPr>
                <w:rFonts w:hAnsi="標楷體"/>
                <w:sz w:val="24"/>
              </w:rPr>
            </w:pPr>
            <w:r w:rsidRPr="00CC1650">
              <w:rPr>
                <w:rFonts w:hAnsi="標楷體" w:hint="eastAsia"/>
                <w:sz w:val="24"/>
              </w:rPr>
              <w:t>宜蘭縣、嘉義市、苗栗縣、基隆市、南投縣、雲林縣、彰化縣、屏東縣、花蓮縣、連江縣、</w:t>
            </w:r>
            <w:proofErr w:type="gramStart"/>
            <w:r w:rsidRPr="00CC1650">
              <w:rPr>
                <w:rFonts w:hAnsi="標楷體" w:hint="eastAsia"/>
                <w:sz w:val="24"/>
              </w:rPr>
              <w:t>臺</w:t>
            </w:r>
            <w:proofErr w:type="gramEnd"/>
            <w:r w:rsidRPr="00CC1650">
              <w:rPr>
                <w:rFonts w:hAnsi="標楷體" w:hint="eastAsia"/>
                <w:sz w:val="24"/>
              </w:rPr>
              <w:t>東縣、澎湖縣</w:t>
            </w:r>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101</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12</w:t>
            </w:r>
          </w:p>
        </w:tc>
        <w:tc>
          <w:tcPr>
            <w:tcW w:w="3918" w:type="pct"/>
          </w:tcPr>
          <w:p w:rsidR="0028740F" w:rsidRPr="00CC1650" w:rsidRDefault="0028740F" w:rsidP="00A713DF">
            <w:pPr>
              <w:spacing w:line="260" w:lineRule="exact"/>
              <w:rPr>
                <w:rFonts w:hAnsi="標楷體"/>
                <w:sz w:val="24"/>
              </w:rPr>
            </w:pPr>
            <w:r w:rsidRPr="00CC1650">
              <w:rPr>
                <w:rFonts w:hAnsi="標楷體" w:hint="eastAsia"/>
                <w:sz w:val="24"/>
              </w:rPr>
              <w:t>連江縣、苗栗縣、基隆市、嘉義市、花蓮縣、雲林縣、彰化縣、嘉義縣、南投縣、屏東縣、澎湖縣、</w:t>
            </w:r>
            <w:proofErr w:type="gramStart"/>
            <w:r w:rsidRPr="00CC1650">
              <w:rPr>
                <w:rFonts w:hAnsi="標楷體" w:hint="eastAsia"/>
                <w:sz w:val="24"/>
              </w:rPr>
              <w:t>臺</w:t>
            </w:r>
            <w:proofErr w:type="gramEnd"/>
            <w:r w:rsidRPr="00CC1650">
              <w:rPr>
                <w:rFonts w:hAnsi="標楷體" w:hint="eastAsia"/>
                <w:sz w:val="24"/>
              </w:rPr>
              <w:t>東縣</w:t>
            </w:r>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102</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9</w:t>
            </w:r>
          </w:p>
        </w:tc>
        <w:tc>
          <w:tcPr>
            <w:tcW w:w="3918" w:type="pct"/>
          </w:tcPr>
          <w:p w:rsidR="0028740F" w:rsidRPr="00CC1650" w:rsidRDefault="0028740F" w:rsidP="00A713DF">
            <w:pPr>
              <w:spacing w:line="260" w:lineRule="exact"/>
              <w:rPr>
                <w:rFonts w:hAnsi="標楷體"/>
                <w:sz w:val="24"/>
              </w:rPr>
            </w:pPr>
            <w:r w:rsidRPr="00CC1650">
              <w:rPr>
                <w:rFonts w:hAnsi="標楷體" w:hint="eastAsia"/>
                <w:sz w:val="24"/>
              </w:rPr>
              <w:t>基隆市、雲林縣、彰化縣、花蓮縣、嘉義縣、連江縣、屏東縣、</w:t>
            </w:r>
            <w:proofErr w:type="gramStart"/>
            <w:r w:rsidRPr="00CC1650">
              <w:rPr>
                <w:rFonts w:hAnsi="標楷體" w:hint="eastAsia"/>
                <w:sz w:val="24"/>
              </w:rPr>
              <w:t>臺</w:t>
            </w:r>
            <w:proofErr w:type="gramEnd"/>
            <w:r w:rsidRPr="00CC1650">
              <w:rPr>
                <w:rFonts w:hAnsi="標楷體" w:hint="eastAsia"/>
                <w:sz w:val="24"/>
              </w:rPr>
              <w:t>東縣、澎湖縣</w:t>
            </w:r>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103</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8</w:t>
            </w:r>
          </w:p>
        </w:tc>
        <w:tc>
          <w:tcPr>
            <w:tcW w:w="3918" w:type="pct"/>
          </w:tcPr>
          <w:p w:rsidR="0028740F" w:rsidRPr="00CC1650" w:rsidRDefault="0028740F" w:rsidP="00A713DF">
            <w:pPr>
              <w:spacing w:line="260" w:lineRule="exact"/>
              <w:rPr>
                <w:rFonts w:hAnsi="標楷體"/>
                <w:sz w:val="24"/>
              </w:rPr>
            </w:pPr>
            <w:r w:rsidRPr="00CC1650">
              <w:rPr>
                <w:rFonts w:hAnsi="標楷體" w:hint="eastAsia"/>
                <w:sz w:val="24"/>
              </w:rPr>
              <w:t>基隆市、嘉義市、嘉義縣、花蓮縣、屏東縣、</w:t>
            </w:r>
            <w:proofErr w:type="gramStart"/>
            <w:r w:rsidRPr="00CC1650">
              <w:rPr>
                <w:rFonts w:hAnsi="標楷體" w:hint="eastAsia"/>
                <w:sz w:val="24"/>
              </w:rPr>
              <w:t>臺</w:t>
            </w:r>
            <w:proofErr w:type="gramEnd"/>
            <w:r w:rsidRPr="00CC1650">
              <w:rPr>
                <w:rFonts w:hAnsi="標楷體" w:hint="eastAsia"/>
                <w:sz w:val="24"/>
              </w:rPr>
              <w:t>東縣、連江縣、澎湖縣</w:t>
            </w:r>
          </w:p>
        </w:tc>
      </w:tr>
      <w:tr w:rsidR="006A75EE" w:rsidRPr="00CC1650" w:rsidTr="00A87AFB">
        <w:tc>
          <w:tcPr>
            <w:tcW w:w="522"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104</w:t>
            </w:r>
          </w:p>
        </w:tc>
        <w:tc>
          <w:tcPr>
            <w:tcW w:w="560" w:type="pct"/>
            <w:vAlign w:val="center"/>
          </w:tcPr>
          <w:p w:rsidR="0028740F" w:rsidRPr="00CC1650" w:rsidRDefault="0028740F" w:rsidP="00A713DF">
            <w:pPr>
              <w:spacing w:line="260" w:lineRule="exact"/>
              <w:ind w:left="911" w:hanging="911"/>
              <w:jc w:val="center"/>
              <w:rPr>
                <w:rFonts w:hAnsi="標楷體"/>
                <w:sz w:val="24"/>
              </w:rPr>
            </w:pPr>
            <w:r w:rsidRPr="00CC1650">
              <w:rPr>
                <w:rFonts w:hAnsi="標楷體" w:hint="eastAsia"/>
                <w:sz w:val="24"/>
              </w:rPr>
              <w:t>9</w:t>
            </w:r>
          </w:p>
        </w:tc>
        <w:tc>
          <w:tcPr>
            <w:tcW w:w="3918" w:type="pct"/>
          </w:tcPr>
          <w:p w:rsidR="0028740F" w:rsidRPr="00CC1650" w:rsidRDefault="0028740F" w:rsidP="00A713DF">
            <w:pPr>
              <w:spacing w:line="260" w:lineRule="exact"/>
              <w:rPr>
                <w:rFonts w:hAnsi="標楷體"/>
                <w:sz w:val="24"/>
              </w:rPr>
            </w:pPr>
            <w:r w:rsidRPr="00CC1650">
              <w:rPr>
                <w:rFonts w:hAnsi="標楷體" w:hint="eastAsia"/>
                <w:sz w:val="24"/>
              </w:rPr>
              <w:t>彰化縣、基隆市、屏東縣、嘉義縣、花蓮縣、南投縣、</w:t>
            </w:r>
            <w:proofErr w:type="gramStart"/>
            <w:r w:rsidRPr="00CC1650">
              <w:rPr>
                <w:rFonts w:hAnsi="標楷體" w:hint="eastAsia"/>
                <w:sz w:val="24"/>
              </w:rPr>
              <w:t>臺</w:t>
            </w:r>
            <w:proofErr w:type="gramEnd"/>
            <w:r w:rsidRPr="00CC1650">
              <w:rPr>
                <w:rFonts w:hAnsi="標楷體" w:hint="eastAsia"/>
                <w:sz w:val="24"/>
              </w:rPr>
              <w:t>東縣、連江縣、澎湖縣</w:t>
            </w:r>
          </w:p>
        </w:tc>
      </w:tr>
    </w:tbl>
    <w:p w:rsidR="0028740F" w:rsidRPr="00CC1650" w:rsidRDefault="0028740F" w:rsidP="00CC1650">
      <w:pPr>
        <w:pStyle w:val="3"/>
        <w:numPr>
          <w:ilvl w:val="0"/>
          <w:numId w:val="0"/>
        </w:numPr>
        <w:spacing w:afterLines="25"/>
        <w:ind w:left="-284"/>
        <w:rPr>
          <w:sz w:val="24"/>
          <w:szCs w:val="24"/>
        </w:rPr>
      </w:pPr>
      <w:r w:rsidRPr="00CC1650">
        <w:rPr>
          <w:rFonts w:hint="eastAsia"/>
        </w:rPr>
        <w:t xml:space="preserve"> </w:t>
      </w:r>
      <w:bookmarkStart w:id="185" w:name="_Toc454877609"/>
      <w:bookmarkStart w:id="186" w:name="_Toc454884666"/>
      <w:bookmarkStart w:id="187" w:name="_Toc455056205"/>
      <w:r w:rsidRPr="00CC1650">
        <w:rPr>
          <w:rFonts w:hint="eastAsia"/>
          <w:sz w:val="24"/>
          <w:szCs w:val="24"/>
        </w:rPr>
        <w:t>資料來源：本報告彙整</w:t>
      </w:r>
      <w:bookmarkEnd w:id="185"/>
      <w:bookmarkEnd w:id="186"/>
      <w:bookmarkEnd w:id="187"/>
    </w:p>
    <w:p w:rsidR="0028740F" w:rsidRPr="00CC1650" w:rsidRDefault="0028740F" w:rsidP="00A713DF">
      <w:pPr>
        <w:pStyle w:val="3"/>
        <w:kinsoku w:val="0"/>
        <w:overflowPunct/>
        <w:autoSpaceDE/>
        <w:autoSpaceDN/>
        <w:spacing w:line="440" w:lineRule="exact"/>
        <w:ind w:left="1360" w:hanging="680"/>
      </w:pPr>
      <w:bookmarkStart w:id="188" w:name="_Toc454877610"/>
      <w:bookmarkStart w:id="189" w:name="_Toc454884667"/>
      <w:bookmarkStart w:id="190" w:name="_Toc455056206"/>
      <w:r w:rsidRPr="00CC1650">
        <w:rPr>
          <w:rFonts w:hint="eastAsia"/>
        </w:rPr>
        <w:lastRenderedPageBreak/>
        <w:t>單就</w:t>
      </w:r>
      <w:proofErr w:type="gramStart"/>
      <w:r w:rsidRPr="00CC1650">
        <w:rPr>
          <w:rFonts w:hint="eastAsia"/>
        </w:rPr>
        <w:t>104</w:t>
      </w:r>
      <w:proofErr w:type="gramEnd"/>
      <w:r w:rsidRPr="00CC1650">
        <w:rPr>
          <w:rFonts w:hint="eastAsia"/>
        </w:rPr>
        <w:t>年度人事費占自有財源比率觀之，超逾之市縣有澎湖縣(136.8%)、連江縣(129.7%)、</w:t>
      </w:r>
      <w:proofErr w:type="gramStart"/>
      <w:r w:rsidRPr="00CC1650">
        <w:rPr>
          <w:rFonts w:hint="eastAsia"/>
        </w:rPr>
        <w:t>臺</w:t>
      </w:r>
      <w:proofErr w:type="gramEnd"/>
      <w:r w:rsidRPr="00CC1650">
        <w:rPr>
          <w:rFonts w:hint="eastAsia"/>
        </w:rPr>
        <w:t>東縣(127.3%)、南投縣(123.6%)、花蓮縣(116.3%)、嘉義縣(111.7%)、屏東縣(109.8%)、基隆市(103.3%)、彰化縣(102.7%)，詳如下圖3。足見，諸多市縣自有財源已無法支應人事費支出，更遑論支應其他政務支出，對各項建設發展至為不利。</w:t>
      </w:r>
      <w:bookmarkEnd w:id="188"/>
      <w:bookmarkEnd w:id="189"/>
      <w:bookmarkEnd w:id="190"/>
    </w:p>
    <w:p w:rsidR="0028740F" w:rsidRPr="00CC1650" w:rsidRDefault="0028740F" w:rsidP="0028740F">
      <w:pPr>
        <w:pStyle w:val="1"/>
        <w:numPr>
          <w:ilvl w:val="0"/>
          <w:numId w:val="0"/>
        </w:numPr>
        <w:ind w:left="699" w:firstLine="719"/>
        <w:jc w:val="center"/>
        <w:rPr>
          <w:noProof/>
        </w:rPr>
      </w:pPr>
      <w:bookmarkStart w:id="191" w:name="_Toc454877611"/>
      <w:bookmarkStart w:id="192" w:name="_Toc454884668"/>
      <w:bookmarkStart w:id="193" w:name="_Toc455056207"/>
      <w:r w:rsidRPr="00CC1650">
        <w:rPr>
          <w:noProof/>
        </w:rPr>
        <w:drawing>
          <wp:inline distT="0" distB="0" distL="0" distR="0">
            <wp:extent cx="4946650" cy="2876550"/>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4128" cy="2880899"/>
                    </a:xfrm>
                    <a:prstGeom prst="rect">
                      <a:avLst/>
                    </a:prstGeom>
                    <a:noFill/>
                  </pic:spPr>
                </pic:pic>
              </a:graphicData>
            </a:graphic>
          </wp:inline>
        </w:drawing>
      </w:r>
      <w:bookmarkEnd w:id="191"/>
      <w:bookmarkEnd w:id="192"/>
      <w:bookmarkEnd w:id="193"/>
    </w:p>
    <w:p w:rsidR="0028740F" w:rsidRPr="00CC1650" w:rsidRDefault="0028740F" w:rsidP="0028740F">
      <w:pPr>
        <w:pStyle w:val="a2"/>
        <w:spacing w:after="40"/>
        <w:ind w:left="1418" w:firstLine="0"/>
      </w:pPr>
      <w:bookmarkStart w:id="194" w:name="_Toc455056693"/>
      <w:proofErr w:type="gramStart"/>
      <w:r w:rsidRPr="00CC1650">
        <w:rPr>
          <w:rFonts w:hint="eastAsia"/>
        </w:rPr>
        <w:t>104</w:t>
      </w:r>
      <w:proofErr w:type="gramEnd"/>
      <w:r w:rsidRPr="00CC1650">
        <w:rPr>
          <w:rFonts w:hint="eastAsia"/>
        </w:rPr>
        <w:t>年度各市縣人事費占自有財源</w:t>
      </w:r>
      <w:r w:rsidR="005E0F0F" w:rsidRPr="00CC1650">
        <w:rPr>
          <w:rFonts w:hint="eastAsia"/>
        </w:rPr>
        <w:t>比率</w:t>
      </w:r>
      <w:r w:rsidRPr="00CC1650">
        <w:rPr>
          <w:rFonts w:hint="eastAsia"/>
        </w:rPr>
        <w:t>情形</w:t>
      </w:r>
      <w:bookmarkEnd w:id="194"/>
    </w:p>
    <w:p w:rsidR="0028740F" w:rsidRPr="00CC1650" w:rsidRDefault="0028740F" w:rsidP="00CC1650">
      <w:pPr>
        <w:pStyle w:val="1"/>
        <w:numPr>
          <w:ilvl w:val="0"/>
          <w:numId w:val="0"/>
        </w:numPr>
        <w:spacing w:afterLines="50"/>
        <w:ind w:leftChars="50" w:left="170" w:firstLineChars="500" w:firstLine="1301"/>
        <w:rPr>
          <w:sz w:val="24"/>
          <w:szCs w:val="24"/>
        </w:rPr>
      </w:pPr>
      <w:bookmarkStart w:id="195" w:name="_Toc454877612"/>
      <w:bookmarkStart w:id="196" w:name="_Toc454884669"/>
      <w:bookmarkStart w:id="197" w:name="_Toc455056208"/>
      <w:r w:rsidRPr="00CC1650">
        <w:rPr>
          <w:rFonts w:hint="eastAsia"/>
          <w:sz w:val="24"/>
          <w:szCs w:val="24"/>
        </w:rPr>
        <w:t>資料來源：本報告彙整</w:t>
      </w:r>
      <w:bookmarkEnd w:id="195"/>
      <w:bookmarkEnd w:id="196"/>
      <w:bookmarkEnd w:id="197"/>
    </w:p>
    <w:p w:rsidR="0028740F" w:rsidRPr="00CC1650" w:rsidRDefault="0028740F" w:rsidP="00CC1650">
      <w:pPr>
        <w:pStyle w:val="3"/>
        <w:kinsoku w:val="0"/>
        <w:overflowPunct/>
        <w:autoSpaceDE/>
        <w:autoSpaceDN/>
        <w:spacing w:afterLines="50"/>
        <w:ind w:left="1360" w:hanging="680"/>
      </w:pPr>
      <w:bookmarkStart w:id="198" w:name="_Toc454877613"/>
      <w:bookmarkStart w:id="199" w:name="_Toc454884670"/>
      <w:bookmarkStart w:id="200" w:name="_Toc455056209"/>
      <w:r w:rsidRPr="00CC1650">
        <w:rPr>
          <w:rFonts w:hint="eastAsia"/>
        </w:rPr>
        <w:t>本院調查發現，諸多市縣之歲出經費中高達</w:t>
      </w:r>
      <w:proofErr w:type="gramStart"/>
      <w:r w:rsidRPr="00CC1650">
        <w:rPr>
          <w:rFonts w:hint="eastAsia"/>
        </w:rPr>
        <w:t>5成</w:t>
      </w:r>
      <w:proofErr w:type="gramEnd"/>
      <w:r w:rsidRPr="00CC1650">
        <w:rPr>
          <w:rFonts w:hint="eastAsia"/>
        </w:rPr>
        <w:t>以上均用於人事費支出，有如基隆市(56.4%)、南投縣(55.9%)、嘉義市（54.9%）、臺北市(52.4%)、彰化縣(52.4%)、屏東縣(52.2%)、</w:t>
      </w:r>
      <w:proofErr w:type="gramStart"/>
      <w:r w:rsidRPr="00CC1650">
        <w:rPr>
          <w:rFonts w:hint="eastAsia"/>
        </w:rPr>
        <w:t>臺</w:t>
      </w:r>
      <w:proofErr w:type="gramEnd"/>
      <w:r w:rsidRPr="00CC1650">
        <w:rPr>
          <w:rFonts w:hint="eastAsia"/>
        </w:rPr>
        <w:t>南市(52.2%)。其餘縣市縱未達</w:t>
      </w:r>
      <w:proofErr w:type="gramStart"/>
      <w:r w:rsidRPr="00CC1650">
        <w:rPr>
          <w:rFonts w:hint="eastAsia"/>
        </w:rPr>
        <w:t>5成</w:t>
      </w:r>
      <w:proofErr w:type="gramEnd"/>
      <w:r w:rsidRPr="00CC1650">
        <w:rPr>
          <w:rFonts w:hint="eastAsia"/>
        </w:rPr>
        <w:t>，亦高達</w:t>
      </w:r>
      <w:proofErr w:type="gramStart"/>
      <w:r w:rsidRPr="00CC1650">
        <w:rPr>
          <w:rFonts w:hint="eastAsia"/>
        </w:rPr>
        <w:t>4成</w:t>
      </w:r>
      <w:proofErr w:type="gramEnd"/>
      <w:r w:rsidRPr="00CC1650">
        <w:rPr>
          <w:rFonts w:hint="eastAsia"/>
        </w:rPr>
        <w:t>以上，僅金門（22.8%）與連江縣（29.3%）較低，詳如下圖4。諸多</w:t>
      </w:r>
      <w:proofErr w:type="gramStart"/>
      <w:r w:rsidRPr="00CC1650">
        <w:rPr>
          <w:rFonts w:hint="eastAsia"/>
        </w:rPr>
        <w:t>市縣歲出</w:t>
      </w:r>
      <w:proofErr w:type="gramEnd"/>
      <w:r w:rsidRPr="00CC1650">
        <w:rPr>
          <w:rFonts w:hint="eastAsia"/>
        </w:rPr>
        <w:t>預算過半數以上均支付人事費用，龐大人事成本恐將排擠政事費用，影響政務順利推行。</w:t>
      </w:r>
      <w:bookmarkEnd w:id="198"/>
      <w:bookmarkEnd w:id="199"/>
      <w:bookmarkEnd w:id="200"/>
    </w:p>
    <w:p w:rsidR="0028740F" w:rsidRPr="00CC1650" w:rsidRDefault="0028740F" w:rsidP="0028740F">
      <w:pPr>
        <w:pStyle w:val="1"/>
        <w:numPr>
          <w:ilvl w:val="0"/>
          <w:numId w:val="0"/>
        </w:numPr>
        <w:ind w:left="699" w:firstLine="861"/>
      </w:pPr>
      <w:bookmarkStart w:id="201" w:name="_Toc454877614"/>
      <w:bookmarkStart w:id="202" w:name="_Toc454884671"/>
      <w:bookmarkStart w:id="203" w:name="_Toc455056210"/>
      <w:r w:rsidRPr="00CC1650">
        <w:rPr>
          <w:noProof/>
        </w:rPr>
        <w:lastRenderedPageBreak/>
        <w:drawing>
          <wp:inline distT="0" distB="0" distL="0" distR="0">
            <wp:extent cx="4578350" cy="2908300"/>
            <wp:effectExtent l="0" t="0" r="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8350" cy="2908300"/>
                    </a:xfrm>
                    <a:prstGeom prst="rect">
                      <a:avLst/>
                    </a:prstGeom>
                    <a:noFill/>
                  </pic:spPr>
                </pic:pic>
              </a:graphicData>
            </a:graphic>
          </wp:inline>
        </w:drawing>
      </w:r>
      <w:bookmarkEnd w:id="201"/>
      <w:bookmarkEnd w:id="202"/>
      <w:bookmarkEnd w:id="203"/>
    </w:p>
    <w:p w:rsidR="0028740F" w:rsidRPr="00CC1650" w:rsidRDefault="0028740F" w:rsidP="0028740F">
      <w:pPr>
        <w:pStyle w:val="a2"/>
        <w:spacing w:after="40"/>
        <w:ind w:left="1560" w:firstLine="0"/>
        <w:rPr>
          <w:sz w:val="24"/>
          <w:szCs w:val="24"/>
        </w:rPr>
      </w:pPr>
      <w:bookmarkStart w:id="204" w:name="_Toc455056694"/>
      <w:proofErr w:type="gramStart"/>
      <w:r w:rsidRPr="00CC1650">
        <w:rPr>
          <w:rFonts w:hint="eastAsia"/>
        </w:rPr>
        <w:t>104</w:t>
      </w:r>
      <w:proofErr w:type="gramEnd"/>
      <w:r w:rsidRPr="00CC1650">
        <w:rPr>
          <w:rFonts w:hint="eastAsia"/>
        </w:rPr>
        <w:t>年度各市縣人事費占歲出</w:t>
      </w:r>
      <w:r w:rsidR="005E0F0F" w:rsidRPr="00CC1650">
        <w:rPr>
          <w:rFonts w:hint="eastAsia"/>
        </w:rPr>
        <w:t>比率</w:t>
      </w:r>
      <w:r w:rsidRPr="00CC1650">
        <w:rPr>
          <w:rFonts w:hint="eastAsia"/>
        </w:rPr>
        <w:t>情形</w:t>
      </w:r>
      <w:bookmarkEnd w:id="204"/>
    </w:p>
    <w:p w:rsidR="0028740F" w:rsidRPr="00CC1650" w:rsidRDefault="0028740F" w:rsidP="00CC1650">
      <w:pPr>
        <w:pStyle w:val="1"/>
        <w:numPr>
          <w:ilvl w:val="0"/>
          <w:numId w:val="0"/>
        </w:numPr>
        <w:spacing w:afterLines="25"/>
        <w:ind w:left="1559"/>
      </w:pPr>
      <w:bookmarkStart w:id="205" w:name="_Toc454877615"/>
      <w:bookmarkStart w:id="206" w:name="_Toc454884672"/>
      <w:bookmarkStart w:id="207" w:name="_Toc455056211"/>
      <w:r w:rsidRPr="00CC1650">
        <w:rPr>
          <w:rFonts w:hint="eastAsia"/>
          <w:sz w:val="24"/>
          <w:szCs w:val="24"/>
        </w:rPr>
        <w:t>資料來源：本報告彙整</w:t>
      </w:r>
      <w:bookmarkEnd w:id="205"/>
      <w:bookmarkEnd w:id="206"/>
      <w:bookmarkEnd w:id="207"/>
    </w:p>
    <w:p w:rsidR="0028740F" w:rsidRPr="00CC1650" w:rsidRDefault="0028740F" w:rsidP="0028740F">
      <w:pPr>
        <w:pStyle w:val="3"/>
      </w:pPr>
      <w:bookmarkStart w:id="208" w:name="_Toc454877616"/>
      <w:bookmarkStart w:id="209" w:name="_Toc454884673"/>
      <w:bookmarkStart w:id="210" w:name="_Toc455056212"/>
      <w:r w:rsidRPr="00CC1650">
        <w:rPr>
          <w:rFonts w:hint="eastAsia"/>
        </w:rPr>
        <w:t>本院為進一步探究地方政府人力配置情形，請各市縣政府提供95至103年人力增減情形，並彙整分析如下：</w:t>
      </w:r>
      <w:bookmarkEnd w:id="208"/>
      <w:bookmarkEnd w:id="209"/>
      <w:bookmarkEnd w:id="210"/>
    </w:p>
    <w:p w:rsidR="0028740F" w:rsidRPr="00CC1650" w:rsidRDefault="0028740F" w:rsidP="00CC1650">
      <w:pPr>
        <w:pStyle w:val="4"/>
        <w:spacing w:afterLines="50"/>
      </w:pPr>
      <w:r w:rsidRPr="00CC1650">
        <w:rPr>
          <w:rFonts w:hint="eastAsia"/>
        </w:rPr>
        <w:t>正式員工部分：地方政府正式員工數多呈正成長，95至103</w:t>
      </w:r>
      <w:r w:rsidR="006F2AFA" w:rsidRPr="00CC1650">
        <w:rPr>
          <w:rFonts w:hint="eastAsia"/>
        </w:rPr>
        <w:t>年正式員工人數增加之市縣，依增加比率</w:t>
      </w:r>
      <w:r w:rsidRPr="00CC1650">
        <w:rPr>
          <w:rFonts w:hint="eastAsia"/>
        </w:rPr>
        <w:t>依序為：花蓮縣增加44.8%、金門縣增加23.0%、新北市增加10.7%、新竹市增加9.2%、桃園市增加9.1%、南投縣增加8.4%、新竹縣增加8.3%、苗栗縣增加7.7%</w:t>
      </w:r>
      <w:r w:rsidRPr="00CC1650">
        <w:rPr>
          <w:rStyle w:val="afd"/>
        </w:rPr>
        <w:footnoteReference w:id="3"/>
      </w:r>
      <w:r w:rsidRPr="00CC1650">
        <w:rPr>
          <w:rFonts w:hint="eastAsia"/>
        </w:rPr>
        <w:t>、屏東縣增加7.3%、</w:t>
      </w:r>
      <w:proofErr w:type="gramStart"/>
      <w:r w:rsidRPr="00CC1650">
        <w:rPr>
          <w:rFonts w:hint="eastAsia"/>
        </w:rPr>
        <w:t>臺</w:t>
      </w:r>
      <w:proofErr w:type="gramEnd"/>
      <w:r w:rsidRPr="00CC1650">
        <w:rPr>
          <w:rFonts w:hint="eastAsia"/>
        </w:rPr>
        <w:t>東縣增加7.1%、</w:t>
      </w:r>
      <w:proofErr w:type="gramStart"/>
      <w:r w:rsidRPr="00CC1650">
        <w:rPr>
          <w:rFonts w:hint="eastAsia"/>
        </w:rPr>
        <w:t>臺</w:t>
      </w:r>
      <w:proofErr w:type="gramEnd"/>
      <w:r w:rsidRPr="00CC1650">
        <w:rPr>
          <w:rFonts w:hint="eastAsia"/>
        </w:rPr>
        <w:t>中市增加5.0%、彰化縣增加4.1%、高雄市增加2.5%、宜蘭縣增加0.8%、嘉義市增加0.7%、</w:t>
      </w:r>
      <w:proofErr w:type="gramStart"/>
      <w:r w:rsidRPr="00CC1650">
        <w:rPr>
          <w:rFonts w:hint="eastAsia"/>
        </w:rPr>
        <w:t>臺</w:t>
      </w:r>
      <w:proofErr w:type="gramEnd"/>
      <w:r w:rsidRPr="00CC1650">
        <w:rPr>
          <w:rFonts w:hint="eastAsia"/>
        </w:rPr>
        <w:t>南市增加0.02%</w:t>
      </w:r>
      <w:r w:rsidRPr="00CC1650">
        <w:rPr>
          <w:rStyle w:val="afd"/>
        </w:rPr>
        <w:footnoteReference w:id="4"/>
      </w:r>
      <w:r w:rsidRPr="00CC1650">
        <w:rPr>
          <w:rFonts w:hint="eastAsia"/>
        </w:rPr>
        <w:t>，詳如下圖。</w:t>
      </w:r>
    </w:p>
    <w:p w:rsidR="0028740F" w:rsidRPr="00CC1650" w:rsidRDefault="0028740F" w:rsidP="0028740F">
      <w:pPr>
        <w:pStyle w:val="1"/>
        <w:numPr>
          <w:ilvl w:val="0"/>
          <w:numId w:val="0"/>
        </w:numPr>
        <w:ind w:left="699" w:hanging="699"/>
        <w:jc w:val="center"/>
      </w:pPr>
      <w:bookmarkStart w:id="211" w:name="_Toc454877617"/>
      <w:bookmarkStart w:id="212" w:name="_Toc454884674"/>
      <w:bookmarkStart w:id="213" w:name="_Toc455056213"/>
      <w:r w:rsidRPr="00CC1650">
        <w:rPr>
          <w:noProof/>
        </w:rPr>
        <w:lastRenderedPageBreak/>
        <w:drawing>
          <wp:inline distT="0" distB="0" distL="0" distR="0">
            <wp:extent cx="4284980" cy="3041650"/>
            <wp:effectExtent l="0" t="0" r="1270" b="635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4980" cy="3041650"/>
                    </a:xfrm>
                    <a:prstGeom prst="rect">
                      <a:avLst/>
                    </a:prstGeom>
                    <a:noFill/>
                  </pic:spPr>
                </pic:pic>
              </a:graphicData>
            </a:graphic>
          </wp:inline>
        </w:drawing>
      </w:r>
      <w:bookmarkEnd w:id="211"/>
      <w:bookmarkEnd w:id="212"/>
      <w:bookmarkEnd w:id="213"/>
    </w:p>
    <w:p w:rsidR="0028740F" w:rsidRPr="00CC1650" w:rsidRDefault="0028740F" w:rsidP="0028740F">
      <w:pPr>
        <w:pStyle w:val="a2"/>
        <w:spacing w:after="40"/>
        <w:ind w:left="482" w:hanging="482"/>
      </w:pPr>
      <w:bookmarkStart w:id="214" w:name="_Toc455056695"/>
      <w:r w:rsidRPr="00CC1650">
        <w:rPr>
          <w:rFonts w:hint="eastAsia"/>
        </w:rPr>
        <w:t>95至103年各市縣政府正式員工人數增加比率</w:t>
      </w:r>
      <w:bookmarkEnd w:id="214"/>
    </w:p>
    <w:p w:rsidR="0028740F" w:rsidRPr="00CC1650" w:rsidRDefault="0028740F" w:rsidP="00CC1650">
      <w:pPr>
        <w:pStyle w:val="1"/>
        <w:numPr>
          <w:ilvl w:val="0"/>
          <w:numId w:val="0"/>
        </w:numPr>
        <w:spacing w:afterLines="25"/>
        <w:ind w:leftChars="292" w:left="993"/>
        <w:jc w:val="left"/>
        <w:rPr>
          <w:sz w:val="24"/>
          <w:szCs w:val="24"/>
        </w:rPr>
      </w:pPr>
      <w:bookmarkStart w:id="215" w:name="_Toc454877618"/>
      <w:bookmarkStart w:id="216" w:name="_Toc454884675"/>
      <w:bookmarkStart w:id="217" w:name="_Toc455056214"/>
      <w:r w:rsidRPr="00CC1650">
        <w:rPr>
          <w:rFonts w:hint="eastAsia"/>
          <w:sz w:val="24"/>
          <w:szCs w:val="24"/>
        </w:rPr>
        <w:t>資料來源：本報告彙整</w:t>
      </w:r>
      <w:bookmarkEnd w:id="215"/>
      <w:bookmarkEnd w:id="216"/>
      <w:bookmarkEnd w:id="217"/>
    </w:p>
    <w:p w:rsidR="0028740F" w:rsidRPr="00CC1650" w:rsidRDefault="0028740F" w:rsidP="0028740F">
      <w:pPr>
        <w:pStyle w:val="4"/>
      </w:pPr>
      <w:r w:rsidRPr="00CC1650">
        <w:rPr>
          <w:rFonts w:hint="eastAsia"/>
        </w:rPr>
        <w:t>約</w:t>
      </w:r>
      <w:r w:rsidR="00C77629" w:rsidRPr="00CC1650">
        <w:rPr>
          <w:rFonts w:hint="eastAsia"/>
        </w:rPr>
        <w:t>聘雇</w:t>
      </w:r>
      <w:r w:rsidRPr="00CC1650">
        <w:rPr>
          <w:rFonts w:hint="eastAsia"/>
        </w:rPr>
        <w:t>員工部分</w:t>
      </w:r>
    </w:p>
    <w:p w:rsidR="0028740F" w:rsidRPr="00CC1650" w:rsidRDefault="0028740F" w:rsidP="0028740F">
      <w:pPr>
        <w:pStyle w:val="5"/>
      </w:pPr>
      <w:r w:rsidRPr="00CC1650">
        <w:rPr>
          <w:rFonts w:hint="eastAsia"/>
        </w:rPr>
        <w:t>以人數增減比率來看</w:t>
      </w:r>
    </w:p>
    <w:p w:rsidR="0028740F" w:rsidRPr="00CC1650" w:rsidRDefault="0028740F" w:rsidP="0028740F">
      <w:pPr>
        <w:pStyle w:val="6"/>
      </w:pPr>
      <w:r w:rsidRPr="00CC1650">
        <w:rPr>
          <w:rFonts w:hAnsi="標楷體" w:hint="eastAsia"/>
        </w:rPr>
        <w:t>直轄市中以桃園市增加最多，該市</w:t>
      </w:r>
      <w:r w:rsidRPr="00CC1650">
        <w:rPr>
          <w:rFonts w:hint="eastAsia"/>
        </w:rPr>
        <w:t>於</w:t>
      </w:r>
      <w:r w:rsidRPr="00CC1650">
        <w:t>103</w:t>
      </w:r>
      <w:r w:rsidRPr="00CC1650">
        <w:rPr>
          <w:rFonts w:hint="eastAsia"/>
        </w:rPr>
        <w:t>年</w:t>
      </w:r>
      <w:r w:rsidRPr="00CC1650">
        <w:t>12</w:t>
      </w:r>
      <w:r w:rsidRPr="00CC1650">
        <w:rPr>
          <w:rFonts w:hint="eastAsia"/>
        </w:rPr>
        <w:t>月</w:t>
      </w:r>
      <w:r w:rsidRPr="00CC1650">
        <w:t>25</w:t>
      </w:r>
      <w:r w:rsidRPr="00CC1650">
        <w:rPr>
          <w:rFonts w:hint="eastAsia"/>
        </w:rPr>
        <w:t>日改制為直轄市，95至102年約</w:t>
      </w:r>
      <w:r w:rsidR="00C77629" w:rsidRPr="00CC1650">
        <w:rPr>
          <w:rFonts w:hint="eastAsia"/>
        </w:rPr>
        <w:t>聘雇</w:t>
      </w:r>
      <w:r w:rsidRPr="00CC1650">
        <w:rPr>
          <w:rFonts w:hint="eastAsia"/>
        </w:rPr>
        <w:t>人數增加48.2%。其次為99年12月25日改制之新北市，約</w:t>
      </w:r>
      <w:r w:rsidR="00C77629" w:rsidRPr="00CC1650">
        <w:rPr>
          <w:rFonts w:hint="eastAsia"/>
        </w:rPr>
        <w:t>聘雇</w:t>
      </w:r>
      <w:r w:rsidRPr="00CC1650">
        <w:rPr>
          <w:rFonts w:hint="eastAsia"/>
        </w:rPr>
        <w:t>人數自100年至103年增加11.9%次之，</w:t>
      </w:r>
      <w:proofErr w:type="gramStart"/>
      <w:r w:rsidRPr="00CC1650">
        <w:rPr>
          <w:rFonts w:hint="eastAsia"/>
        </w:rPr>
        <w:t>臺</w:t>
      </w:r>
      <w:proofErr w:type="gramEnd"/>
      <w:r w:rsidRPr="00CC1650">
        <w:rPr>
          <w:rFonts w:hint="eastAsia"/>
        </w:rPr>
        <w:t>南市縣市合併後100至103年人數亦增加4.8%，其餘臺北市及高雄市均持平，</w:t>
      </w:r>
      <w:proofErr w:type="gramStart"/>
      <w:r w:rsidRPr="00CC1650">
        <w:rPr>
          <w:rFonts w:hint="eastAsia"/>
        </w:rPr>
        <w:t>臺</w:t>
      </w:r>
      <w:proofErr w:type="gramEnd"/>
      <w:r w:rsidRPr="00CC1650">
        <w:rPr>
          <w:rFonts w:hint="eastAsia"/>
        </w:rPr>
        <w:t>中市呈現下降。</w:t>
      </w:r>
    </w:p>
    <w:p w:rsidR="0028740F" w:rsidRPr="00CC1650" w:rsidRDefault="0028740F" w:rsidP="0028740F">
      <w:pPr>
        <w:pStyle w:val="6"/>
      </w:pPr>
      <w:r w:rsidRPr="00CC1650">
        <w:rPr>
          <w:rFonts w:hint="eastAsia"/>
        </w:rPr>
        <w:t>市縣政府部分</w:t>
      </w:r>
    </w:p>
    <w:p w:rsidR="0028740F" w:rsidRPr="00CC1650" w:rsidRDefault="0028740F" w:rsidP="0028740F">
      <w:pPr>
        <w:pStyle w:val="7"/>
      </w:pPr>
      <w:r w:rsidRPr="00CC1650">
        <w:rPr>
          <w:rFonts w:hint="eastAsia"/>
        </w:rPr>
        <w:t>95至103年約</w:t>
      </w:r>
      <w:r w:rsidR="00C77629" w:rsidRPr="00CC1650">
        <w:rPr>
          <w:rFonts w:hint="eastAsia"/>
        </w:rPr>
        <w:t>聘雇</w:t>
      </w:r>
      <w:r w:rsidR="006F2AFA" w:rsidRPr="00CC1650">
        <w:rPr>
          <w:rFonts w:hint="eastAsia"/>
        </w:rPr>
        <w:t>人數增加之市縣，增加比率</w:t>
      </w:r>
      <w:r w:rsidRPr="00CC1650">
        <w:rPr>
          <w:rFonts w:hint="eastAsia"/>
        </w:rPr>
        <w:t>依序為：金門縣185.4%、宜蘭縣58.2%、嘉義市55%、新竹市54.6%、屏東縣53.8%、</w:t>
      </w:r>
      <w:proofErr w:type="gramStart"/>
      <w:r w:rsidRPr="00CC1650">
        <w:rPr>
          <w:rFonts w:hint="eastAsia"/>
        </w:rPr>
        <w:t>臺</w:t>
      </w:r>
      <w:proofErr w:type="gramEnd"/>
      <w:r w:rsidRPr="00CC1650">
        <w:rPr>
          <w:rFonts w:hint="eastAsia"/>
        </w:rPr>
        <w:t>東縣47.7%、新竹縣46.1%、苗栗縣33.0%、花蓮縣13.8%、雲林縣13.4%、南投縣11.5%。</w:t>
      </w:r>
    </w:p>
    <w:p w:rsidR="0028740F" w:rsidRPr="00CC1650" w:rsidRDefault="0028740F" w:rsidP="0028740F">
      <w:pPr>
        <w:pStyle w:val="7"/>
      </w:pPr>
      <w:r w:rsidRPr="00CC1650">
        <w:rPr>
          <w:rFonts w:hint="eastAsia"/>
        </w:rPr>
        <w:lastRenderedPageBreak/>
        <w:t>彰化縣約</w:t>
      </w:r>
      <w:r w:rsidR="00C77629" w:rsidRPr="00CC1650">
        <w:rPr>
          <w:rFonts w:hint="eastAsia"/>
        </w:rPr>
        <w:t>聘雇</w:t>
      </w:r>
      <w:r w:rsidRPr="00CC1650">
        <w:rPr>
          <w:rFonts w:hint="eastAsia"/>
        </w:rPr>
        <w:t>人數變化劇烈，95年為191人，96年躍升為447人，98年再躍升為813人，99年增加為929人，</w:t>
      </w:r>
      <w:proofErr w:type="gramStart"/>
      <w:r w:rsidRPr="00CC1650">
        <w:rPr>
          <w:rFonts w:hint="eastAsia"/>
        </w:rPr>
        <w:t>嗣</w:t>
      </w:r>
      <w:proofErr w:type="gramEnd"/>
      <w:r w:rsidRPr="00CC1650">
        <w:rPr>
          <w:rFonts w:hint="eastAsia"/>
        </w:rPr>
        <w:t>於100年減至214人，惟至103年又增加至404人。</w:t>
      </w:r>
    </w:p>
    <w:p w:rsidR="0028740F" w:rsidRPr="00CC1650" w:rsidRDefault="0028740F" w:rsidP="0028740F">
      <w:pPr>
        <w:pStyle w:val="7"/>
      </w:pPr>
      <w:r w:rsidRPr="00CC1650">
        <w:rPr>
          <w:rFonts w:hint="eastAsia"/>
        </w:rPr>
        <w:t>95至103年約</w:t>
      </w:r>
      <w:r w:rsidR="00C77629" w:rsidRPr="00CC1650">
        <w:rPr>
          <w:rFonts w:hint="eastAsia"/>
        </w:rPr>
        <w:t>聘雇</w:t>
      </w:r>
      <w:r w:rsidRPr="00CC1650">
        <w:rPr>
          <w:rFonts w:hint="eastAsia"/>
        </w:rPr>
        <w:t>人數持平或減少之市縣：嘉義縣95至99年下降15.0%，99至103年增加17.7%，95至103年整體而言持平。澎湖縣持平；基隆市減少25.2%；連江縣減少6.8%。</w:t>
      </w:r>
    </w:p>
    <w:p w:rsidR="0028740F" w:rsidRPr="00CC1650" w:rsidRDefault="0028740F" w:rsidP="0028740F">
      <w:pPr>
        <w:pStyle w:val="5"/>
      </w:pPr>
      <w:r w:rsidRPr="00CC1650">
        <w:rPr>
          <w:rFonts w:hAnsi="標楷體" w:hint="eastAsia"/>
        </w:rPr>
        <w:t>苗栗縣</w:t>
      </w:r>
      <w:r w:rsidRPr="00CC1650">
        <w:rPr>
          <w:rFonts w:hint="eastAsia"/>
        </w:rPr>
        <w:t>約</w:t>
      </w:r>
      <w:r w:rsidR="00C77629" w:rsidRPr="00CC1650">
        <w:rPr>
          <w:rFonts w:hint="eastAsia"/>
        </w:rPr>
        <w:t>聘雇</w:t>
      </w:r>
      <w:r w:rsidRPr="00CC1650">
        <w:rPr>
          <w:rFonts w:hint="eastAsia"/>
        </w:rPr>
        <w:t>人數</w:t>
      </w:r>
      <w:proofErr w:type="gramStart"/>
      <w:r w:rsidRPr="00CC1650">
        <w:rPr>
          <w:rFonts w:hint="eastAsia"/>
        </w:rPr>
        <w:t>占比竟超過4成</w:t>
      </w:r>
      <w:proofErr w:type="gramEnd"/>
      <w:r w:rsidRPr="00CC1650">
        <w:rPr>
          <w:rFonts w:hint="eastAsia"/>
        </w:rPr>
        <w:t>，新竹縣</w:t>
      </w:r>
      <w:proofErr w:type="gramStart"/>
      <w:r w:rsidRPr="00CC1650">
        <w:rPr>
          <w:rFonts w:hint="eastAsia"/>
        </w:rPr>
        <w:t>約</w:t>
      </w:r>
      <w:r w:rsidR="00C77629" w:rsidRPr="00CC1650">
        <w:rPr>
          <w:rFonts w:hint="eastAsia"/>
        </w:rPr>
        <w:t>聘雇</w:t>
      </w:r>
      <w:r w:rsidRPr="00CC1650">
        <w:rPr>
          <w:rFonts w:hint="eastAsia"/>
        </w:rPr>
        <w:t>占比</w:t>
      </w:r>
      <w:proofErr w:type="gramEnd"/>
      <w:r w:rsidRPr="00CC1650">
        <w:rPr>
          <w:rFonts w:hint="eastAsia"/>
        </w:rPr>
        <w:t>近年已超過</w:t>
      </w:r>
      <w:proofErr w:type="gramStart"/>
      <w:r w:rsidRPr="00CC1650">
        <w:rPr>
          <w:rFonts w:hint="eastAsia"/>
        </w:rPr>
        <w:t>1成</w:t>
      </w:r>
      <w:proofErr w:type="gramEnd"/>
      <w:r w:rsidRPr="00CC1650">
        <w:rPr>
          <w:rFonts w:hint="eastAsia"/>
        </w:rPr>
        <w:t>，詳如下表：</w:t>
      </w:r>
    </w:p>
    <w:p w:rsidR="0028740F" w:rsidRPr="00CC1650" w:rsidRDefault="0028740F" w:rsidP="0028740F">
      <w:pPr>
        <w:pStyle w:val="a4"/>
        <w:ind w:left="0" w:right="680" w:firstLine="0"/>
      </w:pPr>
      <w:bookmarkStart w:id="218" w:name="_Toc455056626"/>
      <w:r w:rsidRPr="00CC1650">
        <w:rPr>
          <w:rFonts w:hint="eastAsia"/>
        </w:rPr>
        <w:t>苗栗縣、新竹縣政府人力占比情形表</w:t>
      </w:r>
      <w:bookmarkEnd w:id="218"/>
    </w:p>
    <w:tbl>
      <w:tblPr>
        <w:tblW w:w="4954"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1426"/>
        <w:gridCol w:w="1344"/>
        <w:gridCol w:w="1344"/>
        <w:gridCol w:w="1936"/>
        <w:gridCol w:w="1553"/>
        <w:gridCol w:w="1553"/>
      </w:tblGrid>
      <w:tr w:rsidR="006A75EE" w:rsidRPr="00CC1650" w:rsidTr="00A87AFB">
        <w:trPr>
          <w:trHeight w:val="20"/>
          <w:tblHeader/>
        </w:trPr>
        <w:tc>
          <w:tcPr>
            <w:tcW w:w="779" w:type="pct"/>
            <w:vMerge w:val="restart"/>
            <w:vAlign w:val="center"/>
          </w:tcPr>
          <w:p w:rsidR="0028740F" w:rsidRPr="00CC1650" w:rsidRDefault="0028740F" w:rsidP="00A87AFB">
            <w:pPr>
              <w:jc w:val="center"/>
              <w:rPr>
                <w:rFonts w:hAnsi="標楷體"/>
                <w:sz w:val="28"/>
                <w:szCs w:val="28"/>
              </w:rPr>
            </w:pPr>
            <w:r w:rsidRPr="00CC1650">
              <w:rPr>
                <w:rFonts w:hAnsi="標楷體" w:hint="eastAsia"/>
                <w:sz w:val="28"/>
                <w:szCs w:val="28"/>
              </w:rPr>
              <w:t>市縣</w:t>
            </w:r>
          </w:p>
        </w:tc>
        <w:tc>
          <w:tcPr>
            <w:tcW w:w="734" w:type="pct"/>
            <w:vMerge w:val="restart"/>
            <w:tcBorders>
              <w:top w:val="single" w:sz="4" w:space="0" w:color="000000"/>
              <w:left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年度</w:t>
            </w:r>
          </w:p>
        </w:tc>
        <w:tc>
          <w:tcPr>
            <w:tcW w:w="734" w:type="pct"/>
            <w:vMerge w:val="restart"/>
            <w:tcBorders>
              <w:top w:val="single" w:sz="4" w:space="0" w:color="000000"/>
              <w:left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正式員工人數</w:t>
            </w:r>
          </w:p>
        </w:tc>
        <w:tc>
          <w:tcPr>
            <w:tcW w:w="1057" w:type="pct"/>
            <w:vMerge w:val="restart"/>
            <w:tcBorders>
              <w:top w:val="single" w:sz="4" w:space="0" w:color="000000"/>
              <w:left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約</w:t>
            </w:r>
            <w:r w:rsidR="00C77629" w:rsidRPr="00CC1650">
              <w:rPr>
                <w:rFonts w:hAnsi="標楷體" w:hint="eastAsia"/>
                <w:sz w:val="28"/>
                <w:szCs w:val="28"/>
              </w:rPr>
              <w:t>聘雇</w:t>
            </w:r>
            <w:r w:rsidRPr="00CC1650">
              <w:rPr>
                <w:rFonts w:hAnsi="標楷體" w:hint="eastAsia"/>
                <w:sz w:val="28"/>
                <w:szCs w:val="28"/>
              </w:rPr>
              <w:t>人數</w:t>
            </w:r>
          </w:p>
        </w:tc>
        <w:tc>
          <w:tcPr>
            <w:tcW w:w="16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占全體員工比率</w:t>
            </w:r>
          </w:p>
        </w:tc>
      </w:tr>
      <w:tr w:rsidR="006A75EE" w:rsidRPr="00CC1650" w:rsidTr="00A87AFB">
        <w:trPr>
          <w:trHeight w:val="20"/>
          <w:tblHeader/>
        </w:trPr>
        <w:tc>
          <w:tcPr>
            <w:tcW w:w="779" w:type="pct"/>
            <w:vMerge/>
          </w:tcPr>
          <w:p w:rsidR="0028740F" w:rsidRPr="00CC1650" w:rsidRDefault="0028740F" w:rsidP="00A87AFB">
            <w:pPr>
              <w:jc w:val="center"/>
              <w:rPr>
                <w:rFonts w:hAnsi="標楷體"/>
                <w:sz w:val="28"/>
                <w:szCs w:val="28"/>
              </w:rPr>
            </w:pPr>
          </w:p>
        </w:tc>
        <w:tc>
          <w:tcPr>
            <w:tcW w:w="734" w:type="pct"/>
            <w:vMerge/>
            <w:tcBorders>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p>
        </w:tc>
        <w:tc>
          <w:tcPr>
            <w:tcW w:w="734" w:type="pct"/>
            <w:vMerge/>
            <w:tcBorders>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p>
        </w:tc>
        <w:tc>
          <w:tcPr>
            <w:tcW w:w="1057" w:type="pct"/>
            <w:vMerge/>
            <w:tcBorders>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正式</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約</w:t>
            </w:r>
            <w:r w:rsidR="00C77629" w:rsidRPr="00CC1650">
              <w:rPr>
                <w:rFonts w:hAnsi="標楷體" w:hint="eastAsia"/>
                <w:sz w:val="28"/>
                <w:szCs w:val="28"/>
              </w:rPr>
              <w:t>聘雇</w:t>
            </w:r>
          </w:p>
        </w:tc>
      </w:tr>
      <w:tr w:rsidR="006A75EE" w:rsidRPr="00CC1650" w:rsidTr="00A87AFB">
        <w:trPr>
          <w:trHeight w:val="20"/>
        </w:trPr>
        <w:tc>
          <w:tcPr>
            <w:tcW w:w="779" w:type="pct"/>
            <w:vMerge w:val="restart"/>
          </w:tcPr>
          <w:p w:rsidR="0028740F" w:rsidRPr="00CC1650" w:rsidRDefault="0028740F" w:rsidP="00A87AFB">
            <w:pPr>
              <w:jc w:val="center"/>
              <w:rPr>
                <w:rFonts w:hAnsi="標楷體"/>
                <w:sz w:val="28"/>
                <w:szCs w:val="28"/>
              </w:rPr>
            </w:pPr>
            <w:r w:rsidRPr="00CC1650">
              <w:rPr>
                <w:rFonts w:hAnsi="標楷體" w:hint="eastAsia"/>
                <w:sz w:val="28"/>
                <w:szCs w:val="28"/>
              </w:rPr>
              <w:t>苗栗縣</w:t>
            </w:r>
          </w:p>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95</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96</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351</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97</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348</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98</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363</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99</w:t>
            </w:r>
          </w:p>
        </w:tc>
        <w:tc>
          <w:tcPr>
            <w:tcW w:w="734"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372</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cs="新細明體" w:hint="eastAsia"/>
                <w:sz w:val="28"/>
                <w:szCs w:val="28"/>
              </w:rPr>
              <w:t>-</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100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491</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402</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54.98%</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45.02%</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101</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511</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428</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54.42%</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45.58%</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102</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517</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436</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54.25%</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45.75%</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103</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529</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sz w:val="28"/>
                <w:szCs w:val="28"/>
              </w:rPr>
            </w:pPr>
            <w:r w:rsidRPr="00CC1650">
              <w:rPr>
                <w:rFonts w:hAnsi="標楷體" w:hint="eastAsia"/>
                <w:sz w:val="28"/>
                <w:szCs w:val="28"/>
              </w:rPr>
              <w:t>435</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54.88%</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hint="eastAsia"/>
                <w:sz w:val="28"/>
                <w:szCs w:val="28"/>
              </w:rPr>
              <w:t>45.12%</w:t>
            </w:r>
          </w:p>
        </w:tc>
      </w:tr>
      <w:tr w:rsidR="006A75EE" w:rsidRPr="00CC1650" w:rsidTr="00A87AFB">
        <w:trPr>
          <w:trHeight w:val="20"/>
        </w:trPr>
        <w:tc>
          <w:tcPr>
            <w:tcW w:w="779" w:type="pct"/>
            <w:vMerge w:val="restart"/>
          </w:tcPr>
          <w:p w:rsidR="0028740F" w:rsidRPr="00CC1650" w:rsidRDefault="0028740F" w:rsidP="00A87AFB">
            <w:pPr>
              <w:jc w:val="center"/>
              <w:rPr>
                <w:rFonts w:hAnsi="標楷體"/>
                <w:sz w:val="28"/>
                <w:szCs w:val="28"/>
              </w:rPr>
            </w:pPr>
            <w:r w:rsidRPr="00CC1650">
              <w:rPr>
                <w:rFonts w:hAnsi="標楷體" w:hint="eastAsia"/>
                <w:sz w:val="28"/>
                <w:szCs w:val="28"/>
              </w:rPr>
              <w:t>新竹縣</w:t>
            </w: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95</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3,019</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271</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91.76%</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8.24%</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96</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3,051</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271</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91.84%</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8.16%</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97</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3,029</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284</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91.43%</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8.57%</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98</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3,057</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312</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90.74%</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9.26%</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99</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3,172</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328</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90.63%</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9.37%</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100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3,192</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378</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89.41%</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10.59%</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101</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3,192</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379</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89.39%</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10.61%</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102</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3,268</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386</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89.44%</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10.56%</w:t>
            </w:r>
          </w:p>
        </w:tc>
      </w:tr>
      <w:tr w:rsidR="006A75EE" w:rsidRPr="00CC1650" w:rsidTr="00A87AFB">
        <w:trPr>
          <w:trHeight w:val="20"/>
        </w:trPr>
        <w:tc>
          <w:tcPr>
            <w:tcW w:w="779" w:type="pct"/>
            <w:vMerge/>
          </w:tcPr>
          <w:p w:rsidR="0028740F" w:rsidRPr="00CC1650" w:rsidRDefault="0028740F" w:rsidP="00A87AFB">
            <w:pPr>
              <w:jc w:val="center"/>
              <w:rPr>
                <w:rFonts w:hAnsi="標楷體"/>
                <w:sz w:val="28"/>
                <w:szCs w:val="28"/>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28740F" w:rsidRPr="00CC1650" w:rsidRDefault="0028740F" w:rsidP="00A87AFB">
            <w:pPr>
              <w:jc w:val="center"/>
              <w:rPr>
                <w:rFonts w:hAnsi="標楷體"/>
                <w:sz w:val="28"/>
                <w:szCs w:val="28"/>
              </w:rPr>
            </w:pPr>
            <w:r w:rsidRPr="00CC1650">
              <w:rPr>
                <w:rFonts w:hAnsi="標楷體" w:hint="eastAsia"/>
                <w:sz w:val="28"/>
                <w:szCs w:val="28"/>
              </w:rPr>
              <w:t>103</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3,268</w:t>
            </w:r>
          </w:p>
        </w:tc>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28740F" w:rsidRPr="00CC1650" w:rsidRDefault="0028740F" w:rsidP="00A87AFB">
            <w:pPr>
              <w:jc w:val="center"/>
              <w:rPr>
                <w:rFonts w:hAnsi="標楷體" w:cs="新細明體"/>
                <w:sz w:val="28"/>
                <w:szCs w:val="28"/>
              </w:rPr>
            </w:pPr>
            <w:r w:rsidRPr="00CC1650">
              <w:rPr>
                <w:rFonts w:hAnsi="標楷體" w:cs="新細明體"/>
                <w:sz w:val="28"/>
                <w:szCs w:val="28"/>
              </w:rPr>
              <w:t>396</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sz w:val="28"/>
                <w:szCs w:val="28"/>
              </w:rPr>
            </w:pPr>
            <w:r w:rsidRPr="00CC1650">
              <w:rPr>
                <w:rFonts w:hAnsi="標楷體" w:hint="eastAsia"/>
                <w:sz w:val="28"/>
                <w:szCs w:val="28"/>
              </w:rPr>
              <w:t>89.19%</w:t>
            </w: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740F" w:rsidRPr="00CC1650" w:rsidRDefault="0028740F" w:rsidP="00A87AFB">
            <w:pPr>
              <w:jc w:val="center"/>
              <w:rPr>
                <w:rFonts w:hAnsi="標楷體" w:cs="新細明體"/>
                <w:sz w:val="28"/>
                <w:szCs w:val="28"/>
              </w:rPr>
            </w:pPr>
            <w:r w:rsidRPr="00CC1650">
              <w:rPr>
                <w:rFonts w:hAnsi="標楷體" w:cs="新細明體" w:hint="eastAsia"/>
                <w:sz w:val="28"/>
                <w:szCs w:val="28"/>
              </w:rPr>
              <w:t>10.81%</w:t>
            </w:r>
          </w:p>
        </w:tc>
      </w:tr>
    </w:tbl>
    <w:p w:rsidR="0028740F" w:rsidRPr="00CC1650" w:rsidRDefault="0028740F" w:rsidP="00CC1650">
      <w:pPr>
        <w:pStyle w:val="4"/>
        <w:numPr>
          <w:ilvl w:val="0"/>
          <w:numId w:val="0"/>
        </w:numPr>
        <w:spacing w:afterLines="25"/>
        <w:rPr>
          <w:sz w:val="28"/>
          <w:szCs w:val="28"/>
        </w:rPr>
      </w:pPr>
      <w:r w:rsidRPr="00CC1650">
        <w:rPr>
          <w:rFonts w:hint="eastAsia"/>
          <w:sz w:val="28"/>
          <w:szCs w:val="28"/>
        </w:rPr>
        <w:t>資料來源：各該地方政府，</w:t>
      </w:r>
      <w:proofErr w:type="gramStart"/>
      <w:r w:rsidRPr="00CC1650">
        <w:rPr>
          <w:rFonts w:hint="eastAsia"/>
          <w:sz w:val="28"/>
          <w:szCs w:val="28"/>
        </w:rPr>
        <w:t>本院彙整</w:t>
      </w:r>
      <w:proofErr w:type="gramEnd"/>
    </w:p>
    <w:p w:rsidR="0028740F" w:rsidRPr="00CC1650" w:rsidRDefault="0028740F" w:rsidP="0028740F">
      <w:pPr>
        <w:pStyle w:val="5"/>
      </w:pPr>
      <w:r w:rsidRPr="00CC1650">
        <w:rPr>
          <w:rFonts w:hint="eastAsia"/>
        </w:rPr>
        <w:lastRenderedPageBreak/>
        <w:t>由上開資料可得而知，在自有財源不足仰賴中央政府補助，各市縣政府約</w:t>
      </w:r>
      <w:r w:rsidR="00C77629" w:rsidRPr="00CC1650">
        <w:rPr>
          <w:rFonts w:hint="eastAsia"/>
        </w:rPr>
        <w:t>聘雇</w:t>
      </w:r>
      <w:r w:rsidRPr="00CC1650">
        <w:rPr>
          <w:rFonts w:hint="eastAsia"/>
        </w:rPr>
        <w:t>人數不斷成長，形成自有財源無法支應人事開銷，高比率之歲出用於人事費支出之窘境。</w:t>
      </w:r>
    </w:p>
    <w:p w:rsidR="0028740F" w:rsidRPr="00CC1650" w:rsidRDefault="0028740F" w:rsidP="0028740F">
      <w:pPr>
        <w:pStyle w:val="3"/>
      </w:pPr>
      <w:bookmarkStart w:id="219" w:name="_Toc454877619"/>
      <w:bookmarkStart w:id="220" w:name="_Toc454884676"/>
      <w:bookmarkStart w:id="221" w:name="_Toc455056215"/>
      <w:r w:rsidRPr="00CC1650">
        <w:rPr>
          <w:rFonts w:hint="eastAsia"/>
        </w:rPr>
        <w:t>本院就上開地方政府鉅額人事費，恐將拖垮地方財政之因應作為，經</w:t>
      </w:r>
      <w:proofErr w:type="gramStart"/>
      <w:r w:rsidRPr="00CC1650">
        <w:rPr>
          <w:rFonts w:hint="eastAsia"/>
        </w:rPr>
        <w:t>詢</w:t>
      </w:r>
      <w:proofErr w:type="gramEnd"/>
      <w:r w:rsidRPr="00CC1650">
        <w:rPr>
          <w:rFonts w:hint="eastAsia"/>
        </w:rPr>
        <w:t>據行政院表示：依地方制度法規定，市縣為地方自治團體，組織行政與財務收支管理為自治事項，市縣人事費預算編列及執行，應本財政自我負責精神與收支同步考量原則，衡量歲入負擔能力及業務實際需要，妥為合理配置人力，以落實財政紀律等語。惟就現行地方政府歲出經費中高達</w:t>
      </w:r>
      <w:proofErr w:type="gramStart"/>
      <w:r w:rsidRPr="00CC1650">
        <w:rPr>
          <w:rFonts w:hint="eastAsia"/>
        </w:rPr>
        <w:t>5成</w:t>
      </w:r>
      <w:proofErr w:type="gramEnd"/>
      <w:r w:rsidRPr="00CC1650">
        <w:rPr>
          <w:rFonts w:hint="eastAsia"/>
        </w:rPr>
        <w:t>以上均用於人事費支出，且諸多市縣近年來（95-103年）約</w:t>
      </w:r>
      <w:r w:rsidR="00C77629" w:rsidRPr="00CC1650">
        <w:rPr>
          <w:rFonts w:hint="eastAsia"/>
        </w:rPr>
        <w:t>聘雇</w:t>
      </w:r>
      <w:r w:rsidRPr="00CC1650">
        <w:rPr>
          <w:rFonts w:hint="eastAsia"/>
        </w:rPr>
        <w:t>人數成長比率高達</w:t>
      </w:r>
      <w:proofErr w:type="gramStart"/>
      <w:r w:rsidRPr="00CC1650">
        <w:rPr>
          <w:rFonts w:hint="eastAsia"/>
        </w:rPr>
        <w:t>5成</w:t>
      </w:r>
      <w:proofErr w:type="gramEnd"/>
      <w:r w:rsidRPr="00CC1650">
        <w:rPr>
          <w:rFonts w:hint="eastAsia"/>
        </w:rPr>
        <w:t>以上，尤以金門縣之</w:t>
      </w:r>
      <w:r w:rsidRPr="00CC1650">
        <w:t>185.4%</w:t>
      </w:r>
      <w:r w:rsidRPr="00CC1650">
        <w:rPr>
          <w:rFonts w:hint="eastAsia"/>
        </w:rPr>
        <w:t>居冠，其中不乏債務超限之市縣，如：宜蘭縣債務比58.2%、屏東縣53.8%及身陷財務困境泥沼之苗栗縣甚至高達73.52%，且苗栗縣約</w:t>
      </w:r>
      <w:r w:rsidR="00C77629" w:rsidRPr="00CC1650">
        <w:rPr>
          <w:rFonts w:hint="eastAsia"/>
        </w:rPr>
        <w:t>聘雇</w:t>
      </w:r>
      <w:r w:rsidRPr="00CC1650">
        <w:rPr>
          <w:rFonts w:hint="eastAsia"/>
        </w:rPr>
        <w:t>人力</w:t>
      </w:r>
      <w:proofErr w:type="gramStart"/>
      <w:r w:rsidRPr="00CC1650">
        <w:rPr>
          <w:rFonts w:hint="eastAsia"/>
        </w:rPr>
        <w:t>占比竟接近</w:t>
      </w:r>
      <w:proofErr w:type="gramEnd"/>
      <w:r w:rsidRPr="00CC1650">
        <w:rPr>
          <w:rFonts w:hint="eastAsia"/>
        </w:rPr>
        <w:t>該縣整體人力之</w:t>
      </w:r>
      <w:proofErr w:type="gramStart"/>
      <w:r w:rsidRPr="00CC1650">
        <w:rPr>
          <w:rFonts w:hint="eastAsia"/>
        </w:rPr>
        <w:t>5成</w:t>
      </w:r>
      <w:proofErr w:type="gramEnd"/>
      <w:r w:rsidRPr="00CC1650">
        <w:rPr>
          <w:rFonts w:hint="eastAsia"/>
        </w:rPr>
        <w:t>，不免讓人質疑，市縣政府對於人員聘用，是否真能本財政自我負責精神、收支同步考量及落實財政紀律，倘地方政府真能落實財政紀律將不致發生苗栗縣政府發不出員工薪資之情事。又據行政院表示：中央對地方財務收支之監督，允應於尊重地方監督機制下為之，故針對其人事費預算編列及執行係</w:t>
      </w:r>
      <w:proofErr w:type="gramStart"/>
      <w:r w:rsidRPr="00CC1650">
        <w:rPr>
          <w:rFonts w:hint="eastAsia"/>
        </w:rPr>
        <w:t>採</w:t>
      </w:r>
      <w:proofErr w:type="gramEnd"/>
      <w:r w:rsidRPr="00CC1650">
        <w:rPr>
          <w:rFonts w:hint="eastAsia"/>
        </w:rPr>
        <w:t>事後考核方式，於每年一般性補助款考核之財政績效與年度預算編製及執行面向內，依上年度決算人事費占歲出比率及近兩年度前開比率增減情形評定其節流成績，以督促各市縣政府</w:t>
      </w:r>
      <w:proofErr w:type="gramStart"/>
      <w:r w:rsidRPr="00CC1650">
        <w:rPr>
          <w:rFonts w:hint="eastAsia"/>
        </w:rPr>
        <w:t>撙</w:t>
      </w:r>
      <w:proofErr w:type="gramEnd"/>
      <w:r w:rsidRPr="00CC1650">
        <w:rPr>
          <w:rFonts w:hint="eastAsia"/>
        </w:rPr>
        <w:t>節相關人事費支出等語。然各市縣政府現行人事費仍高居不下，94年至104年各地方政府人事費占歲出比率高達46%至54%，</w:t>
      </w:r>
      <w:proofErr w:type="gramStart"/>
      <w:r w:rsidRPr="00CC1650">
        <w:rPr>
          <w:rFonts w:hint="eastAsia"/>
        </w:rPr>
        <w:t>足徵此</w:t>
      </w:r>
      <w:proofErr w:type="gramEnd"/>
      <w:r w:rsidRPr="00CC1650">
        <w:rPr>
          <w:rFonts w:hint="eastAsia"/>
        </w:rPr>
        <w:t>監督機制尚無法達成導正效果。</w:t>
      </w:r>
      <w:bookmarkEnd w:id="219"/>
      <w:bookmarkEnd w:id="220"/>
      <w:bookmarkEnd w:id="221"/>
    </w:p>
    <w:p w:rsidR="0028740F" w:rsidRPr="00CC1650" w:rsidRDefault="0028740F" w:rsidP="0028740F">
      <w:pPr>
        <w:pStyle w:val="3"/>
      </w:pPr>
      <w:bookmarkStart w:id="222" w:name="_Toc454877620"/>
      <w:bookmarkStart w:id="223" w:name="_Toc454884677"/>
      <w:bookmarkStart w:id="224" w:name="_Toc455056216"/>
      <w:r w:rsidRPr="00CC1650">
        <w:rPr>
          <w:rFonts w:hint="eastAsia"/>
        </w:rPr>
        <w:lastRenderedPageBreak/>
        <w:t>依據聘用人員聘用條例第2</w:t>
      </w:r>
      <w:r w:rsidR="00A96D74" w:rsidRPr="00CC1650">
        <w:rPr>
          <w:rFonts w:hint="eastAsia"/>
        </w:rPr>
        <w:t>條規定：</w:t>
      </w:r>
      <w:r w:rsidR="00A96D74" w:rsidRPr="00CC1650">
        <w:rPr>
          <w:rFonts w:hAnsi="標楷體" w:hint="eastAsia"/>
        </w:rPr>
        <w:t>「</w:t>
      </w:r>
      <w:r w:rsidRPr="00CC1650">
        <w:rPr>
          <w:rFonts w:hint="eastAsia"/>
        </w:rPr>
        <w:t>各機關應業務需要，定期聘用人員。</w:t>
      </w:r>
      <w:r w:rsidR="00A96D74" w:rsidRPr="00CC1650">
        <w:rPr>
          <w:rFonts w:hAnsi="標楷體" w:hint="eastAsia"/>
        </w:rPr>
        <w:t>」</w:t>
      </w:r>
      <w:r w:rsidRPr="00CC1650">
        <w:rPr>
          <w:rFonts w:hint="eastAsia"/>
        </w:rPr>
        <w:t>同條例第3條規定</w:t>
      </w:r>
      <w:r w:rsidR="00981DCF" w:rsidRPr="00CC1650">
        <w:rPr>
          <w:rFonts w:hint="eastAsia"/>
        </w:rPr>
        <w:t>，</w:t>
      </w:r>
      <w:r w:rsidRPr="00CC1650">
        <w:rPr>
          <w:rFonts w:hint="eastAsia"/>
        </w:rPr>
        <w:t>所稱聘用人員，指各機關以契約定期聘用之專業或技術人員。又聘用人員聘用條例施行細則第2條規定，本條例第2條所稱應業務需要，以發展科學技術，或執行專門性之業務，或專司技術性研究設計工作，非本機關現有人員所能擔任者為限。且據行政院表示，</w:t>
      </w:r>
      <w:r w:rsidR="00273DAD" w:rsidRPr="00CC1650">
        <w:rPr>
          <w:rFonts w:hint="eastAsia"/>
        </w:rPr>
        <w:t>聘僱</w:t>
      </w:r>
      <w:r w:rsidRPr="00CC1650">
        <w:rPr>
          <w:rFonts w:hint="eastAsia"/>
        </w:rPr>
        <w:t>制度之建制，主要係為應機關延攬特殊專業或科技人才，或辦理臨時性工作需要，屬定期性、臨時性之用人等語。</w:t>
      </w:r>
      <w:proofErr w:type="gramStart"/>
      <w:r w:rsidRPr="00CC1650">
        <w:rPr>
          <w:rFonts w:hint="eastAsia"/>
        </w:rPr>
        <w:t>惟查現行</w:t>
      </w:r>
      <w:proofErr w:type="gramEnd"/>
      <w:r w:rsidRPr="00CC1650">
        <w:rPr>
          <w:rFonts w:hint="eastAsia"/>
        </w:rPr>
        <w:t>機關聘用人力，</w:t>
      </w:r>
      <w:r w:rsidR="00273DAD" w:rsidRPr="00CC1650">
        <w:rPr>
          <w:rFonts w:hint="eastAsia"/>
        </w:rPr>
        <w:t>聘僱</w:t>
      </w:r>
      <w:r w:rsidRPr="00CC1650">
        <w:rPr>
          <w:rFonts w:hint="eastAsia"/>
        </w:rPr>
        <w:t>後多從事例行性業務，此聘用是否基於特殊專業或科技人才，以發展科學技術，或執行專門性之業務，或專司技術性研究設計工作，且聘用是否基於非機關現有人員所能擔任者，令人存疑。</w:t>
      </w:r>
      <w:proofErr w:type="gramStart"/>
      <w:r w:rsidRPr="00CC1650">
        <w:rPr>
          <w:rFonts w:hint="eastAsia"/>
        </w:rPr>
        <w:t>此外，諸多</w:t>
      </w:r>
      <w:proofErr w:type="gramEnd"/>
      <w:r w:rsidRPr="00CC1650">
        <w:rPr>
          <w:rFonts w:hint="eastAsia"/>
        </w:rPr>
        <w:t>機關</w:t>
      </w:r>
      <w:proofErr w:type="gramStart"/>
      <w:r w:rsidRPr="00CC1650">
        <w:rPr>
          <w:rFonts w:hint="eastAsia"/>
        </w:rPr>
        <w:t>聘用均為長期</w:t>
      </w:r>
      <w:proofErr w:type="gramEnd"/>
      <w:r w:rsidRPr="00CC1650">
        <w:rPr>
          <w:rFonts w:hint="eastAsia"/>
        </w:rPr>
        <w:t>繼續聘用並非臨時性，凡此種種浮濫聘用情事，</w:t>
      </w:r>
      <w:proofErr w:type="gramStart"/>
      <w:r w:rsidRPr="00CC1650">
        <w:rPr>
          <w:rFonts w:hint="eastAsia"/>
        </w:rPr>
        <w:t>均為地方政府</w:t>
      </w:r>
      <w:proofErr w:type="gramEnd"/>
      <w:r w:rsidRPr="00CC1650">
        <w:rPr>
          <w:rFonts w:hint="eastAsia"/>
        </w:rPr>
        <w:t>人事費用高漲之原因。儘管各市縣政府進用約</w:t>
      </w:r>
      <w:r w:rsidR="00C77629" w:rsidRPr="00CC1650">
        <w:rPr>
          <w:rFonts w:hint="eastAsia"/>
        </w:rPr>
        <w:t>聘雇</w:t>
      </w:r>
      <w:r w:rsidRPr="00CC1650">
        <w:rPr>
          <w:rFonts w:hint="eastAsia"/>
        </w:rPr>
        <w:t>人員原因不一而足，然因約聘人力屬首長人事權，以往常被</w:t>
      </w:r>
      <w:proofErr w:type="gramStart"/>
      <w:r w:rsidRPr="00CC1650">
        <w:rPr>
          <w:rFonts w:hint="eastAsia"/>
        </w:rPr>
        <w:t>詬病有酬庸</w:t>
      </w:r>
      <w:proofErr w:type="gramEnd"/>
      <w:r w:rsidRPr="00CC1650">
        <w:rPr>
          <w:rFonts w:hint="eastAsia"/>
        </w:rPr>
        <w:t>之嫌，值此政府財務困窘之際，各地方政府實應檢視調整人事結構，杜絕寬濫聘用，以避免人事拖垮財政、排擠政事支出，影響政務推動。</w:t>
      </w:r>
      <w:proofErr w:type="gramStart"/>
      <w:r w:rsidRPr="00CC1650">
        <w:rPr>
          <w:rFonts w:hint="eastAsia"/>
        </w:rPr>
        <w:t>詎</w:t>
      </w:r>
      <w:proofErr w:type="gramEnd"/>
      <w:r w:rsidRPr="00CC1650">
        <w:rPr>
          <w:rFonts w:hint="eastAsia"/>
        </w:rPr>
        <w:t>行政院表示：對於各地方政府</w:t>
      </w:r>
      <w:r w:rsidR="00C77629" w:rsidRPr="00CC1650">
        <w:rPr>
          <w:rFonts w:hint="eastAsia"/>
        </w:rPr>
        <w:t>聘雇</w:t>
      </w:r>
      <w:r w:rsidRPr="00CC1650">
        <w:rPr>
          <w:rFonts w:hint="eastAsia"/>
        </w:rPr>
        <w:t>及臨時人員之運用，向</w:t>
      </w:r>
      <w:proofErr w:type="gramStart"/>
      <w:r w:rsidRPr="00CC1650">
        <w:rPr>
          <w:rFonts w:hint="eastAsia"/>
        </w:rPr>
        <w:t>採</w:t>
      </w:r>
      <w:proofErr w:type="gramEnd"/>
      <w:r w:rsidRPr="00CC1650">
        <w:rPr>
          <w:rFonts w:hint="eastAsia"/>
        </w:rPr>
        <w:t>「尊重地方自治用人權責之態度」等語。然長此以往，恐無法避免地方政府重蹈苗栗縣政府之覆轍，</w:t>
      </w:r>
      <w:proofErr w:type="gramStart"/>
      <w:r w:rsidRPr="00CC1650">
        <w:rPr>
          <w:rFonts w:hint="eastAsia"/>
        </w:rPr>
        <w:t>嗣</w:t>
      </w:r>
      <w:proofErr w:type="gramEnd"/>
      <w:r w:rsidRPr="00CC1650">
        <w:rPr>
          <w:rFonts w:hint="eastAsia"/>
        </w:rPr>
        <w:t>行政院人事行政總處</w:t>
      </w:r>
      <w:proofErr w:type="gramStart"/>
      <w:r w:rsidRPr="00CC1650">
        <w:rPr>
          <w:rFonts w:hint="eastAsia"/>
        </w:rPr>
        <w:t>鑑</w:t>
      </w:r>
      <w:proofErr w:type="gramEnd"/>
      <w:r w:rsidRPr="00CC1650">
        <w:rPr>
          <w:rFonts w:hint="eastAsia"/>
        </w:rPr>
        <w:t>於地方財政日益沉重，為落實政府人力精實政策，於104年9月7日致函各地方政府，重申</w:t>
      </w:r>
      <w:proofErr w:type="gramStart"/>
      <w:r w:rsidRPr="00CC1650">
        <w:rPr>
          <w:rFonts w:hint="eastAsia"/>
        </w:rPr>
        <w:t>撙</w:t>
      </w:r>
      <w:proofErr w:type="gramEnd"/>
      <w:r w:rsidRPr="00CC1650">
        <w:rPr>
          <w:rFonts w:hint="eastAsia"/>
        </w:rPr>
        <w:t>節用人之重要，避免人事費用排擠施政所需支出造成財政結構過於僵化，於兼顧施政需要及財政負擔下</w:t>
      </w:r>
      <w:proofErr w:type="gramStart"/>
      <w:r w:rsidRPr="00CC1650">
        <w:rPr>
          <w:rFonts w:hint="eastAsia"/>
        </w:rPr>
        <w:t>撙</w:t>
      </w:r>
      <w:proofErr w:type="gramEnd"/>
      <w:r w:rsidRPr="00CC1650">
        <w:rPr>
          <w:rFonts w:hint="eastAsia"/>
        </w:rPr>
        <w:t>節用人，尤對於</w:t>
      </w:r>
      <w:r w:rsidR="00C77629" w:rsidRPr="00CC1650">
        <w:rPr>
          <w:rFonts w:hint="eastAsia"/>
        </w:rPr>
        <w:t>聘雇</w:t>
      </w:r>
      <w:r w:rsidRPr="00CC1650">
        <w:rPr>
          <w:rFonts w:hint="eastAsia"/>
        </w:rPr>
        <w:t>人員之進用，應以專業性、技術性及臨時性業務需</w:t>
      </w:r>
      <w:r w:rsidRPr="00CC1650">
        <w:rPr>
          <w:rFonts w:hint="eastAsia"/>
        </w:rPr>
        <w:lastRenderedPageBreak/>
        <w:t>要為基礎，對於專案計畫或擔任工作已完成者，應檢討不予續</w:t>
      </w:r>
      <w:r w:rsidR="00273DAD" w:rsidRPr="00CC1650">
        <w:rPr>
          <w:rFonts w:hint="eastAsia"/>
        </w:rPr>
        <w:t>聘</w:t>
      </w:r>
      <w:proofErr w:type="gramStart"/>
      <w:r w:rsidR="00273DAD" w:rsidRPr="00CC1650">
        <w:rPr>
          <w:rFonts w:hint="eastAsia"/>
        </w:rPr>
        <w:t>僱</w:t>
      </w:r>
      <w:proofErr w:type="gramEnd"/>
      <w:r w:rsidRPr="00CC1650">
        <w:rPr>
          <w:rFonts w:hint="eastAsia"/>
        </w:rPr>
        <w:t>。然因無具體規範限制，此函示宣示效果大於實質意義，是否能拘束地方政府確實遵守，不無疑義。是</w:t>
      </w:r>
      <w:proofErr w:type="gramStart"/>
      <w:r w:rsidRPr="00CC1650">
        <w:rPr>
          <w:rFonts w:hint="eastAsia"/>
        </w:rPr>
        <w:t>以</w:t>
      </w:r>
      <w:proofErr w:type="gramEnd"/>
      <w:r w:rsidRPr="00CC1650">
        <w:rPr>
          <w:rFonts w:hint="eastAsia"/>
        </w:rPr>
        <w:t>，行政院允應就約</w:t>
      </w:r>
      <w:r w:rsidR="00273DAD" w:rsidRPr="00CC1650">
        <w:rPr>
          <w:rFonts w:hint="eastAsia"/>
        </w:rPr>
        <w:t>聘僱</w:t>
      </w:r>
      <w:r w:rsidR="009B194A" w:rsidRPr="00CC1650">
        <w:rPr>
          <w:rFonts w:hint="eastAsia"/>
        </w:rPr>
        <w:t>及委外相關規定予以修正</w:t>
      </w:r>
      <w:r w:rsidRPr="00CC1650">
        <w:rPr>
          <w:rFonts w:hint="eastAsia"/>
        </w:rPr>
        <w:t>，並協助督促各市縣政府確實檢討超額人力。</w:t>
      </w:r>
      <w:bookmarkEnd w:id="222"/>
      <w:bookmarkEnd w:id="223"/>
      <w:bookmarkEnd w:id="224"/>
    </w:p>
    <w:p w:rsidR="0028740F" w:rsidRPr="00CC1650" w:rsidRDefault="0028740F" w:rsidP="0028740F">
      <w:pPr>
        <w:pStyle w:val="3"/>
      </w:pPr>
      <w:bookmarkStart w:id="225" w:name="_Toc454877621"/>
      <w:bookmarkStart w:id="226" w:name="_Toc454884678"/>
      <w:bookmarkStart w:id="227" w:name="_Toc455056217"/>
      <w:r w:rsidRPr="00CC1650">
        <w:rPr>
          <w:rFonts w:hint="eastAsia"/>
        </w:rPr>
        <w:t>綜上，地方政府財政困窘，普遍存在自有財源比率過低，過度仰賴中央政府補助收入</w:t>
      </w:r>
      <w:proofErr w:type="gramStart"/>
      <w:r w:rsidRPr="00CC1650">
        <w:rPr>
          <w:rFonts w:hint="eastAsia"/>
        </w:rPr>
        <w:t>挹</w:t>
      </w:r>
      <w:proofErr w:type="gramEnd"/>
      <w:r w:rsidRPr="00CC1650">
        <w:rPr>
          <w:rFonts w:hint="eastAsia"/>
        </w:rPr>
        <w:t>注，財政自主性顯著偏低，且自有財源尚不足支應人事費用支出之市縣政府</w:t>
      </w:r>
      <w:proofErr w:type="gramStart"/>
      <w:r w:rsidRPr="00CC1650">
        <w:rPr>
          <w:rFonts w:hint="eastAsia"/>
        </w:rPr>
        <w:t>眾多，</w:t>
      </w:r>
      <w:proofErr w:type="gramEnd"/>
      <w:r w:rsidRPr="00CC1650">
        <w:rPr>
          <w:rFonts w:hint="eastAsia"/>
        </w:rPr>
        <w:t>造成財政僵化，影響政務推展，加上歲出預算過半數以上均支付人事費用，甚有</w:t>
      </w:r>
      <w:proofErr w:type="gramStart"/>
      <w:r w:rsidRPr="00CC1650">
        <w:rPr>
          <w:rFonts w:hint="eastAsia"/>
        </w:rPr>
        <w:t>市縣進用</w:t>
      </w:r>
      <w:proofErr w:type="gramEnd"/>
      <w:r w:rsidRPr="00CC1650">
        <w:rPr>
          <w:rFonts w:hint="eastAsia"/>
        </w:rPr>
        <w:t>約</w:t>
      </w:r>
      <w:r w:rsidR="00C77629" w:rsidRPr="00CC1650">
        <w:rPr>
          <w:rFonts w:hint="eastAsia"/>
        </w:rPr>
        <w:t>聘雇</w:t>
      </w:r>
      <w:r w:rsidRPr="00CC1650">
        <w:rPr>
          <w:rFonts w:hint="eastAsia"/>
        </w:rPr>
        <w:t>人力高達</w:t>
      </w:r>
      <w:proofErr w:type="gramStart"/>
      <w:r w:rsidRPr="00CC1650">
        <w:rPr>
          <w:rFonts w:hint="eastAsia"/>
        </w:rPr>
        <w:t>5成</w:t>
      </w:r>
      <w:proofErr w:type="gramEnd"/>
      <w:r w:rsidRPr="00CC1650">
        <w:rPr>
          <w:rFonts w:hint="eastAsia"/>
        </w:rPr>
        <w:t>，龐大人事成本恐將排擠政事費用，影響政務順利推行，行政院允應加強督促地方政府積極調整人事結構，杜絕寬濫聘用，以改善財政困境。</w:t>
      </w:r>
      <w:bookmarkEnd w:id="225"/>
      <w:bookmarkEnd w:id="226"/>
      <w:bookmarkEnd w:id="227"/>
    </w:p>
    <w:p w:rsidR="0028740F" w:rsidRPr="00CC1650" w:rsidRDefault="0028740F" w:rsidP="0028740F">
      <w:pPr>
        <w:pStyle w:val="2"/>
        <w:kinsoku w:val="0"/>
        <w:overflowPunct/>
        <w:autoSpaceDE/>
        <w:autoSpaceDN/>
        <w:ind w:left="1020" w:hanging="680"/>
        <w:rPr>
          <w:b/>
        </w:rPr>
      </w:pPr>
      <w:bookmarkStart w:id="228" w:name="_Toc455056218"/>
      <w:r w:rsidRPr="00CC1650">
        <w:rPr>
          <w:rFonts w:hint="eastAsia"/>
          <w:b/>
        </w:rPr>
        <w:t>地方政府財務困窘，各項支出近年來不斷攀升，首以社福支出成長最多，且因財源籌措不易，入不敷出，造成財政短</w:t>
      </w:r>
      <w:proofErr w:type="gramStart"/>
      <w:r w:rsidRPr="00CC1650">
        <w:rPr>
          <w:rFonts w:hint="eastAsia"/>
          <w:b/>
        </w:rPr>
        <w:t>絀</w:t>
      </w:r>
      <w:proofErr w:type="gramEnd"/>
      <w:r w:rsidRPr="00CC1650">
        <w:rPr>
          <w:rFonts w:hint="eastAsia"/>
          <w:b/>
        </w:rPr>
        <w:t>，需仰賴舉債以彌補缺口，致原本</w:t>
      </w:r>
      <w:proofErr w:type="gramStart"/>
      <w:r w:rsidRPr="00CC1650">
        <w:rPr>
          <w:rFonts w:hint="eastAsia"/>
          <w:b/>
        </w:rPr>
        <w:t>羸弱之</w:t>
      </w:r>
      <w:proofErr w:type="gramEnd"/>
      <w:r w:rsidRPr="00CC1650">
        <w:rPr>
          <w:rFonts w:hint="eastAsia"/>
          <w:b/>
        </w:rPr>
        <w:t>財政雪上加霜，行政院允應協助並督促地方政府積極開源節流、檢討各項支出之必要性，避免浮濫開銷而拖垮財政。另為提升地方財政自主並落實財政紀律以健全地方財政，行政院允宜適時規劃與推動相關具體作為，以期改善部分市縣政府之財政窘境。</w:t>
      </w:r>
      <w:bookmarkEnd w:id="228"/>
    </w:p>
    <w:p w:rsidR="0028740F" w:rsidRPr="00CC1650" w:rsidRDefault="0028740F" w:rsidP="0028740F">
      <w:pPr>
        <w:pStyle w:val="3"/>
        <w:kinsoku w:val="0"/>
        <w:overflowPunct/>
        <w:autoSpaceDE/>
        <w:autoSpaceDN/>
        <w:ind w:left="1360" w:hanging="680"/>
      </w:pPr>
      <w:bookmarkStart w:id="229" w:name="_Toc454877623"/>
      <w:bookmarkStart w:id="230" w:name="_Toc454884680"/>
      <w:bookmarkStart w:id="231" w:name="_Toc455056219"/>
      <w:r w:rsidRPr="00CC1650">
        <w:rPr>
          <w:rFonts w:hint="eastAsia"/>
        </w:rPr>
        <w:t>依地方制度法規定，社會福利係屬地方自治事項，惟近年來因地方民選首長為兌現競選承諾，辦理社會福利給付項目與金額等，</w:t>
      </w:r>
      <w:proofErr w:type="gramStart"/>
      <w:r w:rsidRPr="00CC1650">
        <w:rPr>
          <w:rFonts w:hint="eastAsia"/>
        </w:rPr>
        <w:t>迭有超過</w:t>
      </w:r>
      <w:proofErr w:type="gramEnd"/>
      <w:r w:rsidRPr="00CC1650">
        <w:rPr>
          <w:rFonts w:hint="eastAsia"/>
        </w:rPr>
        <w:t>現行中央法定給付或補貼標準及超過中央政策所定一致性標準，亦有屬地方自行興辦之福利項目。該等社會福利事項，不論法定或自辦，雖多有法令授權或自訂計畫或要點等依據，然因地方政府自有財源不足，各市</w:t>
      </w:r>
      <w:r w:rsidRPr="00CC1650">
        <w:rPr>
          <w:rFonts w:hint="eastAsia"/>
        </w:rPr>
        <w:lastRenderedPageBreak/>
        <w:t>縣社福支出經費又不斷攀升，加上，近10年來中央政府陸續推行之福利政策，包括：開辦國民年金、修正社會救助法擴大照顧對象、補助中低收入老人裝置假牙、長期照顧十年計畫、父母未就業家庭育兒津貼、辦理3歲以下兒童醫療補助、辦理身心障礙者個人照顧及家庭照顧支持服務、辦理中低收入兒童及少年健保費補助、辦理兒童及少年高風險家庭關懷輔導處遇實施計畫、辦理弱勢兒童及少年醫療補助等等，在地方政府財源籌措不易，入不敷出下，上開福利措施不無增加地方政府之財政負擔，造成財政短</w:t>
      </w:r>
      <w:proofErr w:type="gramStart"/>
      <w:r w:rsidRPr="00CC1650">
        <w:rPr>
          <w:rFonts w:hint="eastAsia"/>
        </w:rPr>
        <w:t>絀</w:t>
      </w:r>
      <w:proofErr w:type="gramEnd"/>
      <w:r w:rsidRPr="00CC1650">
        <w:rPr>
          <w:rFonts w:hint="eastAsia"/>
        </w:rPr>
        <w:t>，需仰賴舉債以彌補缺口，導致原本</w:t>
      </w:r>
      <w:proofErr w:type="gramStart"/>
      <w:r w:rsidRPr="00CC1650">
        <w:rPr>
          <w:rFonts w:hint="eastAsia"/>
        </w:rPr>
        <w:t>羸弱之</w:t>
      </w:r>
      <w:proofErr w:type="gramEnd"/>
      <w:r w:rsidRPr="00CC1650">
        <w:rPr>
          <w:rFonts w:hint="eastAsia"/>
        </w:rPr>
        <w:t>財政更雪上加霜。</w:t>
      </w:r>
      <w:bookmarkEnd w:id="229"/>
      <w:bookmarkEnd w:id="230"/>
      <w:bookmarkEnd w:id="231"/>
    </w:p>
    <w:p w:rsidR="0028740F" w:rsidRPr="00CC1650" w:rsidRDefault="0028740F" w:rsidP="0028740F">
      <w:pPr>
        <w:pStyle w:val="3"/>
      </w:pPr>
      <w:bookmarkStart w:id="232" w:name="_Toc454877624"/>
      <w:bookmarkStart w:id="233" w:name="_Toc454884681"/>
      <w:bookmarkStart w:id="234" w:name="_Toc455056220"/>
      <w:r w:rsidRPr="00CC1650">
        <w:rPr>
          <w:rFonts w:hint="eastAsia"/>
        </w:rPr>
        <w:t>經查99至103年度市縣政府社會福利支出成長情形，由99年</w:t>
      </w:r>
      <w:r w:rsidRPr="00CC1650">
        <w:t>1</w:t>
      </w:r>
      <w:r w:rsidRPr="00CC1650">
        <w:rPr>
          <w:rFonts w:hint="eastAsia"/>
        </w:rPr>
        <w:t>,</w:t>
      </w:r>
      <w:r w:rsidRPr="00CC1650">
        <w:t>187.09</w:t>
      </w:r>
      <w:r w:rsidRPr="00CC1650">
        <w:rPr>
          <w:rFonts w:hint="eastAsia"/>
        </w:rPr>
        <w:t>億元，成長至103年之</w:t>
      </w:r>
      <w:r w:rsidRPr="00CC1650">
        <w:tab/>
        <w:t>1</w:t>
      </w:r>
      <w:r w:rsidRPr="00CC1650">
        <w:rPr>
          <w:rFonts w:hint="eastAsia"/>
        </w:rPr>
        <w:t>,</w:t>
      </w:r>
      <w:r w:rsidRPr="00CC1650">
        <w:t>560.77</w:t>
      </w:r>
      <w:r w:rsidRPr="00CC1650">
        <w:rPr>
          <w:rFonts w:hint="eastAsia"/>
        </w:rPr>
        <w:t>億元，成長幅度高達31.47%，較歲入成長率17.22%高（99年度8,375.06億元至</w:t>
      </w:r>
      <w:proofErr w:type="gramStart"/>
      <w:r w:rsidRPr="00CC1650">
        <w:rPr>
          <w:rFonts w:hint="eastAsia"/>
        </w:rPr>
        <w:t>103</w:t>
      </w:r>
      <w:proofErr w:type="gramEnd"/>
      <w:r w:rsidRPr="00CC1650">
        <w:rPr>
          <w:rFonts w:hint="eastAsia"/>
        </w:rPr>
        <w:t>年度9,817.55億元）</w:t>
      </w:r>
      <w:proofErr w:type="gramStart"/>
      <w:r w:rsidRPr="00CC1650">
        <w:rPr>
          <w:rFonts w:hint="eastAsia"/>
        </w:rPr>
        <w:t>亦較歲出</w:t>
      </w:r>
      <w:proofErr w:type="gramEnd"/>
      <w:r w:rsidRPr="00CC1650">
        <w:rPr>
          <w:rFonts w:hint="eastAsia"/>
        </w:rPr>
        <w:t>成長幅度13.32%高（99年之8,820.42億元成長至</w:t>
      </w:r>
      <w:proofErr w:type="gramStart"/>
      <w:r w:rsidRPr="00CC1650">
        <w:rPr>
          <w:rFonts w:hint="eastAsia"/>
        </w:rPr>
        <w:t>103</w:t>
      </w:r>
      <w:proofErr w:type="gramEnd"/>
      <w:r w:rsidRPr="00CC1650">
        <w:rPr>
          <w:rFonts w:hint="eastAsia"/>
        </w:rPr>
        <w:t>年度9,995.47億元），且占整體支出比率由99年度之11.56%，至</w:t>
      </w:r>
      <w:proofErr w:type="gramStart"/>
      <w:r w:rsidRPr="00CC1650">
        <w:rPr>
          <w:rFonts w:hint="eastAsia"/>
        </w:rPr>
        <w:t>103</w:t>
      </w:r>
      <w:proofErr w:type="gramEnd"/>
      <w:r w:rsidRPr="00CC1650">
        <w:rPr>
          <w:rFonts w:hint="eastAsia"/>
        </w:rPr>
        <w:t>年度之12.88%，成長1.32%，相較經濟發展支出、教育科學文化支出、社區發展及環境保護支出及警政支出占歲出比重</w:t>
      </w:r>
      <w:proofErr w:type="gramStart"/>
      <w:r w:rsidRPr="00CC1650">
        <w:rPr>
          <w:rFonts w:hint="eastAsia"/>
        </w:rPr>
        <w:t>則均呈下滑</w:t>
      </w:r>
      <w:proofErr w:type="gramEnd"/>
      <w:r w:rsidRPr="00CC1650">
        <w:rPr>
          <w:rFonts w:hint="eastAsia"/>
        </w:rPr>
        <w:t>趨勢，顯示社會福利支出擴增，將對其他支出造成排擠現象，政府尚難有空間調整</w:t>
      </w:r>
      <w:proofErr w:type="gramStart"/>
      <w:r w:rsidRPr="00CC1650">
        <w:rPr>
          <w:rFonts w:hint="eastAsia"/>
        </w:rPr>
        <w:t>挹</w:t>
      </w:r>
      <w:proofErr w:type="gramEnd"/>
      <w:r w:rsidRPr="00CC1650">
        <w:rPr>
          <w:rFonts w:hint="eastAsia"/>
        </w:rPr>
        <w:t>注地方經濟發展、社區發展等政事支出，進而將影響整體國家經濟發展。</w:t>
      </w:r>
      <w:bookmarkEnd w:id="232"/>
      <w:bookmarkEnd w:id="233"/>
      <w:bookmarkEnd w:id="234"/>
    </w:p>
    <w:p w:rsidR="0028740F" w:rsidRPr="00CC1650" w:rsidRDefault="0028740F" w:rsidP="0028740F">
      <w:pPr>
        <w:pStyle w:val="3"/>
        <w:kinsoku w:val="0"/>
        <w:overflowPunct/>
        <w:autoSpaceDE/>
        <w:autoSpaceDN/>
        <w:ind w:left="1360" w:hanging="680"/>
      </w:pPr>
      <w:bookmarkStart w:id="235" w:name="_Toc454877625"/>
      <w:bookmarkStart w:id="236" w:name="_Toc454884682"/>
      <w:bookmarkStart w:id="237" w:name="_Toc455056221"/>
      <w:proofErr w:type="gramStart"/>
      <w:r w:rsidRPr="00CC1650">
        <w:rPr>
          <w:rFonts w:hint="eastAsia"/>
        </w:rPr>
        <w:t>鑑</w:t>
      </w:r>
      <w:proofErr w:type="gramEnd"/>
      <w:r w:rsidRPr="00CC1650">
        <w:rPr>
          <w:rFonts w:hint="eastAsia"/>
        </w:rPr>
        <w:t>於地方財政狀況多屬不佳，主計總處為使</w:t>
      </w:r>
      <w:proofErr w:type="gramStart"/>
      <w:r w:rsidRPr="00CC1650">
        <w:rPr>
          <w:rFonts w:hint="eastAsia"/>
        </w:rPr>
        <w:t>地方政府能衡酌</w:t>
      </w:r>
      <w:proofErr w:type="gramEnd"/>
      <w:r w:rsidRPr="00CC1650">
        <w:rPr>
          <w:rFonts w:hint="eastAsia"/>
        </w:rPr>
        <w:t>本身財政狀況辦理社會福利政策，</w:t>
      </w:r>
      <w:proofErr w:type="gramStart"/>
      <w:r w:rsidRPr="00CC1650">
        <w:rPr>
          <w:rFonts w:hint="eastAsia"/>
        </w:rPr>
        <w:t>爰</w:t>
      </w:r>
      <w:proofErr w:type="gramEnd"/>
      <w:r w:rsidRPr="00CC1650">
        <w:rPr>
          <w:rFonts w:hint="eastAsia"/>
        </w:rPr>
        <w:t>將其超過法定給付、中央一致性政策給付或補助標準及自辦金額過大部分，納入「編列超過一致標準社會福利支出」預警項目，並就編列超過預警標準者，</w:t>
      </w:r>
      <w:r w:rsidRPr="00CC1650">
        <w:rPr>
          <w:rFonts w:hint="eastAsia"/>
        </w:rPr>
        <w:lastRenderedPageBreak/>
        <w:t>予以扣減考核分數，以導正地方政府社福津貼發放過於寬濫問題，</w:t>
      </w:r>
      <w:proofErr w:type="gramStart"/>
      <w:r w:rsidRPr="00CC1650">
        <w:rPr>
          <w:rFonts w:hint="eastAsia"/>
        </w:rPr>
        <w:t>俾</w:t>
      </w:r>
      <w:proofErr w:type="gramEnd"/>
      <w:r w:rsidRPr="00CC1650">
        <w:rPr>
          <w:rFonts w:hint="eastAsia"/>
        </w:rPr>
        <w:t>有效落實監督地方財政機制。然經統計自</w:t>
      </w:r>
      <w:proofErr w:type="gramStart"/>
      <w:r w:rsidRPr="00CC1650">
        <w:rPr>
          <w:rFonts w:hint="eastAsia"/>
        </w:rPr>
        <w:t>101</w:t>
      </w:r>
      <w:proofErr w:type="gramEnd"/>
      <w:r w:rsidRPr="00CC1650">
        <w:rPr>
          <w:rFonts w:hint="eastAsia"/>
        </w:rPr>
        <w:t>年度全國22個市縣編列社會福利支出均超過一致標準，且至</w:t>
      </w:r>
      <w:proofErr w:type="gramStart"/>
      <w:r w:rsidRPr="00CC1650">
        <w:rPr>
          <w:rFonts w:hint="eastAsia"/>
        </w:rPr>
        <w:t>104</w:t>
      </w:r>
      <w:proofErr w:type="gramEnd"/>
      <w:r w:rsidRPr="00CC1650">
        <w:rPr>
          <w:rFonts w:hint="eastAsia"/>
        </w:rPr>
        <w:t>年度連續</w:t>
      </w:r>
      <w:proofErr w:type="gramStart"/>
      <w:r w:rsidRPr="00CC1650">
        <w:rPr>
          <w:rFonts w:hint="eastAsia"/>
        </w:rPr>
        <w:t>4年咸未改進</w:t>
      </w:r>
      <w:proofErr w:type="gramEnd"/>
      <w:r w:rsidRPr="00CC1650">
        <w:rPr>
          <w:rFonts w:hint="eastAsia"/>
        </w:rPr>
        <w:t>。經檢視</w:t>
      </w:r>
      <w:proofErr w:type="gramStart"/>
      <w:r w:rsidRPr="00CC1650">
        <w:rPr>
          <w:rFonts w:hint="eastAsia"/>
        </w:rPr>
        <w:t>103</w:t>
      </w:r>
      <w:proofErr w:type="gramEnd"/>
      <w:r w:rsidRPr="00CC1650">
        <w:rPr>
          <w:rFonts w:hint="eastAsia"/>
        </w:rPr>
        <w:t>年度各市縣政府社會福利支出預警項目（不含追加減預算），22個市縣合計共編列約275億元，至</w:t>
      </w:r>
      <w:proofErr w:type="gramStart"/>
      <w:r w:rsidRPr="00CC1650">
        <w:rPr>
          <w:rFonts w:hint="eastAsia"/>
        </w:rPr>
        <w:t>104</w:t>
      </w:r>
      <w:proofErr w:type="gramEnd"/>
      <w:r w:rsidRPr="00CC1650">
        <w:rPr>
          <w:rFonts w:hint="eastAsia"/>
        </w:rPr>
        <w:t>年度仍未改善，尚編列320.78億元，較</w:t>
      </w:r>
      <w:proofErr w:type="gramStart"/>
      <w:r w:rsidRPr="00CC1650">
        <w:rPr>
          <w:rFonts w:hint="eastAsia"/>
        </w:rPr>
        <w:t>103</w:t>
      </w:r>
      <w:proofErr w:type="gramEnd"/>
      <w:r w:rsidRPr="00CC1650">
        <w:rPr>
          <w:rFonts w:hint="eastAsia"/>
        </w:rPr>
        <w:t>年度違失金額約增加50億元，其中桃園市政府較改制前增加41億元、</w:t>
      </w:r>
      <w:proofErr w:type="gramStart"/>
      <w:r w:rsidRPr="00CC1650">
        <w:rPr>
          <w:rFonts w:hint="eastAsia"/>
        </w:rPr>
        <w:t>臺</w:t>
      </w:r>
      <w:proofErr w:type="gramEnd"/>
      <w:r w:rsidRPr="00CC1650">
        <w:rPr>
          <w:rFonts w:hint="eastAsia"/>
        </w:rPr>
        <w:t>中市政府增加7億元、臺北市政府增加3.6億元。上開編列超過一致標準社會福利支出，行政院允應督促改善，且應對</w:t>
      </w:r>
      <w:proofErr w:type="gramStart"/>
      <w:r w:rsidRPr="00CC1650">
        <w:rPr>
          <w:rFonts w:hint="eastAsia"/>
        </w:rPr>
        <w:t>非法定社福</w:t>
      </w:r>
      <w:proofErr w:type="gramEnd"/>
      <w:r w:rsidRPr="00CC1650">
        <w:rPr>
          <w:rFonts w:hint="eastAsia"/>
        </w:rPr>
        <w:t>支出予以法制化，</w:t>
      </w:r>
      <w:proofErr w:type="gramStart"/>
      <w:r w:rsidRPr="00CC1650">
        <w:rPr>
          <w:rFonts w:hint="eastAsia"/>
        </w:rPr>
        <w:t>俾</w:t>
      </w:r>
      <w:proofErr w:type="gramEnd"/>
      <w:r w:rsidRPr="00CC1650">
        <w:rPr>
          <w:rFonts w:hint="eastAsia"/>
        </w:rPr>
        <w:t>新任首長推動合理政策時有明確法規可資依循。又對於候選人於競選時對於各式增加支出之政見或承諾，造成社會福利支出持續增加，是否應</w:t>
      </w:r>
      <w:proofErr w:type="gramStart"/>
      <w:r w:rsidRPr="00CC1650">
        <w:rPr>
          <w:rFonts w:hint="eastAsia"/>
        </w:rPr>
        <w:t>研</w:t>
      </w:r>
      <w:proofErr w:type="gramEnd"/>
      <w:r w:rsidRPr="00CC1650">
        <w:rPr>
          <w:rFonts w:hint="eastAsia"/>
        </w:rPr>
        <w:t>議予以一定程序之規範之可行性，諸如：於公職人員選舉罷免法中增訂政黨或候選人提出之競選政見，凡涉及增加支出或減少收入者，應具體且完整說明如何籌措相對應之財源，否則不得列為政見等等之可行性，以杜其弊。</w:t>
      </w:r>
      <w:bookmarkEnd w:id="235"/>
      <w:bookmarkEnd w:id="236"/>
      <w:bookmarkEnd w:id="237"/>
    </w:p>
    <w:p w:rsidR="0028740F" w:rsidRPr="00CC1650" w:rsidRDefault="0028740F" w:rsidP="0028740F">
      <w:pPr>
        <w:pStyle w:val="3"/>
        <w:kinsoku w:val="0"/>
        <w:overflowPunct/>
        <w:autoSpaceDE/>
        <w:autoSpaceDN/>
        <w:ind w:left="1360" w:hanging="680"/>
      </w:pPr>
      <w:bookmarkStart w:id="238" w:name="_Toc454877626"/>
      <w:bookmarkStart w:id="239" w:name="_Toc454884683"/>
      <w:bookmarkStart w:id="240" w:name="_Toc455056222"/>
      <w:r w:rsidRPr="00CC1650">
        <w:rPr>
          <w:rFonts w:hint="eastAsia"/>
        </w:rPr>
        <w:t>除非法定社福支出</w:t>
      </w:r>
      <w:proofErr w:type="gramStart"/>
      <w:r w:rsidRPr="00CC1650">
        <w:rPr>
          <w:rFonts w:hint="eastAsia"/>
        </w:rPr>
        <w:t>浮濫外</w:t>
      </w:r>
      <w:proofErr w:type="gramEnd"/>
      <w:r w:rsidRPr="00CC1650">
        <w:rPr>
          <w:rFonts w:hint="eastAsia"/>
        </w:rPr>
        <w:t>，各市縣政府在財務困窘下，既無法開源更欠缺節流概念，此據主計總處101至104年度對地方預算編列及執行預警，針對歲出預算增加幅度大於歲入成長率之缺失市縣統計可知，</w:t>
      </w:r>
      <w:proofErr w:type="gramStart"/>
      <w:r w:rsidRPr="00CC1650">
        <w:rPr>
          <w:rFonts w:hint="eastAsia"/>
        </w:rPr>
        <w:t>101</w:t>
      </w:r>
      <w:proofErr w:type="gramEnd"/>
      <w:r w:rsidRPr="00CC1650">
        <w:rPr>
          <w:rFonts w:hint="eastAsia"/>
        </w:rPr>
        <w:t>年度（總預算含追加預算）共4個市縣、</w:t>
      </w:r>
      <w:proofErr w:type="gramStart"/>
      <w:r w:rsidRPr="00CC1650">
        <w:rPr>
          <w:rFonts w:hint="eastAsia"/>
        </w:rPr>
        <w:t>102</w:t>
      </w:r>
      <w:proofErr w:type="gramEnd"/>
      <w:r w:rsidRPr="00CC1650">
        <w:rPr>
          <w:rFonts w:hint="eastAsia"/>
        </w:rPr>
        <w:t>年度（總預算含追加減預算</w:t>
      </w:r>
      <w:r w:rsidRPr="00CC1650">
        <w:rPr>
          <w:rFonts w:hint="eastAsia"/>
        </w:rPr>
        <w:tab/>
        <w:t>）有10個、</w:t>
      </w:r>
      <w:proofErr w:type="gramStart"/>
      <w:r w:rsidRPr="00CC1650">
        <w:rPr>
          <w:rFonts w:hint="eastAsia"/>
        </w:rPr>
        <w:t>103</w:t>
      </w:r>
      <w:proofErr w:type="gramEnd"/>
      <w:r w:rsidRPr="00CC1650">
        <w:rPr>
          <w:rFonts w:hint="eastAsia"/>
        </w:rPr>
        <w:t>年度（總預算含追加減預算）高達13個、</w:t>
      </w:r>
      <w:proofErr w:type="gramStart"/>
      <w:r w:rsidRPr="00CC1650">
        <w:rPr>
          <w:rFonts w:hint="eastAsia"/>
        </w:rPr>
        <w:t>104</w:t>
      </w:r>
      <w:proofErr w:type="gramEnd"/>
      <w:r w:rsidRPr="00CC1650">
        <w:rPr>
          <w:rFonts w:hint="eastAsia"/>
        </w:rPr>
        <w:t>年度（總預算）尚有</w:t>
      </w:r>
      <w:r w:rsidRPr="00CC1650">
        <w:rPr>
          <w:rFonts w:hint="eastAsia"/>
        </w:rPr>
        <w:tab/>
        <w:t>4</w:t>
      </w:r>
      <w:r w:rsidR="006F2AFA" w:rsidRPr="00CC1650">
        <w:rPr>
          <w:rFonts w:hint="eastAsia"/>
        </w:rPr>
        <w:t>個。本院為瞭解各市縣政府自有財源占歲出之比率</w:t>
      </w:r>
      <w:r w:rsidRPr="00CC1650">
        <w:rPr>
          <w:rFonts w:hint="eastAsia"/>
        </w:rPr>
        <w:t>，以</w:t>
      </w:r>
      <w:proofErr w:type="gramStart"/>
      <w:r w:rsidRPr="00CC1650">
        <w:rPr>
          <w:rFonts w:hint="eastAsia"/>
        </w:rPr>
        <w:t>104</w:t>
      </w:r>
      <w:proofErr w:type="gramEnd"/>
      <w:r w:rsidRPr="00CC1650">
        <w:rPr>
          <w:rFonts w:hint="eastAsia"/>
        </w:rPr>
        <w:t>年度觀之，除臺北市</w:t>
      </w:r>
      <w:proofErr w:type="gramStart"/>
      <w:r w:rsidRPr="00CC1650">
        <w:rPr>
          <w:rFonts w:hint="eastAsia"/>
        </w:rPr>
        <w:t>以外，</w:t>
      </w:r>
      <w:proofErr w:type="gramEnd"/>
      <w:r w:rsidRPr="00CC1650">
        <w:rPr>
          <w:rFonts w:hint="eastAsia"/>
        </w:rPr>
        <w:t>所有市縣自有財源均無法支應歲出，且有7個市縣自有財源占歲出比率未達</w:t>
      </w:r>
      <w:proofErr w:type="gramStart"/>
      <w:r w:rsidRPr="00CC1650">
        <w:rPr>
          <w:rFonts w:hint="eastAsia"/>
        </w:rPr>
        <w:t>5成</w:t>
      </w:r>
      <w:proofErr w:type="gramEnd"/>
      <w:r w:rsidRPr="00CC1650">
        <w:rPr>
          <w:rFonts w:hint="eastAsia"/>
        </w:rPr>
        <w:t>，分別為屏東縣</w:t>
      </w:r>
      <w:r w:rsidRPr="00CC1650">
        <w:rPr>
          <w:rFonts w:hint="eastAsia"/>
        </w:rPr>
        <w:tab/>
        <w:t>47.5%、</w:t>
      </w:r>
      <w:r w:rsidRPr="00CC1650">
        <w:rPr>
          <w:rFonts w:hint="eastAsia"/>
        </w:rPr>
        <w:lastRenderedPageBreak/>
        <w:t>南投縣</w:t>
      </w:r>
      <w:r w:rsidRPr="00CC1650">
        <w:rPr>
          <w:rFonts w:hint="eastAsia"/>
        </w:rPr>
        <w:tab/>
        <w:t>45.2%、花蓮縣</w:t>
      </w:r>
      <w:r w:rsidRPr="00CC1650">
        <w:rPr>
          <w:rFonts w:hint="eastAsia"/>
        </w:rPr>
        <w:tab/>
        <w:t>43%、</w:t>
      </w:r>
      <w:proofErr w:type="gramStart"/>
      <w:r w:rsidRPr="00CC1650">
        <w:rPr>
          <w:rFonts w:hint="eastAsia"/>
        </w:rPr>
        <w:t>臺</w:t>
      </w:r>
      <w:proofErr w:type="gramEnd"/>
      <w:r w:rsidRPr="00CC1650">
        <w:rPr>
          <w:rFonts w:hint="eastAsia"/>
        </w:rPr>
        <w:t>東縣</w:t>
      </w:r>
      <w:r w:rsidRPr="00CC1650">
        <w:rPr>
          <w:rFonts w:hint="eastAsia"/>
        </w:rPr>
        <w:tab/>
        <w:t>40.7%、嘉義縣</w:t>
      </w:r>
      <w:r w:rsidRPr="00CC1650">
        <w:rPr>
          <w:rFonts w:hint="eastAsia"/>
        </w:rPr>
        <w:tab/>
        <w:t>40.3%、澎湖縣</w:t>
      </w:r>
      <w:r w:rsidRPr="00CC1650">
        <w:rPr>
          <w:rFonts w:hint="eastAsia"/>
        </w:rPr>
        <w:tab/>
        <w:t>32%、連江縣</w:t>
      </w:r>
      <w:r w:rsidRPr="00CC1650">
        <w:rPr>
          <w:rFonts w:hint="eastAsia"/>
        </w:rPr>
        <w:tab/>
        <w:t>22.6%，足見自有財源尚不足以維持基本市政開銷，更遑論償還鉅額貸款，降低債務比率以符合公共債務法之規定，故截至105年4月仍有苗栗縣、宜蘭縣及屏東縣發生債務比率超限之情事。</w:t>
      </w:r>
      <w:bookmarkEnd w:id="238"/>
      <w:bookmarkEnd w:id="239"/>
      <w:bookmarkEnd w:id="240"/>
    </w:p>
    <w:p w:rsidR="0028740F" w:rsidRPr="00CC1650" w:rsidRDefault="0028740F" w:rsidP="0028740F">
      <w:pPr>
        <w:pStyle w:val="3"/>
        <w:kinsoku w:val="0"/>
        <w:overflowPunct/>
        <w:autoSpaceDE/>
        <w:autoSpaceDN/>
        <w:ind w:left="1360" w:hanging="680"/>
      </w:pPr>
      <w:bookmarkStart w:id="241" w:name="_Toc454877627"/>
      <w:bookmarkStart w:id="242" w:name="_Toc454884684"/>
      <w:bookmarkStart w:id="243" w:name="_Toc455056223"/>
      <w:r w:rsidRPr="00CC1650">
        <w:rPr>
          <w:rFonts w:hint="eastAsia"/>
        </w:rPr>
        <w:t>因應財政困窘，各市縣政府本應</w:t>
      </w:r>
      <w:proofErr w:type="gramStart"/>
      <w:r w:rsidRPr="00CC1650">
        <w:rPr>
          <w:rFonts w:hint="eastAsia"/>
        </w:rPr>
        <w:t>撙</w:t>
      </w:r>
      <w:proofErr w:type="gramEnd"/>
      <w:r w:rsidRPr="00CC1650">
        <w:rPr>
          <w:rFonts w:hint="eastAsia"/>
        </w:rPr>
        <w:t>節開支以對，惟經本院統計各市縣政府95年至104年舉辦大型燈會(含臺灣燈會)、煙火節(含國慶煙火)及舉辦跨年晚會情形發現，全</w:t>
      </w:r>
      <w:proofErr w:type="gramStart"/>
      <w:r w:rsidRPr="00CC1650">
        <w:rPr>
          <w:rFonts w:hint="eastAsia"/>
        </w:rPr>
        <w:t>臺</w:t>
      </w:r>
      <w:proofErr w:type="gramEnd"/>
      <w:r w:rsidRPr="00CC1650">
        <w:rPr>
          <w:rFonts w:hint="eastAsia"/>
        </w:rPr>
        <w:t>每年500萬元以上大型燈會及煙火之花費，從95年之1.25億元</w:t>
      </w:r>
      <w:r w:rsidR="00846E0F" w:rsidRPr="00CC1650">
        <w:rPr>
          <w:rFonts w:ascii="新細明體" w:eastAsia="新細明體" w:hAnsi="新細明體" w:hint="eastAsia"/>
        </w:rPr>
        <w:t>、</w:t>
      </w:r>
      <w:r w:rsidRPr="00CC1650">
        <w:rPr>
          <w:rFonts w:hint="eastAsia"/>
        </w:rPr>
        <w:t>99年</w:t>
      </w:r>
      <w:r w:rsidR="008A7546" w:rsidRPr="00CC1650">
        <w:rPr>
          <w:rFonts w:hint="eastAsia"/>
        </w:rPr>
        <w:t>增至</w:t>
      </w:r>
      <w:r w:rsidRPr="00CC1650">
        <w:rPr>
          <w:rFonts w:hint="eastAsia"/>
        </w:rPr>
        <w:t>2.5億元，至100、101年</w:t>
      </w:r>
      <w:r w:rsidR="008A7546" w:rsidRPr="00CC1650">
        <w:rPr>
          <w:rFonts w:hint="eastAsia"/>
        </w:rPr>
        <w:t>更</w:t>
      </w:r>
      <w:r w:rsidRPr="00CC1650">
        <w:rPr>
          <w:rFonts w:hint="eastAsia"/>
        </w:rPr>
        <w:t>躍升為8.50億元、9.79億元，近年雖有縮減，但104年仍達4.76億元。跨年晚會之花費，95年全</w:t>
      </w:r>
      <w:proofErr w:type="gramStart"/>
      <w:r w:rsidRPr="00CC1650">
        <w:rPr>
          <w:rFonts w:hint="eastAsia"/>
        </w:rPr>
        <w:t>臺</w:t>
      </w:r>
      <w:proofErr w:type="gramEnd"/>
      <w:r w:rsidRPr="00CC1650">
        <w:rPr>
          <w:rFonts w:hint="eastAsia"/>
        </w:rPr>
        <w:t>總計為4,669萬餘元，至102年已達1億1,826萬餘元，成長2.5倍以上，且舉辦之市縣及花費均增加。上開活動辦理與否，各市縣政府實</w:t>
      </w:r>
      <w:proofErr w:type="gramStart"/>
      <w:r w:rsidRPr="00CC1650">
        <w:rPr>
          <w:rFonts w:hint="eastAsia"/>
        </w:rPr>
        <w:t>應妥思</w:t>
      </w:r>
      <w:proofErr w:type="gramEnd"/>
      <w:r w:rsidRPr="00CC1650">
        <w:rPr>
          <w:rFonts w:hint="eastAsia"/>
        </w:rPr>
        <w:t>，倘財政穩健且活動所創造之經濟效益超逾支出，</w:t>
      </w:r>
      <w:proofErr w:type="gramStart"/>
      <w:r w:rsidRPr="00CC1650">
        <w:rPr>
          <w:rFonts w:hint="eastAsia"/>
        </w:rPr>
        <w:t>復能帶</w:t>
      </w:r>
      <w:proofErr w:type="gramEnd"/>
      <w:r w:rsidRPr="00CC1650">
        <w:rPr>
          <w:rFonts w:hint="eastAsia"/>
        </w:rPr>
        <w:t>給民眾歡樂，則辦理上自有其意義，</w:t>
      </w:r>
      <w:proofErr w:type="gramStart"/>
      <w:r w:rsidRPr="00CC1650">
        <w:rPr>
          <w:rFonts w:hint="eastAsia"/>
        </w:rPr>
        <w:t>反之，</w:t>
      </w:r>
      <w:proofErr w:type="gramEnd"/>
      <w:r w:rsidRPr="00CC1650">
        <w:rPr>
          <w:rFonts w:hint="eastAsia"/>
        </w:rPr>
        <w:t>倘財政吃緊、創造經濟產值有限，則舉辦之後果雖帶給民眾一時之歡樂，然加重財政負擔，浮濫開支之後果，換得人均負債增加，最終仍是該市縣民眾必須承擔，況且地方政府再不有效</w:t>
      </w:r>
      <w:proofErr w:type="gramStart"/>
      <w:r w:rsidRPr="00CC1650">
        <w:rPr>
          <w:rFonts w:hint="eastAsia"/>
        </w:rPr>
        <w:t>撙</w:t>
      </w:r>
      <w:proofErr w:type="gramEnd"/>
      <w:r w:rsidRPr="00CC1650">
        <w:rPr>
          <w:rFonts w:hint="eastAsia"/>
        </w:rPr>
        <w:t>節支出，積久未決之財政問題，將如滾雪球般日益嚴重，長此以往，不計成本，</w:t>
      </w:r>
      <w:proofErr w:type="gramStart"/>
      <w:r w:rsidRPr="00CC1650">
        <w:rPr>
          <w:rFonts w:hint="eastAsia"/>
        </w:rPr>
        <w:t>罔</w:t>
      </w:r>
      <w:proofErr w:type="gramEnd"/>
      <w:r w:rsidRPr="00CC1650">
        <w:rPr>
          <w:rFonts w:hint="eastAsia"/>
        </w:rPr>
        <w:t>顧效益，競相加碼討好式開銷，終將壓垮財政，難保未來不會產生下一個苗栗縣政府。職是，行政院允應協助並督促地方政府積極開源節流、檢討各項支出之必要性，以紓解其長年財政</w:t>
      </w:r>
      <w:proofErr w:type="gramStart"/>
      <w:r w:rsidRPr="00CC1650">
        <w:rPr>
          <w:rFonts w:hint="eastAsia"/>
        </w:rPr>
        <w:t>沉痾</w:t>
      </w:r>
      <w:proofErr w:type="gramEnd"/>
      <w:r w:rsidRPr="00CC1650">
        <w:rPr>
          <w:rFonts w:hint="eastAsia"/>
        </w:rPr>
        <w:t>，健全地方政府財務，避免浮濫開銷而拖垮財政。</w:t>
      </w:r>
      <w:bookmarkEnd w:id="241"/>
      <w:bookmarkEnd w:id="242"/>
      <w:bookmarkEnd w:id="243"/>
    </w:p>
    <w:p w:rsidR="0028740F" w:rsidRPr="00CC1650" w:rsidRDefault="0028740F" w:rsidP="0028740F">
      <w:pPr>
        <w:pStyle w:val="3"/>
        <w:kinsoku w:val="0"/>
        <w:overflowPunct/>
        <w:autoSpaceDE/>
        <w:autoSpaceDN/>
        <w:ind w:left="1360" w:hanging="680"/>
      </w:pPr>
      <w:bookmarkStart w:id="244" w:name="_Toc454877628"/>
      <w:bookmarkStart w:id="245" w:name="_Toc454884685"/>
      <w:bookmarkStart w:id="246" w:name="_Toc455056224"/>
      <w:proofErr w:type="gramStart"/>
      <w:r w:rsidRPr="00CC1650">
        <w:rPr>
          <w:rFonts w:hint="eastAsia"/>
        </w:rPr>
        <w:t>此外，</w:t>
      </w:r>
      <w:proofErr w:type="gramEnd"/>
      <w:r w:rsidRPr="00CC1650">
        <w:rPr>
          <w:rFonts w:hint="eastAsia"/>
        </w:rPr>
        <w:t>財政收支劃分法自88年1月25日修正迄今，</w:t>
      </w:r>
      <w:r w:rsidRPr="00CC1650">
        <w:rPr>
          <w:rFonts w:hint="eastAsia"/>
        </w:rPr>
        <w:lastRenderedPageBreak/>
        <w:t>已逾17年，地方政府對於分配爭議不斷，行政院前於101年2月23日將財政收支劃分法修正草案送立法院審議，修正重點在於：（1）擴大中央統籌分配稅款規模：所得稅6%、營業稅全部及菸酒稅扣除分成後之全數納為中央統籌分配稅款財源，大幅增加中央統籌稅款規模，有效提升地方財政自主。(2)劃一直轄市與縣(市)分配基礎：中央統籌稅款之分配，直轄市及縣(市)採取一體適用之公式分配。(3)調劑地方財政盈虛：優先彌補基準財政收支差短，以保障立足點平等，並發揮調劑地方財政盈虛功能。(4)激勵地方財政努力：建立誘因機制，將「財政努力及績效」列為統籌稅款分配項目。(5)落實財政紀律：對地方政府違反一般性補助款限定用途、不負擔應負擔之經費時，得暫停撥付統籌分配稅款或以其獲配之該稅款扣減抵</w:t>
      </w:r>
      <w:proofErr w:type="gramStart"/>
      <w:r w:rsidRPr="00CC1650">
        <w:rPr>
          <w:rFonts w:hint="eastAsia"/>
        </w:rPr>
        <w:t>充</w:t>
      </w:r>
      <w:proofErr w:type="gramEnd"/>
      <w:r w:rsidRPr="00CC1650">
        <w:rPr>
          <w:rFonts w:hint="eastAsia"/>
        </w:rPr>
        <w:t>。案經立法院財政委員會召開5次會議審查，惟地方政府立場各異，未及於第8屆立法委員任期內完成審議，因屆期</w:t>
      </w:r>
      <w:proofErr w:type="gramStart"/>
      <w:r w:rsidRPr="00CC1650">
        <w:rPr>
          <w:rFonts w:hint="eastAsia"/>
        </w:rPr>
        <w:t>不</w:t>
      </w:r>
      <w:proofErr w:type="gramEnd"/>
      <w:r w:rsidRPr="00CC1650">
        <w:rPr>
          <w:rFonts w:hint="eastAsia"/>
        </w:rPr>
        <w:t>續審，財政部將配合審視目前地方改制情形及相關情勢變革通盤檢討，並依行政院105年1月27日「</w:t>
      </w:r>
      <w:proofErr w:type="gramStart"/>
      <w:r w:rsidRPr="00CC1650">
        <w:rPr>
          <w:rFonts w:hint="eastAsia"/>
        </w:rPr>
        <w:t>研</w:t>
      </w:r>
      <w:proofErr w:type="gramEnd"/>
      <w:r w:rsidRPr="00CC1650">
        <w:rPr>
          <w:rFonts w:hint="eastAsia"/>
        </w:rPr>
        <w:t>商520前重要政策/計畫事宜」第1次專案會議紀錄決議「列入交接項目，留待新政府決定」。嘉義縣政府等一再向本院陳訴該府財務結構脆弱，建議中央專案補助</w:t>
      </w:r>
      <w:r w:rsidRPr="00CC1650">
        <w:rPr>
          <w:rFonts w:ascii="新細明體" w:eastAsia="新細明體" w:hAnsi="新細明體" w:hint="eastAsia"/>
        </w:rPr>
        <w:t>、</w:t>
      </w:r>
      <w:r w:rsidRPr="00CC1650">
        <w:rPr>
          <w:rFonts w:hint="eastAsia"/>
        </w:rPr>
        <w:t>重新檢討中央計畫型補助地方配合款比例</w:t>
      </w:r>
      <w:r w:rsidRPr="00CC1650">
        <w:rPr>
          <w:rFonts w:ascii="新細明體" w:eastAsia="新細明體" w:hAnsi="新細明體" w:hint="eastAsia"/>
        </w:rPr>
        <w:t>、</w:t>
      </w:r>
      <w:r w:rsidRPr="00CC1650">
        <w:rPr>
          <w:rFonts w:hint="eastAsia"/>
        </w:rPr>
        <w:t>儘速修正財政收支劃分法及調高縣（市）債限等情，現新政府已上任，允宜就提升地方財政自主、激勵地方財政努力並落實財政紀律等各面向通盤考量，適時規劃與推動相關具體作為，以期改善部分市縣政府之財政窘境，健全地方財政。</w:t>
      </w:r>
      <w:bookmarkEnd w:id="244"/>
      <w:bookmarkEnd w:id="245"/>
      <w:bookmarkEnd w:id="246"/>
    </w:p>
    <w:p w:rsidR="0028740F" w:rsidRPr="00CC1650" w:rsidRDefault="0028740F" w:rsidP="0028740F">
      <w:pPr>
        <w:pStyle w:val="3"/>
        <w:kinsoku w:val="0"/>
        <w:overflowPunct/>
        <w:autoSpaceDE/>
        <w:autoSpaceDN/>
        <w:ind w:left="1360" w:hanging="680"/>
      </w:pPr>
      <w:bookmarkStart w:id="247" w:name="_Toc454877629"/>
      <w:bookmarkStart w:id="248" w:name="_Toc454884686"/>
      <w:bookmarkStart w:id="249" w:name="_Toc455056225"/>
      <w:r w:rsidRPr="00CC1650">
        <w:rPr>
          <w:rFonts w:hint="eastAsia"/>
        </w:rPr>
        <w:t>綜上所述，地方政府財務困窘，各項支出近年來不斷攀升，首以社福支出成長最多，且因財源籌措不</w:t>
      </w:r>
      <w:r w:rsidRPr="00CC1650">
        <w:rPr>
          <w:rFonts w:hint="eastAsia"/>
        </w:rPr>
        <w:lastRenderedPageBreak/>
        <w:t>易，入不敷出，造成財政短</w:t>
      </w:r>
      <w:proofErr w:type="gramStart"/>
      <w:r w:rsidRPr="00CC1650">
        <w:rPr>
          <w:rFonts w:hint="eastAsia"/>
        </w:rPr>
        <w:t>絀</w:t>
      </w:r>
      <w:proofErr w:type="gramEnd"/>
      <w:r w:rsidRPr="00CC1650">
        <w:rPr>
          <w:rFonts w:hint="eastAsia"/>
        </w:rPr>
        <w:t>，需仰賴舉債以彌補缺口，致原本</w:t>
      </w:r>
      <w:proofErr w:type="gramStart"/>
      <w:r w:rsidRPr="00CC1650">
        <w:rPr>
          <w:rFonts w:hint="eastAsia"/>
        </w:rPr>
        <w:t>羸弱之</w:t>
      </w:r>
      <w:proofErr w:type="gramEnd"/>
      <w:r w:rsidRPr="00CC1650">
        <w:rPr>
          <w:rFonts w:hint="eastAsia"/>
        </w:rPr>
        <w:t>財政雪上加霜，行政院允應協助並督促地方政府積極開源節流、檢討各項支出之必要性，避免浮濫開銷而拖垮財政。另為提升地方財政自主並落實財政紀律以健全地方財政，行政院允宜適時規劃與推動相關具體作為，以期改善部分市縣政府之財政窘境。</w:t>
      </w:r>
      <w:bookmarkEnd w:id="247"/>
      <w:bookmarkEnd w:id="248"/>
      <w:bookmarkEnd w:id="249"/>
    </w:p>
    <w:p w:rsidR="0028740F" w:rsidRPr="00CC1650" w:rsidRDefault="0028740F" w:rsidP="0028740F">
      <w:pPr>
        <w:pStyle w:val="2"/>
        <w:kinsoku w:val="0"/>
        <w:overflowPunct/>
        <w:autoSpaceDE/>
        <w:autoSpaceDN/>
        <w:ind w:left="1020" w:hanging="680"/>
        <w:rPr>
          <w:b/>
        </w:rPr>
      </w:pPr>
      <w:bookmarkStart w:id="250" w:name="_Toc455056226"/>
      <w:r w:rsidRPr="00CC1650">
        <w:rPr>
          <w:rFonts w:hint="eastAsia"/>
          <w:b/>
        </w:rPr>
        <w:t>部分地方政府舉借債務</w:t>
      </w:r>
      <w:proofErr w:type="gramStart"/>
      <w:r w:rsidRPr="00CC1650">
        <w:rPr>
          <w:rFonts w:hint="eastAsia"/>
          <w:b/>
        </w:rPr>
        <w:t>超限或達</w:t>
      </w:r>
      <w:proofErr w:type="gramEnd"/>
      <w:r w:rsidRPr="00CC1650">
        <w:rPr>
          <w:rFonts w:hint="eastAsia"/>
          <w:b/>
        </w:rPr>
        <w:t>預警標準，雖依公共債務法規定訂定債務改善計畫及時程表，然因規劃及後續執行情形未盡確實，改善情形不如預期，致生重提改善計畫以展延償債期程等情事。行政院允應加強督促地方政府積極償債，避免財政持續惡化，影響政務推行。</w:t>
      </w:r>
      <w:bookmarkEnd w:id="250"/>
    </w:p>
    <w:p w:rsidR="0028740F" w:rsidRPr="00CC1650" w:rsidRDefault="0028740F" w:rsidP="0028740F">
      <w:pPr>
        <w:pStyle w:val="3"/>
      </w:pPr>
      <w:bookmarkStart w:id="251" w:name="_Toc454877631"/>
      <w:bookmarkStart w:id="252" w:name="_Toc454884688"/>
      <w:bookmarkStart w:id="253" w:name="_Toc455056227"/>
      <w:r w:rsidRPr="00CC1650">
        <w:rPr>
          <w:rFonts w:hint="eastAsia"/>
        </w:rPr>
        <w:t>103年以前，依當時施行之公共債務法，各</w:t>
      </w:r>
      <w:r w:rsidRPr="00CC1650">
        <w:rPr>
          <w:rFonts w:hint="eastAsia"/>
          <w:bCs w:val="0"/>
        </w:rPr>
        <w:t>縣(市)</w:t>
      </w:r>
      <w:r w:rsidRPr="00CC1650">
        <w:rPr>
          <w:rFonts w:hint="eastAsia"/>
        </w:rPr>
        <w:t>政府所舉借之</w:t>
      </w:r>
      <w:r w:rsidR="00A357AF" w:rsidRPr="00CC1650">
        <w:rPr>
          <w:rFonts w:hint="eastAsia"/>
        </w:rPr>
        <w:t>1年</w:t>
      </w:r>
      <w:r w:rsidRPr="00CC1650">
        <w:rPr>
          <w:rFonts w:hint="eastAsia"/>
        </w:rPr>
        <w:t>以上公共債務</w:t>
      </w:r>
      <w:proofErr w:type="gramStart"/>
      <w:r w:rsidRPr="00CC1650">
        <w:rPr>
          <w:rFonts w:hint="eastAsia"/>
        </w:rPr>
        <w:t>未償</w:t>
      </w:r>
      <w:proofErr w:type="gramEnd"/>
      <w:r w:rsidRPr="00CC1650">
        <w:rPr>
          <w:rFonts w:hint="eastAsia"/>
        </w:rPr>
        <w:t>餘額預算數，占該政府總預算及特別預算歲出總額之比率，各不得超過45%；為調節庫款收支所舉借之未滿</w:t>
      </w:r>
      <w:r w:rsidR="00A357AF" w:rsidRPr="00CC1650">
        <w:rPr>
          <w:rFonts w:hint="eastAsia"/>
        </w:rPr>
        <w:t>1年</w:t>
      </w:r>
      <w:r w:rsidRPr="00CC1650">
        <w:rPr>
          <w:rFonts w:hint="eastAsia"/>
        </w:rPr>
        <w:t>公共債務，其</w:t>
      </w:r>
      <w:proofErr w:type="gramStart"/>
      <w:r w:rsidRPr="00CC1650">
        <w:rPr>
          <w:rFonts w:hint="eastAsia"/>
        </w:rPr>
        <w:t>未償</w:t>
      </w:r>
      <w:proofErr w:type="gramEnd"/>
      <w:r w:rsidRPr="00CC1650">
        <w:rPr>
          <w:rFonts w:hint="eastAsia"/>
        </w:rPr>
        <w:t>還之餘額，各不得超過其當年度總預算及特別預算歲出總額30%。各</w:t>
      </w:r>
      <w:r w:rsidRPr="00CC1650">
        <w:rPr>
          <w:rFonts w:hint="eastAsia"/>
          <w:bCs w:val="0"/>
        </w:rPr>
        <w:t>縣(市)之債務若</w:t>
      </w:r>
      <w:r w:rsidRPr="00CC1650">
        <w:rPr>
          <w:rFonts w:hint="eastAsia"/>
        </w:rPr>
        <w:t>違反上開債務比率上限時，依據「</w:t>
      </w:r>
      <w:r w:rsidRPr="00CC1650">
        <w:rPr>
          <w:rFonts w:hint="eastAsia"/>
          <w:bCs w:val="0"/>
        </w:rPr>
        <w:t>公共債務法第八條直轄市或縣(市)政府屆期未改正或償還債務之減少或停止補助款作業原則」</w:t>
      </w:r>
      <w:r w:rsidRPr="00CC1650">
        <w:rPr>
          <w:rFonts w:hint="eastAsia"/>
        </w:rPr>
        <w:t>，限期於2個月內提報償債計畫或3個月內改正，並由財政部逐月審核其債務情形，至改正符合債限。103年以後，新修正施行之公共債務法，各</w:t>
      </w:r>
      <w:r w:rsidRPr="00CC1650">
        <w:rPr>
          <w:rFonts w:hint="eastAsia"/>
          <w:bCs w:val="0"/>
        </w:rPr>
        <w:t>縣(市)</w:t>
      </w:r>
      <w:r w:rsidRPr="00CC1650">
        <w:rPr>
          <w:rFonts w:hint="eastAsia"/>
        </w:rPr>
        <w:t>政府所舉借之</w:t>
      </w:r>
      <w:r w:rsidR="00A357AF" w:rsidRPr="00CC1650">
        <w:rPr>
          <w:rFonts w:hint="eastAsia"/>
        </w:rPr>
        <w:t>1年</w:t>
      </w:r>
      <w:r w:rsidRPr="00CC1650">
        <w:rPr>
          <w:rFonts w:hint="eastAsia"/>
        </w:rPr>
        <w:t>以上公共債務</w:t>
      </w:r>
      <w:proofErr w:type="gramStart"/>
      <w:r w:rsidRPr="00CC1650">
        <w:rPr>
          <w:rFonts w:hint="eastAsia"/>
        </w:rPr>
        <w:t>未償</w:t>
      </w:r>
      <w:proofErr w:type="gramEnd"/>
      <w:r w:rsidRPr="00CC1650">
        <w:rPr>
          <w:rFonts w:hint="eastAsia"/>
        </w:rPr>
        <w:t>餘額預算數，占該政府總預算及特別預算歲出總額之比率，由不得超過45%，放寬至50%；並修正第6條規定，要求各級政府若長期債務</w:t>
      </w:r>
      <w:proofErr w:type="gramStart"/>
      <w:r w:rsidRPr="00CC1650">
        <w:rPr>
          <w:rFonts w:hint="eastAsia"/>
        </w:rPr>
        <w:t>未償餘額達債限</w:t>
      </w:r>
      <w:proofErr w:type="gramEnd"/>
      <w:r w:rsidRPr="00CC1650">
        <w:rPr>
          <w:rFonts w:hint="eastAsia"/>
        </w:rPr>
        <w:t>90%時，應提出債務改善計畫及時程表，中央政府送立法院審查，各地方政府經其公</w:t>
      </w:r>
      <w:r w:rsidRPr="00CC1650">
        <w:rPr>
          <w:rFonts w:hint="eastAsia"/>
        </w:rPr>
        <w:lastRenderedPageBreak/>
        <w:t>共債務管理委員會審議通過後，送監督機關審查。</w:t>
      </w:r>
      <w:bookmarkEnd w:id="251"/>
      <w:bookmarkEnd w:id="252"/>
      <w:bookmarkEnd w:id="253"/>
    </w:p>
    <w:p w:rsidR="0028740F" w:rsidRPr="00CC1650" w:rsidRDefault="0028740F" w:rsidP="0028740F">
      <w:pPr>
        <w:pStyle w:val="3"/>
      </w:pPr>
      <w:bookmarkStart w:id="254" w:name="_Toc454877632"/>
      <w:bookmarkStart w:id="255" w:name="_Toc454884689"/>
      <w:bookmarkStart w:id="256" w:name="_Toc455056228"/>
      <w:r w:rsidRPr="00CC1650">
        <w:rPr>
          <w:rFonts w:hint="eastAsia"/>
        </w:rPr>
        <w:t>依財政部提供之資料，最</w:t>
      </w:r>
      <w:r w:rsidRPr="00CC1650">
        <w:rPr>
          <w:rFonts w:hAnsi="標楷體" w:cs="標楷體" w:hint="eastAsia"/>
        </w:rPr>
        <w:t>近</w:t>
      </w:r>
      <w:r w:rsidRPr="00CC1650">
        <w:rPr>
          <w:rFonts w:hAnsi="標楷體" w:cs="標楷體"/>
        </w:rPr>
        <w:t>5</w:t>
      </w:r>
      <w:r w:rsidRPr="00CC1650">
        <w:rPr>
          <w:rFonts w:hAnsi="標楷體" w:cs="標楷體" w:hint="eastAsia"/>
        </w:rPr>
        <w:t>年發生債務超限情事之市縣，包括：苗栗縣</w:t>
      </w:r>
      <w:r w:rsidRPr="00CC1650">
        <w:rPr>
          <w:rFonts w:ascii="新細明體" w:eastAsia="新細明體" w:hAnsi="新細明體" w:cs="標楷體" w:hint="eastAsia"/>
        </w:rPr>
        <w:t>、</w:t>
      </w:r>
      <w:r w:rsidRPr="00CC1650">
        <w:rPr>
          <w:rFonts w:hAnsi="標楷體" w:cs="標楷體" w:hint="eastAsia"/>
        </w:rPr>
        <w:t>宜蘭縣及新竹市等，概述如下：</w:t>
      </w:r>
      <w:bookmarkEnd w:id="254"/>
      <w:bookmarkEnd w:id="255"/>
      <w:bookmarkEnd w:id="256"/>
    </w:p>
    <w:p w:rsidR="0028740F" w:rsidRPr="00CC1650" w:rsidRDefault="0028740F" w:rsidP="0028740F">
      <w:pPr>
        <w:pStyle w:val="4"/>
      </w:pPr>
      <w:r w:rsidRPr="00CC1650">
        <w:rPr>
          <w:rFonts w:hAnsi="標楷體" w:cs="標楷體" w:hint="eastAsia"/>
        </w:rPr>
        <w:t>苗栗縣</w:t>
      </w:r>
    </w:p>
    <w:p w:rsidR="0028740F" w:rsidRPr="00CC1650" w:rsidRDefault="0028740F" w:rsidP="0028740F">
      <w:pPr>
        <w:pStyle w:val="5"/>
      </w:pPr>
      <w:r w:rsidRPr="00CC1650">
        <w:rPr>
          <w:rFonts w:hint="eastAsia"/>
        </w:rPr>
        <w:t>該府</w:t>
      </w:r>
      <w:r w:rsidRPr="00CC1650">
        <w:t>100</w:t>
      </w:r>
      <w:r w:rsidRPr="00CC1650">
        <w:rPr>
          <w:rFonts w:hint="eastAsia"/>
        </w:rPr>
        <w:t>年</w:t>
      </w:r>
      <w:r w:rsidRPr="00CC1650">
        <w:t>1</w:t>
      </w:r>
      <w:r w:rsidRPr="00CC1650">
        <w:rPr>
          <w:rFonts w:hint="eastAsia"/>
        </w:rPr>
        <w:t>月底長期債務</w:t>
      </w:r>
      <w:proofErr w:type="gramStart"/>
      <w:r w:rsidRPr="00CC1650">
        <w:rPr>
          <w:rFonts w:hint="eastAsia"/>
        </w:rPr>
        <w:t>未償</w:t>
      </w:r>
      <w:proofErr w:type="gramEnd"/>
      <w:r w:rsidRPr="00CC1650">
        <w:rPr>
          <w:rFonts w:hint="eastAsia"/>
        </w:rPr>
        <w:t>餘額比率為</w:t>
      </w:r>
      <w:r w:rsidRPr="00CC1650">
        <w:t>55.15%</w:t>
      </w:r>
      <w:r w:rsidRPr="00CC1650">
        <w:rPr>
          <w:rFonts w:hint="eastAsia"/>
        </w:rPr>
        <w:t>，短期債務</w:t>
      </w:r>
      <w:proofErr w:type="gramStart"/>
      <w:r w:rsidRPr="00CC1650">
        <w:rPr>
          <w:rFonts w:hint="eastAsia"/>
        </w:rPr>
        <w:t>未償</w:t>
      </w:r>
      <w:proofErr w:type="gramEnd"/>
      <w:r w:rsidRPr="00CC1650">
        <w:rPr>
          <w:rFonts w:hint="eastAsia"/>
        </w:rPr>
        <w:t>餘額比率為</w:t>
      </w:r>
      <w:r w:rsidRPr="00CC1650">
        <w:t>36.53%</w:t>
      </w:r>
      <w:r w:rsidRPr="00CC1650">
        <w:rPr>
          <w:rFonts w:hint="eastAsia"/>
        </w:rPr>
        <w:t>，均分別超過45%及30%當時之法定上限規定。該府自100年起1月起債務超限，所報之</w:t>
      </w:r>
      <w:r w:rsidRPr="00CC1650">
        <w:rPr>
          <w:rFonts w:hAnsi="標楷體" w:hint="eastAsia"/>
        </w:rPr>
        <w:t>償債計畫於</w:t>
      </w:r>
      <w:r w:rsidRPr="00CC1650">
        <w:rPr>
          <w:rFonts w:hint="eastAsia"/>
        </w:rPr>
        <w:t>100年5月17日獲原則同意</w:t>
      </w:r>
      <w:r w:rsidRPr="00CC1650">
        <w:rPr>
          <w:rFonts w:hAnsi="標楷體" w:hint="eastAsia"/>
        </w:rPr>
        <w:t>，並依償債計畫之改正期限於100年6月底改正符合債限。</w:t>
      </w:r>
    </w:p>
    <w:p w:rsidR="0028740F" w:rsidRPr="00CC1650" w:rsidRDefault="0028740F" w:rsidP="0028740F">
      <w:pPr>
        <w:pStyle w:val="5"/>
      </w:pPr>
      <w:proofErr w:type="gramStart"/>
      <w:r w:rsidRPr="00CC1650">
        <w:rPr>
          <w:rFonts w:hint="eastAsia"/>
        </w:rPr>
        <w:t>該府復於</w:t>
      </w:r>
      <w:proofErr w:type="gramEnd"/>
      <w:r w:rsidRPr="00CC1650">
        <w:rPr>
          <w:rFonts w:hint="eastAsia"/>
        </w:rPr>
        <w:t>100年11月底短期債務再次逾法定債限，</w:t>
      </w:r>
      <w:proofErr w:type="gramStart"/>
      <w:r w:rsidRPr="00CC1650">
        <w:rPr>
          <w:rFonts w:hint="eastAsia"/>
        </w:rPr>
        <w:t>嗣</w:t>
      </w:r>
      <w:proofErr w:type="gramEnd"/>
      <w:r w:rsidRPr="00CC1650">
        <w:rPr>
          <w:rFonts w:hint="eastAsia"/>
        </w:rPr>
        <w:t>於101年1月長期、短期</w:t>
      </w:r>
      <w:proofErr w:type="gramStart"/>
      <w:r w:rsidRPr="00CC1650">
        <w:rPr>
          <w:rFonts w:hint="eastAsia"/>
        </w:rPr>
        <w:t>債務均再逾</w:t>
      </w:r>
      <w:proofErr w:type="gramEnd"/>
      <w:r w:rsidRPr="00CC1650">
        <w:rPr>
          <w:rFonts w:hint="eastAsia"/>
        </w:rPr>
        <w:t>法定債限，財政部乃於101年2月16日以行政院函請該府限期改正或提報償債計畫，該府於101年2月24日提報償債計畫，經財政部於101年4月25日以行政院函核復。該府分別於101年5月15日及6月12日修正償債計畫，經財政部評核，避免</w:t>
      </w:r>
      <w:proofErr w:type="gramStart"/>
      <w:r w:rsidRPr="00CC1650">
        <w:rPr>
          <w:rFonts w:hint="eastAsia"/>
        </w:rPr>
        <w:t>其虛編</w:t>
      </w:r>
      <w:proofErr w:type="gramEnd"/>
      <w:r w:rsidRPr="00CC1650">
        <w:rPr>
          <w:rFonts w:hint="eastAsia"/>
        </w:rPr>
        <w:t>歲出</w:t>
      </w:r>
      <w:proofErr w:type="gramStart"/>
      <w:r w:rsidRPr="00CC1650">
        <w:rPr>
          <w:rFonts w:hint="eastAsia"/>
        </w:rPr>
        <w:t>預算及衡酌</w:t>
      </w:r>
      <w:proofErr w:type="gramEnd"/>
      <w:r w:rsidRPr="00CC1650">
        <w:rPr>
          <w:rFonts w:hint="eastAsia"/>
        </w:rPr>
        <w:t>規劃償債財源之可行性後，該部</w:t>
      </w:r>
      <w:proofErr w:type="gramStart"/>
      <w:r w:rsidRPr="00CC1650">
        <w:rPr>
          <w:rFonts w:hint="eastAsia"/>
        </w:rPr>
        <w:t>爰</w:t>
      </w:r>
      <w:proofErr w:type="gramEnd"/>
      <w:r w:rsidRPr="00CC1650">
        <w:rPr>
          <w:rFonts w:hint="eastAsia"/>
        </w:rPr>
        <w:t>於101年7月2日以行政院函</w:t>
      </w:r>
      <w:proofErr w:type="gramStart"/>
      <w:r w:rsidRPr="00CC1650">
        <w:rPr>
          <w:rFonts w:hint="eastAsia"/>
        </w:rPr>
        <w:t>勉</w:t>
      </w:r>
      <w:proofErr w:type="gramEnd"/>
      <w:r w:rsidRPr="00CC1650">
        <w:rPr>
          <w:rFonts w:hint="eastAsia"/>
        </w:rPr>
        <w:t>予同意其償債計畫，應於101年12月底改正符合債限。</w:t>
      </w:r>
    </w:p>
    <w:p w:rsidR="0028740F" w:rsidRPr="00CC1650" w:rsidRDefault="0028740F" w:rsidP="0028740F">
      <w:pPr>
        <w:pStyle w:val="5"/>
      </w:pPr>
      <w:r w:rsidRPr="00CC1650">
        <w:rPr>
          <w:rFonts w:hint="eastAsia"/>
        </w:rPr>
        <w:t>該府101年8月起至11月長</w:t>
      </w:r>
      <w:r w:rsidR="00F95300" w:rsidRPr="00CC1650">
        <w:rPr>
          <w:rFonts w:hint="eastAsia"/>
        </w:rPr>
        <w:t>、</w:t>
      </w:r>
      <w:r w:rsidRPr="00CC1650">
        <w:rPr>
          <w:rFonts w:hint="eastAsia"/>
        </w:rPr>
        <w:t>短期債務</w:t>
      </w:r>
      <w:proofErr w:type="gramStart"/>
      <w:r w:rsidRPr="00CC1650">
        <w:rPr>
          <w:rFonts w:hint="eastAsia"/>
        </w:rPr>
        <w:t>未償</w:t>
      </w:r>
      <w:proofErr w:type="gramEnd"/>
      <w:r w:rsidRPr="00CC1650">
        <w:rPr>
          <w:rFonts w:hint="eastAsia"/>
        </w:rPr>
        <w:t>餘額實際數均不符101年7月2日行政院函核定償債計畫，財政部</w:t>
      </w:r>
      <w:proofErr w:type="gramStart"/>
      <w:r w:rsidRPr="00CC1650">
        <w:rPr>
          <w:rFonts w:hint="eastAsia"/>
        </w:rPr>
        <w:t>爰</w:t>
      </w:r>
      <w:proofErr w:type="gramEnd"/>
      <w:r w:rsidRPr="00CC1650">
        <w:rPr>
          <w:rFonts w:hint="eastAsia"/>
        </w:rPr>
        <w:t>於101年9月26日、10月26日、11月22日及12月20日以行政院函請該府說明，促請依上開101年7月2日行政院函核定償債計畫辦理，並由該部按月管制撥付「地方政府統籌分配稅款短少補助」，及主計</w:t>
      </w:r>
      <w:proofErr w:type="gramStart"/>
      <w:r w:rsidRPr="00CC1650">
        <w:rPr>
          <w:rFonts w:hint="eastAsia"/>
        </w:rPr>
        <w:t>總處審酌</w:t>
      </w:r>
      <w:proofErr w:type="gramEnd"/>
      <w:r w:rsidRPr="00CC1650">
        <w:rPr>
          <w:rFonts w:hint="eastAsia"/>
        </w:rPr>
        <w:t>「地方政府一般性補助款」項目及額度配合管制撥付。</w:t>
      </w:r>
    </w:p>
    <w:p w:rsidR="0028740F" w:rsidRPr="00CC1650" w:rsidRDefault="0028740F" w:rsidP="0028740F">
      <w:pPr>
        <w:pStyle w:val="5"/>
      </w:pPr>
      <w:proofErr w:type="gramStart"/>
      <w:r w:rsidRPr="00CC1650">
        <w:rPr>
          <w:rFonts w:hint="eastAsia"/>
        </w:rPr>
        <w:t>該府復於</w:t>
      </w:r>
      <w:proofErr w:type="gramEnd"/>
      <w:r w:rsidRPr="00CC1650">
        <w:rPr>
          <w:rFonts w:hint="eastAsia"/>
        </w:rPr>
        <w:t>101年12月17日提出修正償債計畫，</w:t>
      </w:r>
      <w:r w:rsidRPr="00CC1650">
        <w:rPr>
          <w:rFonts w:hint="eastAsia"/>
        </w:rPr>
        <w:lastRenderedPageBreak/>
        <w:t>然財政部認為其償債財源不明確，無法獲悉整體債務改善計畫可行性，</w:t>
      </w:r>
      <w:proofErr w:type="gramStart"/>
      <w:r w:rsidRPr="00CC1650">
        <w:rPr>
          <w:rFonts w:hint="eastAsia"/>
        </w:rPr>
        <w:t>爰</w:t>
      </w:r>
      <w:proofErr w:type="gramEnd"/>
      <w:r w:rsidRPr="00CC1650">
        <w:rPr>
          <w:rFonts w:hint="eastAsia"/>
        </w:rPr>
        <w:t>於102年1月7日以行政院函請該府重新檢討提報償債計畫。另本院102年1月17日函為苗栗縣政府創造虛假歲入歲出項目，規避公共債務法債限規定，且債務改進計畫時程冗長、態度消極，糾正財政部，該部</w:t>
      </w:r>
      <w:proofErr w:type="gramStart"/>
      <w:r w:rsidRPr="00CC1650">
        <w:rPr>
          <w:rFonts w:hint="eastAsia"/>
        </w:rPr>
        <w:t>爰</w:t>
      </w:r>
      <w:proofErr w:type="gramEnd"/>
      <w:r w:rsidRPr="00CC1650">
        <w:rPr>
          <w:rFonts w:hint="eastAsia"/>
        </w:rPr>
        <w:t>於102年3月4日再次以行政院函請該府依本院糾正案文重新</w:t>
      </w:r>
      <w:proofErr w:type="gramStart"/>
      <w:r w:rsidRPr="00CC1650">
        <w:rPr>
          <w:rFonts w:hint="eastAsia"/>
        </w:rPr>
        <w:t>研</w:t>
      </w:r>
      <w:proofErr w:type="gramEnd"/>
      <w:r w:rsidRPr="00CC1650">
        <w:rPr>
          <w:rFonts w:hint="eastAsia"/>
        </w:rPr>
        <w:t>提償債計畫。</w:t>
      </w:r>
    </w:p>
    <w:p w:rsidR="0028740F" w:rsidRPr="00CC1650" w:rsidRDefault="0028740F" w:rsidP="0028740F">
      <w:pPr>
        <w:pStyle w:val="5"/>
      </w:pPr>
      <w:r w:rsidRPr="00CC1650">
        <w:rPr>
          <w:rFonts w:hint="eastAsia"/>
        </w:rPr>
        <w:t>該府於102年3月25日、5月15日及6月20日修正償債計畫，並補充說明修正償債計畫預計標售10筆土地進度，及將</w:t>
      </w:r>
      <w:proofErr w:type="gramStart"/>
      <w:r w:rsidRPr="00CC1650">
        <w:rPr>
          <w:rFonts w:hint="eastAsia"/>
        </w:rPr>
        <w:t>賡</w:t>
      </w:r>
      <w:proofErr w:type="gramEnd"/>
      <w:r w:rsidRPr="00CC1650">
        <w:rPr>
          <w:rFonts w:hint="eastAsia"/>
        </w:rPr>
        <w:t>續努力辦理出售縣有土地，並積極開源節流，以於103年11月底改正符合債限。財政部</w:t>
      </w:r>
      <w:proofErr w:type="gramStart"/>
      <w:r w:rsidRPr="00CC1650">
        <w:rPr>
          <w:rFonts w:hint="eastAsia"/>
        </w:rPr>
        <w:t>爰</w:t>
      </w:r>
      <w:proofErr w:type="gramEnd"/>
      <w:r w:rsidRPr="00CC1650">
        <w:rPr>
          <w:rFonts w:hint="eastAsia"/>
        </w:rPr>
        <w:t>於102年7月19日以行政院函核定其償債計畫，並請該府依計畫期程改正符合債限。惟</w:t>
      </w:r>
      <w:r w:rsidRPr="00CC1650">
        <w:rPr>
          <w:rFonts w:cs="新細明體" w:hint="eastAsia"/>
          <w:kern w:val="0"/>
        </w:rPr>
        <w:t>該府自102年9月起即未依據核定之償債計畫執行，</w:t>
      </w:r>
      <w:r w:rsidRPr="00CC1650">
        <w:rPr>
          <w:rFonts w:hint="eastAsia"/>
          <w:szCs w:val="32"/>
        </w:rPr>
        <w:t>迄105年5月仍未提出具體可行之償債計畫</w:t>
      </w:r>
      <w:r w:rsidRPr="00CC1650">
        <w:rPr>
          <w:rFonts w:cs="新細明體" w:hint="eastAsia"/>
          <w:kern w:val="0"/>
        </w:rPr>
        <w:t>。</w:t>
      </w:r>
    </w:p>
    <w:p w:rsidR="0028740F" w:rsidRPr="00CC1650" w:rsidRDefault="0028740F" w:rsidP="0028740F">
      <w:pPr>
        <w:pStyle w:val="4"/>
      </w:pPr>
      <w:r w:rsidRPr="00CC1650">
        <w:rPr>
          <w:rFonts w:hAnsi="標楷體" w:cs="標楷體" w:hint="eastAsia"/>
        </w:rPr>
        <w:t>宜蘭縣</w:t>
      </w:r>
    </w:p>
    <w:p w:rsidR="0028740F" w:rsidRPr="00CC1650" w:rsidRDefault="0028740F" w:rsidP="0028740F">
      <w:pPr>
        <w:pStyle w:val="5"/>
      </w:pPr>
      <w:r w:rsidRPr="00CC1650">
        <w:rPr>
          <w:rFonts w:hAnsi="標楷體" w:cs="標楷體" w:hint="eastAsia"/>
          <w:kern w:val="0"/>
        </w:rPr>
        <w:t>該府</w:t>
      </w:r>
      <w:r w:rsidRPr="00CC1650">
        <w:rPr>
          <w:rFonts w:hAnsi="標楷體" w:cs="標楷體"/>
          <w:kern w:val="0"/>
        </w:rPr>
        <w:t>99</w:t>
      </w:r>
      <w:r w:rsidRPr="00CC1650">
        <w:rPr>
          <w:rFonts w:hAnsi="標楷體" w:cs="標楷體" w:hint="eastAsia"/>
          <w:kern w:val="0"/>
        </w:rPr>
        <w:t>年</w:t>
      </w:r>
      <w:r w:rsidRPr="00CC1650">
        <w:rPr>
          <w:rFonts w:hAnsi="標楷體" w:cs="標楷體"/>
          <w:kern w:val="0"/>
        </w:rPr>
        <w:t>10</w:t>
      </w:r>
      <w:r w:rsidRPr="00CC1650">
        <w:rPr>
          <w:rFonts w:hAnsi="標楷體" w:cs="標楷體" w:hint="eastAsia"/>
          <w:kern w:val="0"/>
        </w:rPr>
        <w:t>月</w:t>
      </w:r>
      <w:r w:rsidRPr="00CC1650">
        <w:rPr>
          <w:rFonts w:hAnsi="標楷體" w:cs="標楷體"/>
          <w:kern w:val="0"/>
        </w:rPr>
        <w:t>8</w:t>
      </w:r>
      <w:r w:rsidRPr="00CC1650">
        <w:rPr>
          <w:rFonts w:hAnsi="標楷體" w:cs="標楷體" w:hint="eastAsia"/>
          <w:kern w:val="0"/>
        </w:rPr>
        <w:t>日經本院糾正屢</w:t>
      </w:r>
      <w:proofErr w:type="gramStart"/>
      <w:r w:rsidRPr="00CC1650">
        <w:rPr>
          <w:rFonts w:hAnsi="標楷體" w:cs="標楷體" w:hint="eastAsia"/>
          <w:kern w:val="0"/>
        </w:rPr>
        <w:t>採溢列</w:t>
      </w:r>
      <w:proofErr w:type="gramEnd"/>
      <w:r w:rsidRPr="00CC1650">
        <w:rPr>
          <w:rFonts w:hAnsi="標楷體" w:cs="標楷體" w:hint="eastAsia"/>
          <w:kern w:val="0"/>
        </w:rPr>
        <w:t>補助收入擴張預算規模後，</w:t>
      </w:r>
      <w:r w:rsidRPr="00CC1650">
        <w:rPr>
          <w:rFonts w:hAnsi="標楷體" w:cs="標楷體"/>
          <w:kern w:val="0"/>
        </w:rPr>
        <w:t>100</w:t>
      </w:r>
      <w:r w:rsidRPr="00CC1650">
        <w:rPr>
          <w:rFonts w:hAnsi="標楷體" w:cs="標楷體" w:hint="eastAsia"/>
          <w:kern w:val="0"/>
        </w:rPr>
        <w:t>年起</w:t>
      </w:r>
      <w:proofErr w:type="gramStart"/>
      <w:r w:rsidRPr="00CC1650">
        <w:rPr>
          <w:rFonts w:hAnsi="標楷體" w:cs="標楷體" w:hint="eastAsia"/>
          <w:kern w:val="0"/>
        </w:rPr>
        <w:t>覈</w:t>
      </w:r>
      <w:proofErr w:type="gramEnd"/>
      <w:r w:rsidRPr="00CC1650">
        <w:rPr>
          <w:rFonts w:hAnsi="標楷體" w:cs="標楷體" w:hint="eastAsia"/>
          <w:kern w:val="0"/>
        </w:rPr>
        <w:t>實編列預算。</w:t>
      </w:r>
      <w:r w:rsidRPr="00CC1650">
        <w:rPr>
          <w:rFonts w:hAnsi="標楷體" w:cs="標楷體"/>
          <w:kern w:val="0"/>
        </w:rPr>
        <w:t>100</w:t>
      </w:r>
      <w:r w:rsidRPr="00CC1650">
        <w:rPr>
          <w:rFonts w:hAnsi="標楷體" w:cs="標楷體" w:hint="eastAsia"/>
          <w:kern w:val="0"/>
        </w:rPr>
        <w:t>年</w:t>
      </w:r>
      <w:r w:rsidRPr="00CC1650">
        <w:rPr>
          <w:rFonts w:hAnsi="標楷體" w:cs="標楷體"/>
          <w:kern w:val="0"/>
        </w:rPr>
        <w:t>1</w:t>
      </w:r>
      <w:r w:rsidRPr="00CC1650">
        <w:rPr>
          <w:rFonts w:hAnsi="標楷體" w:cs="標楷體" w:hint="eastAsia"/>
          <w:kern w:val="0"/>
        </w:rPr>
        <w:t>月歲出總額</w:t>
      </w:r>
      <w:r w:rsidRPr="00CC1650">
        <w:rPr>
          <w:rFonts w:hAnsi="標楷體" w:cs="標楷體"/>
          <w:kern w:val="0"/>
        </w:rPr>
        <w:t>(</w:t>
      </w:r>
      <w:r w:rsidRPr="00CC1650">
        <w:rPr>
          <w:rFonts w:hAnsi="標楷體" w:cs="標楷體" w:hint="eastAsia"/>
          <w:kern w:val="0"/>
        </w:rPr>
        <w:t>含保留數</w:t>
      </w:r>
      <w:r w:rsidRPr="00CC1650">
        <w:rPr>
          <w:rFonts w:hAnsi="標楷體" w:cs="標楷體"/>
          <w:kern w:val="0"/>
        </w:rPr>
        <w:t>)</w:t>
      </w:r>
      <w:r w:rsidRPr="00CC1650">
        <w:rPr>
          <w:rFonts w:hAnsi="標楷體" w:cs="標楷體" w:hint="eastAsia"/>
          <w:kern w:val="0"/>
        </w:rPr>
        <w:t>較</w:t>
      </w:r>
      <w:r w:rsidRPr="00CC1650">
        <w:rPr>
          <w:rFonts w:hAnsi="標楷體" w:cs="標楷體"/>
          <w:kern w:val="0"/>
        </w:rPr>
        <w:t>99</w:t>
      </w:r>
      <w:r w:rsidRPr="00CC1650">
        <w:rPr>
          <w:rFonts w:hAnsi="標楷體" w:cs="標楷體" w:hint="eastAsia"/>
          <w:kern w:val="0"/>
        </w:rPr>
        <w:t>年</w:t>
      </w:r>
      <w:r w:rsidRPr="00CC1650">
        <w:rPr>
          <w:rFonts w:hAnsi="標楷體" w:cs="標楷體"/>
          <w:kern w:val="0"/>
        </w:rPr>
        <w:t>12</w:t>
      </w:r>
      <w:r w:rsidRPr="00CC1650">
        <w:rPr>
          <w:rFonts w:hAnsi="標楷體" w:cs="標楷體" w:hint="eastAsia"/>
          <w:kern w:val="0"/>
        </w:rPr>
        <w:t>月大幅縮減</w:t>
      </w:r>
      <w:r w:rsidRPr="00CC1650">
        <w:rPr>
          <w:rFonts w:hAnsi="標楷體" w:cs="標楷體"/>
          <w:kern w:val="0"/>
        </w:rPr>
        <w:t>141.22</w:t>
      </w:r>
      <w:r w:rsidRPr="00CC1650">
        <w:rPr>
          <w:rFonts w:hAnsi="標楷體" w:cs="標楷體" w:hint="eastAsia"/>
          <w:kern w:val="0"/>
        </w:rPr>
        <w:t>億元，長期債務債限額度降低</w:t>
      </w:r>
      <w:r w:rsidRPr="00CC1650">
        <w:rPr>
          <w:rFonts w:hAnsi="標楷體" w:cs="標楷體"/>
          <w:kern w:val="0"/>
        </w:rPr>
        <w:t>63.54</w:t>
      </w:r>
      <w:r w:rsidRPr="00CC1650">
        <w:rPr>
          <w:rFonts w:hAnsi="標楷體" w:cs="標楷體" w:hint="eastAsia"/>
          <w:kern w:val="0"/>
        </w:rPr>
        <w:t>億元，短期債務債限額度降低</w:t>
      </w:r>
      <w:r w:rsidRPr="00CC1650">
        <w:rPr>
          <w:rFonts w:hAnsi="標楷體" w:cs="標楷體"/>
          <w:kern w:val="0"/>
        </w:rPr>
        <w:t>42.36</w:t>
      </w:r>
      <w:r w:rsidRPr="00CC1650">
        <w:rPr>
          <w:rFonts w:hAnsi="標楷體" w:cs="標楷體" w:hint="eastAsia"/>
          <w:kern w:val="0"/>
        </w:rPr>
        <w:t>億元，致</w:t>
      </w:r>
      <w:r w:rsidRPr="00CC1650">
        <w:rPr>
          <w:rFonts w:hAnsi="標楷體" w:cs="標楷體"/>
          <w:kern w:val="0"/>
        </w:rPr>
        <w:t>100</w:t>
      </w:r>
      <w:r w:rsidRPr="00CC1650">
        <w:rPr>
          <w:rFonts w:hAnsi="標楷體" w:cs="標楷體" w:hint="eastAsia"/>
          <w:kern w:val="0"/>
        </w:rPr>
        <w:t>年</w:t>
      </w:r>
      <w:r w:rsidRPr="00CC1650">
        <w:rPr>
          <w:rFonts w:hAnsi="標楷體" w:cs="標楷體"/>
          <w:kern w:val="0"/>
        </w:rPr>
        <w:t>1</w:t>
      </w:r>
      <w:r w:rsidRPr="00CC1650">
        <w:rPr>
          <w:rFonts w:hAnsi="標楷體" w:cs="標楷體" w:hint="eastAsia"/>
          <w:kern w:val="0"/>
        </w:rPr>
        <w:t>月長、短期債務比率分別上揚至</w:t>
      </w:r>
      <w:r w:rsidRPr="00CC1650">
        <w:rPr>
          <w:rFonts w:hAnsi="標楷體" w:cs="標楷體"/>
          <w:kern w:val="0"/>
        </w:rPr>
        <w:t>64.86%</w:t>
      </w:r>
      <w:r w:rsidRPr="00CC1650">
        <w:rPr>
          <w:rFonts w:hAnsi="標楷體" w:cs="標楷體" w:hint="eastAsia"/>
          <w:kern w:val="0"/>
        </w:rPr>
        <w:t>及</w:t>
      </w:r>
      <w:r w:rsidRPr="00CC1650">
        <w:rPr>
          <w:rFonts w:hAnsi="標楷體" w:cs="標楷體"/>
          <w:kern w:val="0"/>
        </w:rPr>
        <w:t>51.62%</w:t>
      </w:r>
      <w:r w:rsidRPr="00CC1650">
        <w:rPr>
          <w:rFonts w:hAnsi="標楷體" w:cs="標楷體" w:hint="eastAsia"/>
          <w:kern w:val="0"/>
        </w:rPr>
        <w:t>，超出債限規定。</w:t>
      </w:r>
    </w:p>
    <w:p w:rsidR="0028740F" w:rsidRPr="00CC1650" w:rsidRDefault="0028740F" w:rsidP="0028740F">
      <w:pPr>
        <w:pStyle w:val="5"/>
      </w:pPr>
      <w:r w:rsidRPr="00CC1650">
        <w:rPr>
          <w:rFonts w:hint="eastAsia"/>
        </w:rPr>
        <w:t>行政院102年7月15日函核定修正償債計畫，</w:t>
      </w:r>
      <w:r w:rsidRPr="00CC1650">
        <w:rPr>
          <w:rFonts w:hAnsi="標楷體" w:cs="標楷體" w:hint="eastAsia"/>
          <w:kern w:val="0"/>
        </w:rPr>
        <w:t>該府102年及103年已分別依核定數額償還債務3.9</w:t>
      </w:r>
      <w:r w:rsidRPr="00CC1650">
        <w:rPr>
          <w:rFonts w:hint="eastAsia"/>
        </w:rPr>
        <w:t>7億元及3億元，104年償債進度6.20億元於105年2月達成。</w:t>
      </w:r>
    </w:p>
    <w:p w:rsidR="0028740F" w:rsidRPr="00CC1650" w:rsidRDefault="0028740F" w:rsidP="0028740F">
      <w:pPr>
        <w:pStyle w:val="5"/>
      </w:pPr>
      <w:r w:rsidRPr="00CC1650">
        <w:rPr>
          <w:rFonts w:hAnsi="標楷體" w:cs="新細明體" w:hint="eastAsia"/>
          <w:kern w:val="0"/>
        </w:rPr>
        <w:t>該府過去達成償債目標，主要係以一次性財產</w:t>
      </w:r>
      <w:r w:rsidRPr="00CC1650">
        <w:rPr>
          <w:rFonts w:hAnsi="標楷體" w:cs="新細明體" w:hint="eastAsia"/>
          <w:kern w:val="0"/>
        </w:rPr>
        <w:lastRenderedPageBreak/>
        <w:t>處分收入</w:t>
      </w:r>
      <w:proofErr w:type="gramStart"/>
      <w:r w:rsidRPr="00CC1650">
        <w:rPr>
          <w:rFonts w:hAnsi="標楷體" w:cs="新細明體" w:hint="eastAsia"/>
          <w:kern w:val="0"/>
        </w:rPr>
        <w:t>挹</w:t>
      </w:r>
      <w:proofErr w:type="gramEnd"/>
      <w:r w:rsidRPr="00CC1650">
        <w:rPr>
          <w:rFonts w:hAnsi="標楷體" w:cs="新細明體" w:hint="eastAsia"/>
          <w:kern w:val="0"/>
        </w:rPr>
        <w:t>注。</w:t>
      </w:r>
      <w:proofErr w:type="gramStart"/>
      <w:r w:rsidRPr="00CC1650">
        <w:rPr>
          <w:rFonts w:hAnsi="標楷體" w:cs="新細明體" w:hint="eastAsia"/>
          <w:kern w:val="0"/>
        </w:rPr>
        <w:t>該府原經</w:t>
      </w:r>
      <w:proofErr w:type="gramEnd"/>
      <w:r w:rsidRPr="00CC1650">
        <w:rPr>
          <w:rFonts w:hAnsi="標楷體" w:cs="新細明體" w:hint="eastAsia"/>
          <w:kern w:val="0"/>
        </w:rPr>
        <w:t>行政院核定之償債</w:t>
      </w:r>
      <w:r w:rsidRPr="00CC1650">
        <w:rPr>
          <w:rFonts w:hint="eastAsia"/>
        </w:rPr>
        <w:t>計畫</w:t>
      </w:r>
      <w:r w:rsidRPr="00CC1650">
        <w:rPr>
          <w:rFonts w:hAnsi="標楷體" w:cs="新細明體" w:hint="eastAsia"/>
          <w:kern w:val="0"/>
        </w:rPr>
        <w:t>，係將財政收支劃分法修法通過後，市縣所增加之財政收入納入規劃。惟該法修正案</w:t>
      </w:r>
      <w:proofErr w:type="gramStart"/>
      <w:r w:rsidRPr="00CC1650">
        <w:rPr>
          <w:rFonts w:hAnsi="標楷體" w:cs="新細明體" w:hint="eastAsia"/>
          <w:kern w:val="0"/>
        </w:rPr>
        <w:t>迄未完成修法</w:t>
      </w:r>
      <w:proofErr w:type="gramEnd"/>
      <w:r w:rsidRPr="00CC1650">
        <w:rPr>
          <w:rFonts w:hAnsi="標楷體" w:cs="新細明體" w:hint="eastAsia"/>
          <w:kern w:val="0"/>
        </w:rPr>
        <w:t>，該府未來償債額度(105至108年度償還8.7億元~14.8億元)恐無法因應，</w:t>
      </w:r>
      <w:proofErr w:type="gramStart"/>
      <w:r w:rsidRPr="00CC1650">
        <w:rPr>
          <w:rFonts w:hAnsi="標楷體" w:cs="新細明體" w:hint="eastAsia"/>
          <w:kern w:val="0"/>
        </w:rPr>
        <w:t>該府乃於</w:t>
      </w:r>
      <w:proofErr w:type="gramEnd"/>
      <w:r w:rsidRPr="00CC1650">
        <w:rPr>
          <w:rFonts w:hAnsi="標楷體" w:cs="新細明體" w:hint="eastAsia"/>
          <w:kern w:val="0"/>
        </w:rPr>
        <w:t>104年11月30日提報修正償債計畫，經該府公共債務管理委員會審議通過後陳報修正。</w:t>
      </w:r>
    </w:p>
    <w:p w:rsidR="0028740F" w:rsidRPr="00CC1650" w:rsidRDefault="0028740F" w:rsidP="0028740F">
      <w:pPr>
        <w:pStyle w:val="5"/>
      </w:pPr>
      <w:r w:rsidRPr="00CC1650">
        <w:rPr>
          <w:rFonts w:hAnsi="標楷體" w:cs="新細明體" w:hint="eastAsia"/>
          <w:kern w:val="0"/>
        </w:rPr>
        <w:t>案經財政部105年1月29日以行政院核定該府修正償債計畫，自105年起每年至少償還4億元，預估長期債務於112年、短期債務於118年改正符合債限。</w:t>
      </w:r>
    </w:p>
    <w:p w:rsidR="0028740F" w:rsidRPr="00CC1650" w:rsidRDefault="0028740F" w:rsidP="0028740F">
      <w:pPr>
        <w:pStyle w:val="4"/>
      </w:pPr>
      <w:r w:rsidRPr="00CC1650">
        <w:rPr>
          <w:rFonts w:hAnsi="標楷體" w:cs="標楷體" w:hint="eastAsia"/>
        </w:rPr>
        <w:t>新竹市</w:t>
      </w:r>
    </w:p>
    <w:p w:rsidR="0028740F" w:rsidRPr="00CC1650" w:rsidRDefault="0028740F" w:rsidP="0028740F">
      <w:pPr>
        <w:pStyle w:val="5"/>
      </w:pPr>
      <w:r w:rsidRPr="00CC1650">
        <w:rPr>
          <w:rFonts w:hint="eastAsia"/>
        </w:rPr>
        <w:t>該府</w:t>
      </w:r>
      <w:r w:rsidRPr="00CC1650">
        <w:t>99</w:t>
      </w:r>
      <w:r w:rsidRPr="00CC1650">
        <w:rPr>
          <w:rFonts w:hint="eastAsia"/>
        </w:rPr>
        <w:t>年</w:t>
      </w:r>
      <w:r w:rsidRPr="00CC1650">
        <w:t>6</w:t>
      </w:r>
      <w:r w:rsidRPr="00CC1650">
        <w:rPr>
          <w:rFonts w:hint="eastAsia"/>
        </w:rPr>
        <w:t>月債務開始超限時，長期債務</w:t>
      </w:r>
      <w:r w:rsidRPr="00CC1650">
        <w:t>(</w:t>
      </w:r>
      <w:r w:rsidRPr="00CC1650">
        <w:rPr>
          <w:rFonts w:hint="eastAsia"/>
        </w:rPr>
        <w:t>含沿海</w:t>
      </w:r>
      <w:r w:rsidRPr="00CC1650">
        <w:t>17</w:t>
      </w:r>
      <w:r w:rsidRPr="00CC1650">
        <w:rPr>
          <w:rFonts w:hint="eastAsia"/>
        </w:rPr>
        <w:t>公里觀光帶建設基金債務</w:t>
      </w:r>
      <w:r w:rsidRPr="00CC1650">
        <w:t>)</w:t>
      </w:r>
      <w:proofErr w:type="gramStart"/>
      <w:r w:rsidRPr="00CC1650">
        <w:rPr>
          <w:rFonts w:hint="eastAsia"/>
        </w:rPr>
        <w:t>未償</w:t>
      </w:r>
      <w:proofErr w:type="gramEnd"/>
      <w:r w:rsidRPr="00CC1650">
        <w:rPr>
          <w:rFonts w:hint="eastAsia"/>
        </w:rPr>
        <w:t>餘額實際數為</w:t>
      </w:r>
      <w:r w:rsidRPr="00CC1650">
        <w:t>104.20</w:t>
      </w:r>
      <w:r w:rsidRPr="00CC1650">
        <w:rPr>
          <w:rFonts w:hint="eastAsia"/>
        </w:rPr>
        <w:t>億元，已於</w:t>
      </w:r>
      <w:r w:rsidRPr="00CC1650">
        <w:t>102</w:t>
      </w:r>
      <w:r w:rsidRPr="00CC1650">
        <w:rPr>
          <w:rFonts w:hint="eastAsia"/>
        </w:rPr>
        <w:t>年</w:t>
      </w:r>
      <w:r w:rsidRPr="00CC1650">
        <w:t>2</w:t>
      </w:r>
      <w:r w:rsidRPr="00CC1650">
        <w:rPr>
          <w:rFonts w:hint="eastAsia"/>
        </w:rPr>
        <w:t>月改正符合債限。</w:t>
      </w:r>
    </w:p>
    <w:p w:rsidR="0028740F" w:rsidRPr="00CC1650" w:rsidRDefault="0028740F" w:rsidP="0028740F">
      <w:pPr>
        <w:pStyle w:val="5"/>
      </w:pPr>
      <w:r w:rsidRPr="00CC1650">
        <w:rPr>
          <w:rFonts w:hAnsi="標楷體" w:cs="標楷體" w:hint="eastAsia"/>
          <w:kern w:val="0"/>
        </w:rPr>
        <w:t>該府截至</w:t>
      </w:r>
      <w:r w:rsidRPr="00CC1650">
        <w:rPr>
          <w:rFonts w:hAnsi="標楷體" w:cs="標楷體"/>
          <w:kern w:val="0"/>
        </w:rPr>
        <w:t>10</w:t>
      </w:r>
      <w:r w:rsidRPr="00CC1650">
        <w:rPr>
          <w:rFonts w:hAnsi="標楷體" w:cs="標楷體" w:hint="eastAsia"/>
          <w:kern w:val="0"/>
        </w:rPr>
        <w:t>5年4月底長期債務</w:t>
      </w:r>
      <w:proofErr w:type="gramStart"/>
      <w:r w:rsidRPr="00CC1650">
        <w:rPr>
          <w:rFonts w:hAnsi="標楷體" w:cs="標楷體" w:hint="eastAsia"/>
          <w:kern w:val="0"/>
        </w:rPr>
        <w:t>未償</w:t>
      </w:r>
      <w:proofErr w:type="gramEnd"/>
      <w:r w:rsidRPr="00CC1650">
        <w:rPr>
          <w:rFonts w:hAnsi="標楷體" w:cs="標楷體" w:hint="eastAsia"/>
          <w:kern w:val="0"/>
        </w:rPr>
        <w:t>餘額比率</w:t>
      </w:r>
      <w:r w:rsidRPr="00CC1650">
        <w:rPr>
          <w:rFonts w:hAnsi="標楷體" w:cs="標楷體"/>
          <w:kern w:val="0"/>
        </w:rPr>
        <w:t>4</w:t>
      </w:r>
      <w:r w:rsidRPr="00CC1650">
        <w:rPr>
          <w:rFonts w:hAnsi="標楷體" w:cs="標楷體" w:hint="eastAsia"/>
          <w:kern w:val="0"/>
        </w:rPr>
        <w:t>1</w:t>
      </w:r>
      <w:r w:rsidRPr="00CC1650">
        <w:rPr>
          <w:rFonts w:hAnsi="標楷體" w:cs="標楷體"/>
          <w:kern w:val="0"/>
        </w:rPr>
        <w:t>.</w:t>
      </w:r>
      <w:r w:rsidRPr="00CC1650">
        <w:rPr>
          <w:rFonts w:hAnsi="標楷體" w:cs="標楷體" w:hint="eastAsia"/>
          <w:kern w:val="0"/>
        </w:rPr>
        <w:t>79</w:t>
      </w:r>
      <w:r w:rsidRPr="00CC1650">
        <w:rPr>
          <w:rFonts w:hAnsi="標楷體" w:cs="標楷體"/>
          <w:kern w:val="0"/>
        </w:rPr>
        <w:t>%</w:t>
      </w:r>
      <w:r w:rsidRPr="00CC1650">
        <w:rPr>
          <w:rFonts w:hAnsi="標楷體" w:cs="標楷體" w:hint="eastAsia"/>
          <w:kern w:val="0"/>
        </w:rPr>
        <w:t>，短期債務</w:t>
      </w:r>
      <w:proofErr w:type="gramStart"/>
      <w:r w:rsidRPr="00CC1650">
        <w:rPr>
          <w:rFonts w:hAnsi="標楷體" w:cs="標楷體" w:hint="eastAsia"/>
          <w:kern w:val="0"/>
        </w:rPr>
        <w:t>未償</w:t>
      </w:r>
      <w:proofErr w:type="gramEnd"/>
      <w:r w:rsidRPr="00CC1650">
        <w:rPr>
          <w:rFonts w:hAnsi="標楷體" w:cs="標楷體" w:hint="eastAsia"/>
          <w:kern w:val="0"/>
        </w:rPr>
        <w:t>餘額比率2</w:t>
      </w:r>
      <w:r w:rsidRPr="00CC1650">
        <w:rPr>
          <w:rFonts w:hAnsi="標楷體" w:cs="標楷體"/>
          <w:kern w:val="0"/>
        </w:rPr>
        <w:t>1.</w:t>
      </w:r>
      <w:r w:rsidRPr="00CC1650">
        <w:rPr>
          <w:rFonts w:hAnsi="標楷體" w:cs="標楷體" w:hint="eastAsia"/>
          <w:kern w:val="0"/>
        </w:rPr>
        <w:t>13</w:t>
      </w:r>
      <w:r w:rsidRPr="00CC1650">
        <w:rPr>
          <w:rFonts w:hAnsi="標楷體" w:cs="標楷體"/>
          <w:kern w:val="0"/>
        </w:rPr>
        <w:t>%</w:t>
      </w:r>
      <w:r w:rsidRPr="00CC1650">
        <w:rPr>
          <w:rFonts w:hAnsi="標楷體" w:cs="標楷體" w:hint="eastAsia"/>
          <w:kern w:val="0"/>
        </w:rPr>
        <w:t>，</w:t>
      </w:r>
      <w:proofErr w:type="gramStart"/>
      <w:r w:rsidRPr="00CC1650">
        <w:rPr>
          <w:rFonts w:hAnsi="標楷體" w:cs="標楷體" w:hint="eastAsia"/>
          <w:kern w:val="0"/>
        </w:rPr>
        <w:t>均未違反</w:t>
      </w:r>
      <w:proofErr w:type="gramEnd"/>
      <w:r w:rsidRPr="00CC1650">
        <w:rPr>
          <w:rFonts w:hAnsi="標楷體" w:cs="標楷體" w:hint="eastAsia"/>
          <w:kern w:val="0"/>
        </w:rPr>
        <w:t>公共債務法債規定及債務達預警之情形。</w:t>
      </w:r>
    </w:p>
    <w:p w:rsidR="0028740F" w:rsidRPr="00CC1650" w:rsidRDefault="0028740F" w:rsidP="0028740F">
      <w:pPr>
        <w:pStyle w:val="3"/>
        <w:kinsoku w:val="0"/>
        <w:overflowPunct/>
        <w:autoSpaceDE/>
        <w:autoSpaceDN/>
        <w:ind w:left="1360" w:hanging="680"/>
      </w:pPr>
      <w:bookmarkStart w:id="257" w:name="_Toc454877633"/>
      <w:bookmarkStart w:id="258" w:name="_Toc454884690"/>
      <w:bookmarkStart w:id="259" w:name="_Toc455056229"/>
      <w:r w:rsidRPr="00CC1650">
        <w:rPr>
          <w:rFonts w:hint="eastAsia"/>
        </w:rPr>
        <w:t>103年以後，依新修正施行之公共債務法第6條規定，長期債務</w:t>
      </w:r>
      <w:proofErr w:type="gramStart"/>
      <w:r w:rsidRPr="00CC1650">
        <w:rPr>
          <w:rFonts w:hint="eastAsia"/>
        </w:rPr>
        <w:t>未償</w:t>
      </w:r>
      <w:proofErr w:type="gramEnd"/>
      <w:r w:rsidRPr="00CC1650">
        <w:rPr>
          <w:rFonts w:hint="eastAsia"/>
        </w:rPr>
        <w:t>餘額</w:t>
      </w:r>
      <w:proofErr w:type="gramStart"/>
      <w:r w:rsidRPr="00CC1650">
        <w:rPr>
          <w:rFonts w:hint="eastAsia"/>
        </w:rPr>
        <w:t>已達債限</w:t>
      </w:r>
      <w:proofErr w:type="gramEnd"/>
      <w:r w:rsidRPr="00CC1650">
        <w:rPr>
          <w:rFonts w:hint="eastAsia"/>
        </w:rPr>
        <w:t>90%，並提出債務改善計畫及時程表之</w:t>
      </w:r>
      <w:r w:rsidRPr="00CC1650">
        <w:rPr>
          <w:rFonts w:cs="標楷體" w:hint="eastAsia"/>
        </w:rPr>
        <w:t>縣（市），包括：</w:t>
      </w:r>
      <w:r w:rsidRPr="00CC1650">
        <w:rPr>
          <w:rFonts w:hint="eastAsia"/>
        </w:rPr>
        <w:t>基隆市</w:t>
      </w:r>
      <w:r w:rsidRPr="00CC1650">
        <w:rPr>
          <w:rFonts w:ascii="新細明體" w:eastAsia="新細明體" w:hAnsi="新細明體" w:cs="標楷體" w:hint="eastAsia"/>
        </w:rPr>
        <w:t>、</w:t>
      </w:r>
      <w:r w:rsidRPr="00CC1650">
        <w:rPr>
          <w:rFonts w:hint="eastAsia"/>
        </w:rPr>
        <w:t>南投縣</w:t>
      </w:r>
      <w:r w:rsidRPr="00CC1650">
        <w:rPr>
          <w:rFonts w:ascii="新細明體" w:eastAsia="新細明體" w:hAnsi="新細明體" w:hint="eastAsia"/>
        </w:rPr>
        <w:t>、</w:t>
      </w:r>
      <w:r w:rsidRPr="00CC1650">
        <w:rPr>
          <w:rFonts w:hint="eastAsia"/>
        </w:rPr>
        <w:t>雲林縣</w:t>
      </w:r>
      <w:r w:rsidRPr="00CC1650">
        <w:rPr>
          <w:rFonts w:ascii="新細明體" w:eastAsia="新細明體" w:hAnsi="新細明體" w:hint="eastAsia"/>
        </w:rPr>
        <w:t>、</w:t>
      </w:r>
      <w:r w:rsidRPr="00CC1650">
        <w:rPr>
          <w:rFonts w:hint="eastAsia"/>
        </w:rPr>
        <w:t>嘉義縣</w:t>
      </w:r>
      <w:r w:rsidRPr="00CC1650">
        <w:rPr>
          <w:rFonts w:cs="標楷體" w:hint="eastAsia"/>
        </w:rPr>
        <w:t>及</w:t>
      </w:r>
      <w:r w:rsidRPr="00CC1650">
        <w:rPr>
          <w:rFonts w:hint="eastAsia"/>
        </w:rPr>
        <w:t>屏東縣等</w:t>
      </w:r>
      <w:r w:rsidRPr="00CC1650">
        <w:rPr>
          <w:rFonts w:cs="標楷體" w:hint="eastAsia"/>
        </w:rPr>
        <w:t>。其中</w:t>
      </w:r>
      <w:r w:rsidRPr="00CC1650">
        <w:rPr>
          <w:rFonts w:hint="eastAsia"/>
        </w:rPr>
        <w:t>雲林縣截至</w:t>
      </w:r>
      <w:r w:rsidRPr="00CC1650">
        <w:t>104</w:t>
      </w:r>
      <w:r w:rsidRPr="00CC1650">
        <w:rPr>
          <w:rFonts w:hint="eastAsia"/>
        </w:rPr>
        <w:t>年</w:t>
      </w:r>
      <w:r w:rsidRPr="00CC1650">
        <w:t>6</w:t>
      </w:r>
      <w:r w:rsidRPr="00CC1650">
        <w:rPr>
          <w:rFonts w:hint="eastAsia"/>
        </w:rPr>
        <w:t>月底</w:t>
      </w:r>
      <w:proofErr w:type="gramStart"/>
      <w:r w:rsidRPr="00CC1650">
        <w:rPr>
          <w:rFonts w:hint="eastAsia"/>
        </w:rPr>
        <w:t>未償</w:t>
      </w:r>
      <w:proofErr w:type="gramEnd"/>
      <w:r w:rsidRPr="00CC1650">
        <w:rPr>
          <w:rFonts w:hint="eastAsia"/>
        </w:rPr>
        <w:t>餘額預算數及實際數之債務比率較行政院核定之計畫略高</w:t>
      </w:r>
      <w:r w:rsidRPr="00CC1650">
        <w:t>0.01</w:t>
      </w:r>
      <w:r w:rsidRPr="00CC1650">
        <w:rPr>
          <w:rFonts w:hint="eastAsia"/>
        </w:rPr>
        <w:t>個百分點，</w:t>
      </w:r>
      <w:proofErr w:type="gramStart"/>
      <w:r w:rsidRPr="00CC1650">
        <w:rPr>
          <w:rFonts w:hint="eastAsia"/>
        </w:rPr>
        <w:t>業請該</w:t>
      </w:r>
      <w:proofErr w:type="gramEnd"/>
      <w:r w:rsidRPr="00CC1650">
        <w:rPr>
          <w:rFonts w:hint="eastAsia"/>
        </w:rPr>
        <w:t>府檢視修正債務改善期程表，提報公共債務管理委員會議確認後函報財政部；嘉義縣之債務改善計畫，經審</w:t>
      </w:r>
      <w:r w:rsidRPr="00CC1650">
        <w:rPr>
          <w:rFonts w:cs="細明體" w:hint="eastAsia"/>
        </w:rPr>
        <w:t>查</w:t>
      </w:r>
      <w:r w:rsidRPr="00CC1650">
        <w:rPr>
          <w:rFonts w:cs="MS Mincho" w:hint="eastAsia"/>
        </w:rPr>
        <w:t>未符合公共債務管理委員會</w:t>
      </w:r>
      <w:r w:rsidRPr="00CC1650">
        <w:rPr>
          <w:rFonts w:hint="eastAsia"/>
        </w:rPr>
        <w:t>審議規則之規定，已函請重新提報債務改善計畫及期程表；屏東縣之債務改善計畫，經審</w:t>
      </w:r>
      <w:r w:rsidRPr="00CC1650">
        <w:rPr>
          <w:rFonts w:cs="細明體" w:hint="eastAsia"/>
        </w:rPr>
        <w:t>查</w:t>
      </w:r>
      <w:r w:rsidRPr="00CC1650">
        <w:rPr>
          <w:rFonts w:cs="MS Mincho" w:hint="eastAsia"/>
        </w:rPr>
        <w:t>未符合公共債務管理委員會</w:t>
      </w:r>
      <w:r w:rsidRPr="00CC1650">
        <w:rPr>
          <w:rFonts w:hint="eastAsia"/>
        </w:rPr>
        <w:t>審議規則之規定，將函請重新提報債務改善計畫及</w:t>
      </w:r>
      <w:r w:rsidRPr="00CC1650">
        <w:rPr>
          <w:rFonts w:hint="eastAsia"/>
        </w:rPr>
        <w:lastRenderedPageBreak/>
        <w:t>期程表。依財政部之統計資料，屏東縣105年4月</w:t>
      </w:r>
      <w:r w:rsidR="00A357AF" w:rsidRPr="00CC1650">
        <w:rPr>
          <w:rFonts w:hint="eastAsia"/>
        </w:rPr>
        <w:t>1年</w:t>
      </w:r>
      <w:r w:rsidRPr="00CC1650">
        <w:rPr>
          <w:rFonts w:hAnsi="標楷體" w:cs="HiddenHorzOCR" w:hint="eastAsia"/>
          <w:szCs w:val="32"/>
        </w:rPr>
        <w:t>以上非自償債</w:t>
      </w:r>
      <w:proofErr w:type="gramStart"/>
      <w:r w:rsidRPr="00CC1650">
        <w:rPr>
          <w:rFonts w:hAnsi="標楷體" w:cs="HiddenHorzOCR" w:hint="eastAsia"/>
          <w:szCs w:val="32"/>
        </w:rPr>
        <w:t>務</w:t>
      </w:r>
      <w:proofErr w:type="gramEnd"/>
      <w:r w:rsidRPr="00CC1650">
        <w:rPr>
          <w:rFonts w:hAnsi="標楷體" w:cs="HiddenHorzOCR" w:hint="eastAsia"/>
          <w:szCs w:val="32"/>
        </w:rPr>
        <w:t>比率已達</w:t>
      </w:r>
      <w:r w:rsidRPr="00CC1650">
        <w:rPr>
          <w:rFonts w:hint="eastAsia"/>
        </w:rPr>
        <w:t>50.24%，超過目前50%之債限。</w:t>
      </w:r>
      <w:bookmarkEnd w:id="257"/>
      <w:bookmarkEnd w:id="258"/>
      <w:bookmarkEnd w:id="259"/>
    </w:p>
    <w:p w:rsidR="0028740F" w:rsidRPr="00CC1650" w:rsidRDefault="0028740F" w:rsidP="0028740F">
      <w:pPr>
        <w:pStyle w:val="3"/>
        <w:kinsoku w:val="0"/>
        <w:overflowPunct/>
        <w:autoSpaceDE/>
        <w:autoSpaceDN/>
        <w:ind w:left="1360" w:hanging="680"/>
      </w:pPr>
      <w:bookmarkStart w:id="260" w:name="_Toc454877634"/>
      <w:bookmarkStart w:id="261" w:name="_Toc454884691"/>
      <w:bookmarkStart w:id="262" w:name="_Toc455056230"/>
      <w:r w:rsidRPr="00CC1650">
        <w:rPr>
          <w:rFonts w:hint="eastAsia"/>
        </w:rPr>
        <w:t>為防止各級政府之過度舉債，不利政府之財政</w:t>
      </w:r>
      <w:proofErr w:type="gramStart"/>
      <w:r w:rsidRPr="00CC1650">
        <w:rPr>
          <w:rFonts w:hint="eastAsia"/>
        </w:rPr>
        <w:t>健全，</w:t>
      </w:r>
      <w:proofErr w:type="gramEnd"/>
      <w:r w:rsidRPr="00CC1650">
        <w:rPr>
          <w:rFonts w:hint="eastAsia"/>
        </w:rPr>
        <w:t>公共債務法明定相關債務比率之上限，以約束各級政府之債務規模。對於</w:t>
      </w:r>
      <w:r w:rsidRPr="00CC1650">
        <w:rPr>
          <w:rFonts w:hAnsi="標楷體" w:cs="標楷體" w:hint="eastAsia"/>
        </w:rPr>
        <w:t>債務比率違反上限規定者，即要求其</w:t>
      </w:r>
      <w:r w:rsidRPr="00CC1650">
        <w:rPr>
          <w:rFonts w:hint="eastAsia"/>
        </w:rPr>
        <w:t>提報相關償債或改善計畫及時程表，以期</w:t>
      </w:r>
      <w:r w:rsidRPr="00CC1650">
        <w:rPr>
          <w:rFonts w:hAnsi="標楷體" w:cs="標楷體" w:hint="eastAsia"/>
        </w:rPr>
        <w:t>債務比率違反或接近上限規定</w:t>
      </w:r>
      <w:r w:rsidRPr="00CC1650">
        <w:rPr>
          <w:rFonts w:hint="eastAsia"/>
        </w:rPr>
        <w:t>之相關政府積極正視債務問題並逐年改善財政狀況。依財政部提供之資料，最</w:t>
      </w:r>
      <w:r w:rsidRPr="00CC1650">
        <w:rPr>
          <w:rFonts w:hAnsi="標楷體" w:cs="標楷體" w:hint="eastAsia"/>
        </w:rPr>
        <w:t>近</w:t>
      </w:r>
      <w:r w:rsidRPr="00CC1650">
        <w:rPr>
          <w:rFonts w:hAnsi="標楷體" w:cs="標楷體"/>
        </w:rPr>
        <w:t>5</w:t>
      </w:r>
      <w:r w:rsidRPr="00CC1650">
        <w:rPr>
          <w:rFonts w:hAnsi="標楷體" w:cs="標楷體" w:hint="eastAsia"/>
        </w:rPr>
        <w:t>年發生債務超限情事之市縣，包括：苗栗縣</w:t>
      </w:r>
      <w:r w:rsidRPr="00CC1650">
        <w:rPr>
          <w:rFonts w:ascii="新細明體" w:eastAsia="新細明體" w:hAnsi="新細明體" w:cs="標楷體" w:hint="eastAsia"/>
        </w:rPr>
        <w:t>、</w:t>
      </w:r>
      <w:r w:rsidRPr="00CC1650">
        <w:rPr>
          <w:rFonts w:hAnsi="標楷體" w:cs="標楷體" w:hint="eastAsia"/>
        </w:rPr>
        <w:t>宜蘭縣及新竹市等3縣(市)，目前除新竹市已符合</w:t>
      </w:r>
      <w:r w:rsidRPr="00CC1650">
        <w:rPr>
          <w:rFonts w:hint="eastAsia"/>
        </w:rPr>
        <w:t>公共債務法之債務比率上限規定</w:t>
      </w:r>
      <w:r w:rsidRPr="00CC1650">
        <w:rPr>
          <w:rFonts w:hAnsi="標楷體" w:cs="標楷體" w:hint="eastAsia"/>
        </w:rPr>
        <w:t>外，苗栗縣及宜蘭縣仍超過上限規定。宜蘭縣</w:t>
      </w:r>
      <w:r w:rsidRPr="00CC1650">
        <w:rPr>
          <w:rFonts w:hAnsi="標楷體" w:cs="新細明體" w:hint="eastAsia"/>
        </w:rPr>
        <w:t>經核定之修正償債計畫，過去能順利達成償債目標，主要係以一次性財產處分收入</w:t>
      </w:r>
      <w:proofErr w:type="gramStart"/>
      <w:r w:rsidRPr="00CC1650">
        <w:rPr>
          <w:rFonts w:hAnsi="標楷體" w:cs="新細明體" w:hint="eastAsia"/>
        </w:rPr>
        <w:t>挹</w:t>
      </w:r>
      <w:proofErr w:type="gramEnd"/>
      <w:r w:rsidRPr="00CC1650">
        <w:rPr>
          <w:rFonts w:hAnsi="標楷體" w:cs="新細明體" w:hint="eastAsia"/>
        </w:rPr>
        <w:t>注；且該府於財政收支劃分法修法完成前，即將若其通過後可增加之財政收入納入償債規劃中，惟該法修正案</w:t>
      </w:r>
      <w:proofErr w:type="gramStart"/>
      <w:r w:rsidRPr="00CC1650">
        <w:rPr>
          <w:rFonts w:hAnsi="標楷體" w:cs="新細明體" w:hint="eastAsia"/>
        </w:rPr>
        <w:t>迄未完成修法</w:t>
      </w:r>
      <w:proofErr w:type="gramEnd"/>
      <w:r w:rsidRPr="00CC1650">
        <w:rPr>
          <w:rFonts w:hAnsi="標楷體" w:cs="新細明體" w:hint="eastAsia"/>
        </w:rPr>
        <w:t>，乃被迫再修正償債計畫，將償債時程大幅後延，預估長期債務須至112年、短期債務須至118年始能改正，</w:t>
      </w:r>
      <w:proofErr w:type="gramStart"/>
      <w:r w:rsidRPr="00CC1650">
        <w:rPr>
          <w:rFonts w:hAnsi="標楷體" w:cs="新細明體" w:hint="eastAsia"/>
        </w:rPr>
        <w:t>即尚需</w:t>
      </w:r>
      <w:proofErr w:type="gramEnd"/>
      <w:r w:rsidRPr="00CC1650">
        <w:rPr>
          <w:rFonts w:hAnsi="標楷體" w:cs="新細明體" w:hint="eastAsia"/>
        </w:rPr>
        <w:t>再經過長達13年時間，</w:t>
      </w:r>
      <w:proofErr w:type="gramStart"/>
      <w:r w:rsidRPr="00CC1650">
        <w:rPr>
          <w:rFonts w:hAnsi="標楷體" w:cs="新細明體" w:hint="eastAsia"/>
        </w:rPr>
        <w:t>該府始能</w:t>
      </w:r>
      <w:proofErr w:type="gramEnd"/>
      <w:r w:rsidRPr="00CC1650">
        <w:rPr>
          <w:rFonts w:hAnsi="標楷體" w:cs="新細明體" w:hint="eastAsia"/>
        </w:rPr>
        <w:t>有機會符合債限規定，難認積極。</w:t>
      </w:r>
      <w:r w:rsidRPr="00CC1650">
        <w:rPr>
          <w:rFonts w:hAnsi="標楷體" w:cs="標楷體" w:hint="eastAsia"/>
        </w:rPr>
        <w:t>苗栗縣</w:t>
      </w:r>
      <w:r w:rsidRPr="00CC1650">
        <w:rPr>
          <w:rFonts w:cs="新細明體" w:hint="eastAsia"/>
        </w:rPr>
        <w:t>雖曾提出</w:t>
      </w:r>
      <w:r w:rsidRPr="00CC1650">
        <w:rPr>
          <w:rFonts w:hint="eastAsia"/>
          <w:szCs w:val="32"/>
        </w:rPr>
        <w:t>償債計畫，然不斷逾越法定債限，縱提出修正償債計畫並經核定，惟</w:t>
      </w:r>
      <w:r w:rsidRPr="00CC1650">
        <w:rPr>
          <w:rFonts w:cs="新細明體" w:hint="eastAsia"/>
        </w:rPr>
        <w:t>自102年9月起即未能依據核定之償債計畫執行，計畫猶如空言，</w:t>
      </w:r>
      <w:r w:rsidRPr="00CC1650">
        <w:rPr>
          <w:rFonts w:hint="eastAsia"/>
          <w:szCs w:val="32"/>
        </w:rPr>
        <w:t>迄105年5月仍未能提報具體可行之償債計畫，持續違反法定債限規定，而政府亦顯束手無策，核有未當</w:t>
      </w:r>
      <w:r w:rsidRPr="00CC1650">
        <w:rPr>
          <w:rFonts w:hAnsi="標楷體" w:cs="新細明體" w:hint="eastAsia"/>
        </w:rPr>
        <w:t>。行政院允應</w:t>
      </w:r>
      <w:r w:rsidRPr="00CC1650">
        <w:rPr>
          <w:rFonts w:hAnsi="標楷體" w:hint="eastAsia"/>
          <w:szCs w:val="32"/>
        </w:rPr>
        <w:t>加強督促</w:t>
      </w:r>
      <w:r w:rsidRPr="00CC1650">
        <w:rPr>
          <w:rFonts w:hAnsi="標楷體" w:cs="標楷體" w:hint="eastAsia"/>
        </w:rPr>
        <w:t>苗栗縣續</w:t>
      </w:r>
      <w:r w:rsidRPr="00CC1650">
        <w:rPr>
          <w:rFonts w:hint="eastAsia"/>
          <w:szCs w:val="32"/>
        </w:rPr>
        <w:t>提具體可行之償債計畫，並</w:t>
      </w:r>
      <w:r w:rsidRPr="00CC1650">
        <w:rPr>
          <w:rFonts w:hAnsi="標楷體" w:hint="eastAsia"/>
          <w:szCs w:val="32"/>
        </w:rPr>
        <w:t>督促</w:t>
      </w:r>
      <w:r w:rsidRPr="00CC1650">
        <w:rPr>
          <w:rFonts w:hAnsi="標楷體" w:cs="標楷體" w:hint="eastAsia"/>
        </w:rPr>
        <w:t>宜蘭縣積極</w:t>
      </w:r>
      <w:r w:rsidRPr="00CC1650">
        <w:rPr>
          <w:rFonts w:hint="eastAsia"/>
          <w:szCs w:val="32"/>
        </w:rPr>
        <w:t>償債</w:t>
      </w:r>
      <w:r w:rsidRPr="00CC1650">
        <w:rPr>
          <w:rFonts w:hAnsi="標楷體" w:cs="標楷體" w:hint="eastAsia"/>
        </w:rPr>
        <w:t>，</w:t>
      </w:r>
      <w:r w:rsidRPr="00CC1650">
        <w:rPr>
          <w:rFonts w:hAnsi="標楷體" w:hint="eastAsia"/>
          <w:szCs w:val="32"/>
        </w:rPr>
        <w:t>以改善渠等之財政狀況，</w:t>
      </w:r>
      <w:proofErr w:type="gramStart"/>
      <w:r w:rsidRPr="00CC1650">
        <w:rPr>
          <w:rFonts w:hAnsi="標楷體" w:hint="eastAsia"/>
          <w:szCs w:val="32"/>
        </w:rPr>
        <w:t>俾</w:t>
      </w:r>
      <w:proofErr w:type="gramEnd"/>
      <w:r w:rsidRPr="00CC1650">
        <w:rPr>
          <w:rFonts w:hAnsi="標楷體" w:hint="eastAsia"/>
          <w:szCs w:val="32"/>
        </w:rPr>
        <w:t>符法令規範</w:t>
      </w:r>
      <w:r w:rsidRPr="00CC1650">
        <w:rPr>
          <w:rFonts w:hAnsi="標楷體" w:cs="新細明體" w:hint="eastAsia"/>
        </w:rPr>
        <w:t>。另於</w:t>
      </w:r>
      <w:r w:rsidRPr="00CC1650">
        <w:rPr>
          <w:rFonts w:hint="eastAsia"/>
        </w:rPr>
        <w:t>103年以後，依新修正施行之公共債務法第6條規定，長期債務</w:t>
      </w:r>
      <w:proofErr w:type="gramStart"/>
      <w:r w:rsidRPr="00CC1650">
        <w:rPr>
          <w:rFonts w:hint="eastAsia"/>
        </w:rPr>
        <w:t>未償</w:t>
      </w:r>
      <w:proofErr w:type="gramEnd"/>
      <w:r w:rsidRPr="00CC1650">
        <w:rPr>
          <w:rFonts w:hint="eastAsia"/>
        </w:rPr>
        <w:t>餘額比率</w:t>
      </w:r>
      <w:proofErr w:type="gramStart"/>
      <w:r w:rsidRPr="00CC1650">
        <w:rPr>
          <w:rFonts w:hint="eastAsia"/>
        </w:rPr>
        <w:t>已達債限</w:t>
      </w:r>
      <w:proofErr w:type="gramEnd"/>
      <w:r w:rsidRPr="00CC1650">
        <w:rPr>
          <w:rFonts w:hint="eastAsia"/>
        </w:rPr>
        <w:t>90%之</w:t>
      </w:r>
      <w:r w:rsidRPr="00CC1650">
        <w:rPr>
          <w:rFonts w:hAnsi="標楷體" w:cs="標楷體" w:hint="eastAsia"/>
        </w:rPr>
        <w:t>縣</w:t>
      </w:r>
      <w:r w:rsidRPr="00CC1650">
        <w:rPr>
          <w:rFonts w:hAnsi="標楷體" w:cs="標楷體" w:hint="eastAsia"/>
        </w:rPr>
        <w:lastRenderedPageBreak/>
        <w:t>（市）</w:t>
      </w:r>
      <w:r w:rsidRPr="00CC1650">
        <w:rPr>
          <w:rFonts w:hint="eastAsia"/>
        </w:rPr>
        <w:t>，應提出債務改善計畫及時程表</w:t>
      </w:r>
      <w:r w:rsidRPr="00CC1650">
        <w:rPr>
          <w:rFonts w:hAnsi="標楷體" w:cs="標楷體" w:hint="eastAsia"/>
        </w:rPr>
        <w:t>，</w:t>
      </w:r>
      <w:r w:rsidRPr="00CC1650">
        <w:rPr>
          <w:rFonts w:hAnsi="標楷體" w:cs="HiddenHorzOCR" w:hint="eastAsia"/>
          <w:szCs w:val="32"/>
        </w:rPr>
        <w:t>然部分</w:t>
      </w:r>
      <w:r w:rsidRPr="00CC1650">
        <w:rPr>
          <w:rFonts w:hAnsi="標楷體" w:cs="標楷體" w:hint="eastAsia"/>
        </w:rPr>
        <w:t>縣（市）之</w:t>
      </w:r>
      <w:r w:rsidRPr="00CC1650">
        <w:rPr>
          <w:rFonts w:hAnsi="標楷體" w:cs="HiddenHorzOCR" w:hint="eastAsia"/>
          <w:szCs w:val="32"/>
        </w:rPr>
        <w:t>改善債務計畫及期程表，經審</w:t>
      </w:r>
      <w:r w:rsidRPr="00CC1650">
        <w:rPr>
          <w:rFonts w:hAnsi="標楷體" w:cs="細明體" w:hint="eastAsia"/>
          <w:szCs w:val="32"/>
        </w:rPr>
        <w:t>查</w:t>
      </w:r>
      <w:r w:rsidRPr="00CC1650">
        <w:rPr>
          <w:rFonts w:hAnsi="標楷體" w:cs="MS Mincho" w:hint="eastAsia"/>
          <w:szCs w:val="32"/>
        </w:rPr>
        <w:t>未符合公共債務管理委員會</w:t>
      </w:r>
      <w:r w:rsidRPr="00CC1650">
        <w:rPr>
          <w:rFonts w:hAnsi="標楷體" w:cs="HiddenHorzOCR" w:hint="eastAsia"/>
          <w:szCs w:val="32"/>
        </w:rPr>
        <w:t>審議規則之規定，且</w:t>
      </w:r>
      <w:r w:rsidRPr="00CC1650">
        <w:rPr>
          <w:rFonts w:hint="eastAsia"/>
        </w:rPr>
        <w:t>屏東縣105年4月</w:t>
      </w:r>
      <w:r w:rsidR="00A357AF" w:rsidRPr="00CC1650">
        <w:rPr>
          <w:rFonts w:hint="eastAsia"/>
        </w:rPr>
        <w:t>1年</w:t>
      </w:r>
      <w:r w:rsidRPr="00CC1650">
        <w:rPr>
          <w:rFonts w:hAnsi="標楷體" w:cs="HiddenHorzOCR" w:hint="eastAsia"/>
          <w:szCs w:val="32"/>
        </w:rPr>
        <w:t>以上非自償債</w:t>
      </w:r>
      <w:proofErr w:type="gramStart"/>
      <w:r w:rsidRPr="00CC1650">
        <w:rPr>
          <w:rFonts w:hAnsi="標楷體" w:cs="HiddenHorzOCR" w:hint="eastAsia"/>
          <w:szCs w:val="32"/>
        </w:rPr>
        <w:t>務</w:t>
      </w:r>
      <w:proofErr w:type="gramEnd"/>
      <w:r w:rsidRPr="00CC1650">
        <w:rPr>
          <w:rFonts w:hAnsi="標楷體" w:cs="HiddenHorzOCR" w:hint="eastAsia"/>
          <w:szCs w:val="32"/>
        </w:rPr>
        <w:t>比率已達</w:t>
      </w:r>
      <w:r w:rsidRPr="00CC1650">
        <w:rPr>
          <w:rFonts w:hint="eastAsia"/>
        </w:rPr>
        <w:t>50.24%，</w:t>
      </w:r>
      <w:r w:rsidRPr="00CC1650">
        <w:rPr>
          <w:rFonts w:hAnsi="標楷體" w:cs="HiddenHorzOCR" w:hint="eastAsia"/>
          <w:szCs w:val="32"/>
        </w:rPr>
        <w:t>行政院亦應加強注意其後續辦理或檢討情形。</w:t>
      </w:r>
      <w:bookmarkEnd w:id="260"/>
      <w:bookmarkEnd w:id="261"/>
      <w:bookmarkEnd w:id="262"/>
    </w:p>
    <w:p w:rsidR="0028740F" w:rsidRPr="00CC1650" w:rsidRDefault="0028740F" w:rsidP="0028740F">
      <w:pPr>
        <w:pStyle w:val="2"/>
        <w:rPr>
          <w:b/>
        </w:rPr>
      </w:pPr>
      <w:bookmarkStart w:id="263" w:name="_Toc455056231"/>
      <w:r w:rsidRPr="00CC1650">
        <w:rPr>
          <w:rFonts w:hint="eastAsia"/>
          <w:b/>
        </w:rPr>
        <w:t>政府租稅負擔率偏低，穩定性財源已受侷限，近年來政府施行減稅措施，估計稅收損失高達2,715億</w:t>
      </w:r>
      <w:r w:rsidR="00AA16F5" w:rsidRPr="00CC1650">
        <w:rPr>
          <w:rFonts w:hint="eastAsia"/>
          <w:b/>
        </w:rPr>
        <w:t>餘</w:t>
      </w:r>
      <w:r w:rsidRPr="00CC1650">
        <w:rPr>
          <w:rFonts w:hint="eastAsia"/>
          <w:b/>
        </w:rPr>
        <w:t>元。為避免一再減稅影響財政，侵蝕政府財源，行政院允應督</w:t>
      </w:r>
      <w:proofErr w:type="gramStart"/>
      <w:r w:rsidRPr="00CC1650">
        <w:rPr>
          <w:rFonts w:hint="eastAsia"/>
          <w:b/>
        </w:rPr>
        <w:t>飭</w:t>
      </w:r>
      <w:proofErr w:type="gramEnd"/>
      <w:r w:rsidRPr="00CC1650">
        <w:rPr>
          <w:rFonts w:hint="eastAsia"/>
          <w:b/>
        </w:rPr>
        <w:t>所屬確實建立稅式支出評估標準，就任</w:t>
      </w:r>
      <w:proofErr w:type="gramStart"/>
      <w:r w:rsidRPr="00CC1650">
        <w:rPr>
          <w:rFonts w:hint="eastAsia"/>
          <w:b/>
        </w:rPr>
        <w:t>一</w:t>
      </w:r>
      <w:proofErr w:type="gramEnd"/>
      <w:r w:rsidRPr="00CC1650">
        <w:rPr>
          <w:rFonts w:hint="eastAsia"/>
          <w:b/>
        </w:rPr>
        <w:t>租稅減免</w:t>
      </w:r>
      <w:proofErr w:type="gramStart"/>
      <w:r w:rsidRPr="00CC1650">
        <w:rPr>
          <w:rFonts w:hint="eastAsia"/>
          <w:b/>
        </w:rPr>
        <w:t>措施均應審慎</w:t>
      </w:r>
      <w:proofErr w:type="gramEnd"/>
      <w:r w:rsidRPr="00CC1650">
        <w:rPr>
          <w:rFonts w:hint="eastAsia"/>
          <w:b/>
        </w:rPr>
        <w:t>評估其必要性，並籌妥相對應之替代財源，且應配合國家財政及經濟發展，定期檢討相關減稅優惠措施是否達成預期成效，並就不合時宜之租稅減免及扣抵措施予以重新調整修正，避免過度或不當的減稅政策影響長期財政體質，以確保政府財源收入穩定，得以支應政務推動。</w:t>
      </w:r>
      <w:bookmarkEnd w:id="263"/>
    </w:p>
    <w:p w:rsidR="0028740F" w:rsidRPr="00CC1650" w:rsidRDefault="0028740F" w:rsidP="0028740F">
      <w:pPr>
        <w:pStyle w:val="3"/>
      </w:pPr>
      <w:bookmarkStart w:id="264" w:name="_Toc454877636"/>
      <w:bookmarkStart w:id="265" w:name="_Toc454884693"/>
      <w:bookmarkStart w:id="266" w:name="_Toc455056232"/>
      <w:r w:rsidRPr="00CC1650">
        <w:rPr>
          <w:rFonts w:hint="eastAsia"/>
        </w:rPr>
        <w:t>按財政收支劃分法第38條之1規定，各級政府、立法機關制(訂)定或修正法律或自治法規，有減少收入者，應同時籌妥替代財源；需增加財政負擔者，應事先籌妥經費或於立法時明文規定相對收入來源。該條之立法理由係為免因法規之制定或修正減少政府收入，或增加額外支出負擔，致影響各級政府財政之健全運作。又預算法第91條規定，立法委員所提法律案大幅增加歲出或減少歲入者，應先徵詢行政院之意見，指明彌補資金之來源；必要時，並應同時提案修正其他法律。其意旨亦在歲出、歲入之增減應指明彌補資金來源。由此可知任</w:t>
      </w:r>
      <w:proofErr w:type="gramStart"/>
      <w:r w:rsidRPr="00CC1650">
        <w:rPr>
          <w:rFonts w:hint="eastAsia"/>
        </w:rPr>
        <w:t>一</w:t>
      </w:r>
      <w:proofErr w:type="gramEnd"/>
      <w:r w:rsidRPr="00CC1650">
        <w:rPr>
          <w:rFonts w:hint="eastAsia"/>
        </w:rPr>
        <w:t>減稅或增加支出、減少收入之法案，</w:t>
      </w:r>
      <w:proofErr w:type="gramStart"/>
      <w:r w:rsidRPr="00CC1650">
        <w:rPr>
          <w:rFonts w:hint="eastAsia"/>
        </w:rPr>
        <w:t>均須提出</w:t>
      </w:r>
      <w:proofErr w:type="gramEnd"/>
      <w:r w:rsidRPr="00CC1650">
        <w:rPr>
          <w:rFonts w:hint="eastAsia"/>
        </w:rPr>
        <w:t>相對替代財源的配套措施，以避免立法機關任意立法致影響財務健全。</w:t>
      </w:r>
      <w:bookmarkEnd w:id="264"/>
      <w:bookmarkEnd w:id="265"/>
      <w:bookmarkEnd w:id="266"/>
    </w:p>
    <w:p w:rsidR="0028740F" w:rsidRPr="00CC1650" w:rsidRDefault="0028740F" w:rsidP="0028740F">
      <w:pPr>
        <w:pStyle w:val="3"/>
      </w:pPr>
      <w:bookmarkStart w:id="267" w:name="_Toc454877637"/>
      <w:bookmarkStart w:id="268" w:name="_Toc454884694"/>
      <w:bookmarkStart w:id="269" w:name="_Toc455056233"/>
      <w:r w:rsidRPr="00CC1650">
        <w:rPr>
          <w:rFonts w:hint="eastAsia"/>
        </w:rPr>
        <w:t>經查我國賦稅政策常須配合經濟發展等政策</w:t>
      </w:r>
      <w:proofErr w:type="gramStart"/>
      <w:r w:rsidRPr="00CC1650">
        <w:rPr>
          <w:rFonts w:hint="eastAsia"/>
        </w:rPr>
        <w:t>採</w:t>
      </w:r>
      <w:proofErr w:type="gramEnd"/>
      <w:r w:rsidRPr="00CC1650">
        <w:rPr>
          <w:rFonts w:hint="eastAsia"/>
        </w:rPr>
        <w:t>行相</w:t>
      </w:r>
      <w:r w:rsidRPr="00CC1650">
        <w:rPr>
          <w:rFonts w:hint="eastAsia"/>
        </w:rPr>
        <w:lastRenderedPageBreak/>
        <w:t>關租稅減免措施，以刺激投資及消費。近年來政府</w:t>
      </w:r>
      <w:proofErr w:type="gramStart"/>
      <w:r w:rsidRPr="00CC1650">
        <w:rPr>
          <w:rFonts w:hint="eastAsia"/>
        </w:rPr>
        <w:t>採</w:t>
      </w:r>
      <w:proofErr w:type="gramEnd"/>
      <w:r w:rsidRPr="00CC1650">
        <w:rPr>
          <w:rFonts w:hint="eastAsia"/>
        </w:rPr>
        <w:t>行諸多減免及扣抵措施，造成稅課收入未能隨同經濟成長等幅增加，嚴重侵蝕財源，因此租稅負擔率多維持在12%~13%之間。</w:t>
      </w:r>
      <w:r w:rsidRPr="00CC1650">
        <w:t>95</w:t>
      </w:r>
      <w:r w:rsidRPr="00CC1650">
        <w:rPr>
          <w:rFonts w:hint="eastAsia"/>
        </w:rPr>
        <w:t>年為</w:t>
      </w:r>
      <w:r w:rsidRPr="00CC1650">
        <w:t>12.7%</w:t>
      </w:r>
      <w:r w:rsidRPr="00CC1650">
        <w:rPr>
          <w:rFonts w:hint="eastAsia"/>
        </w:rPr>
        <w:t>，之後隨景氣波動，</w:t>
      </w:r>
      <w:r w:rsidRPr="00CC1650">
        <w:t>97</w:t>
      </w:r>
      <w:r w:rsidRPr="00CC1650">
        <w:rPr>
          <w:rFonts w:hint="eastAsia"/>
        </w:rPr>
        <w:t>年回升至</w:t>
      </w:r>
      <w:r w:rsidRPr="00CC1650">
        <w:t>13.4%</w:t>
      </w:r>
      <w:r w:rsidRPr="00CC1650">
        <w:rPr>
          <w:rFonts w:hint="eastAsia"/>
        </w:rPr>
        <w:t>，</w:t>
      </w:r>
      <w:r w:rsidRPr="00CC1650">
        <w:t>99</w:t>
      </w:r>
      <w:r w:rsidRPr="00CC1650">
        <w:rPr>
          <w:rFonts w:hint="eastAsia"/>
        </w:rPr>
        <w:t>年受金融海嘯影響降至</w:t>
      </w:r>
      <w:r w:rsidRPr="00CC1650">
        <w:t>11.5%</w:t>
      </w:r>
      <w:r w:rsidRPr="00CC1650">
        <w:rPr>
          <w:rFonts w:hint="eastAsia"/>
        </w:rPr>
        <w:t>，</w:t>
      </w:r>
      <w:r w:rsidRPr="00CC1650">
        <w:t>104</w:t>
      </w:r>
      <w:r w:rsidRPr="00CC1650">
        <w:rPr>
          <w:rFonts w:hint="eastAsia"/>
        </w:rPr>
        <w:t>年略升為</w:t>
      </w:r>
      <w:r w:rsidRPr="00CC1650">
        <w:t>12.8%</w:t>
      </w:r>
      <w:r w:rsidRPr="00CC1650">
        <w:rPr>
          <w:rFonts w:hint="eastAsia"/>
        </w:rPr>
        <w:t>，偏低之租稅負擔率，顯示穩定性財源受到侷限。本院為瞭解政府近年來，通過之減稅法律、財源彌補、估計稅收損失及原預估效益及執行迄今實際具體效益，經請財政部提供並彙整發現，近年來（94至104年）減稅法律高達17項（詳後附表一），影響之</w:t>
      </w:r>
      <w:proofErr w:type="gramStart"/>
      <w:r w:rsidRPr="00CC1650">
        <w:rPr>
          <w:rFonts w:hint="eastAsia"/>
        </w:rPr>
        <w:t>稅別達</w:t>
      </w:r>
      <w:proofErr w:type="gramEnd"/>
      <w:r w:rsidRPr="00CC1650">
        <w:rPr>
          <w:rFonts w:hint="eastAsia"/>
        </w:rPr>
        <w:t>19項（所得稅7項、土地增值稅2項、貨物稅3項、印花稅1項、營業稅1項、地價稅2項、使用牌照稅1項），摘要如下：</w:t>
      </w:r>
      <w:bookmarkEnd w:id="267"/>
      <w:bookmarkEnd w:id="268"/>
      <w:bookmarkEnd w:id="269"/>
    </w:p>
    <w:p w:rsidR="0028740F" w:rsidRPr="00CC1650" w:rsidRDefault="00DE0857" w:rsidP="0028740F">
      <w:pPr>
        <w:pStyle w:val="4"/>
      </w:pPr>
      <w:r w:rsidRPr="00CC1650">
        <w:rPr>
          <w:rFonts w:hint="eastAsia"/>
        </w:rPr>
        <w:t>94年1月30日修正公布土地稅法第33條，將土地增值稅稅率由60%、50%、40%調降為40%、30%、20%。</w:t>
      </w:r>
    </w:p>
    <w:p w:rsidR="0028740F" w:rsidRPr="00CC1650" w:rsidRDefault="00DE0857" w:rsidP="0028740F">
      <w:pPr>
        <w:pStyle w:val="4"/>
      </w:pPr>
      <w:r w:rsidRPr="00CC1650">
        <w:rPr>
          <w:rFonts w:hint="eastAsia"/>
        </w:rPr>
        <w:t>95年6月14日修正公布所得稅法第17條，規定全民健保保費列舉扣除不受金額限制。</w:t>
      </w:r>
    </w:p>
    <w:p w:rsidR="0028740F" w:rsidRPr="00CC1650" w:rsidRDefault="0028740F" w:rsidP="0028740F">
      <w:pPr>
        <w:pStyle w:val="4"/>
      </w:pPr>
      <w:r w:rsidRPr="00CC1650">
        <w:rPr>
          <w:rFonts w:hint="eastAsia"/>
        </w:rPr>
        <w:t>97年12月26日修正所得稅法第5條之1、第17條、第126條</w:t>
      </w:r>
      <w:r w:rsidR="003F49FE" w:rsidRPr="00CC1650">
        <w:rPr>
          <w:rFonts w:hint="eastAsia"/>
        </w:rPr>
        <w:t>，增加綜合所得稅扣除額</w:t>
      </w:r>
      <w:r w:rsidR="00DE0857" w:rsidRPr="00CC1650">
        <w:rPr>
          <w:rFonts w:hint="eastAsia"/>
        </w:rPr>
        <w:t>。</w:t>
      </w:r>
    </w:p>
    <w:p w:rsidR="0028740F" w:rsidRPr="00CC1650" w:rsidRDefault="0028740F" w:rsidP="0028740F">
      <w:pPr>
        <w:pStyle w:val="4"/>
      </w:pPr>
      <w:r w:rsidRPr="00CC1650">
        <w:rPr>
          <w:rFonts w:hint="eastAsia"/>
        </w:rPr>
        <w:t>98年1月21日修正公布</w:t>
      </w:r>
      <w:r w:rsidR="00DE0857" w:rsidRPr="00CC1650">
        <w:t>遺產及贈與稅法</w:t>
      </w:r>
      <w:r w:rsidR="00DE0857" w:rsidRPr="00CC1650">
        <w:rPr>
          <w:rFonts w:hint="eastAsia"/>
        </w:rPr>
        <w:t>，</w:t>
      </w:r>
      <w:r w:rsidRPr="00CC1650">
        <w:rPr>
          <w:rFonts w:hint="eastAsia"/>
        </w:rPr>
        <w:t>遺產稅及贈與稅稅率結構調降為單一稅率10%，且分別調高免稅額為1,200萬元及220萬元。</w:t>
      </w:r>
    </w:p>
    <w:p w:rsidR="0028740F" w:rsidRPr="00CC1650" w:rsidRDefault="0028740F" w:rsidP="0028740F">
      <w:pPr>
        <w:pStyle w:val="4"/>
      </w:pPr>
      <w:r w:rsidRPr="00CC1650">
        <w:rPr>
          <w:rFonts w:hint="eastAsia"/>
        </w:rPr>
        <w:t>98年1月修正促進產業升級條例，製造業及其相關技術服務業於97年7月1日至98年12月31日間，其新增投資符合規定者，提供5年免徵營利事業所得稅。</w:t>
      </w:r>
    </w:p>
    <w:p w:rsidR="00CC0D7D" w:rsidRPr="00CC1650" w:rsidRDefault="003F49FE" w:rsidP="003F49FE">
      <w:pPr>
        <w:pStyle w:val="4"/>
      </w:pPr>
      <w:r w:rsidRPr="00CC1650">
        <w:rPr>
          <w:rFonts w:hint="eastAsia"/>
        </w:rPr>
        <w:t>98年5月27日修正公布所得稅法第5條第2項</w:t>
      </w:r>
      <w:r w:rsidR="00CC0D7D" w:rsidRPr="00CC1650">
        <w:rPr>
          <w:rFonts w:hint="eastAsia"/>
        </w:rPr>
        <w:t>及</w:t>
      </w:r>
      <w:r w:rsidRPr="00CC1650">
        <w:rPr>
          <w:rFonts w:hint="eastAsia"/>
        </w:rPr>
        <w:t>第5項</w:t>
      </w:r>
      <w:r w:rsidR="00CC0D7D" w:rsidRPr="00CC1650">
        <w:rPr>
          <w:rFonts w:hint="eastAsia"/>
        </w:rPr>
        <w:t>，</w:t>
      </w:r>
      <w:r w:rsidR="00702B88" w:rsidRPr="00CC1650">
        <w:rPr>
          <w:rFonts w:hint="eastAsia"/>
        </w:rPr>
        <w:t>將</w:t>
      </w:r>
      <w:r w:rsidR="00CC0D7D" w:rsidRPr="00CC1650">
        <w:rPr>
          <w:rFonts w:hint="eastAsia"/>
        </w:rPr>
        <w:t>綜合所得稅稅率之「21%、13%及6%」3個</w:t>
      </w:r>
      <w:r w:rsidR="00CC0D7D" w:rsidRPr="00CC1650">
        <w:rPr>
          <w:rFonts w:hint="eastAsia"/>
        </w:rPr>
        <w:lastRenderedPageBreak/>
        <w:t>級距稅率分別調降為「20%、12%及5%」，適用稅率5%之課稅級距由41萬元提高為50萬</w:t>
      </w:r>
      <w:r w:rsidR="00702B88" w:rsidRPr="00CC1650">
        <w:rPr>
          <w:rFonts w:hint="eastAsia"/>
        </w:rPr>
        <w:t>元</w:t>
      </w:r>
      <w:r w:rsidR="00CC0D7D" w:rsidRPr="00CC1650">
        <w:rPr>
          <w:rFonts w:hint="eastAsia"/>
        </w:rPr>
        <w:t>，</w:t>
      </w:r>
      <w:r w:rsidR="00702B88" w:rsidRPr="00CC1650">
        <w:rPr>
          <w:rFonts w:hint="eastAsia"/>
        </w:rPr>
        <w:t>並將</w:t>
      </w:r>
      <w:r w:rsidR="00CC0D7D" w:rsidRPr="00CC1650">
        <w:rPr>
          <w:rFonts w:hint="eastAsia"/>
        </w:rPr>
        <w:t>營利事業所得稅稅率由25%調降為20%，</w:t>
      </w:r>
      <w:proofErr w:type="gramStart"/>
      <w:r w:rsidR="00CC0D7D" w:rsidRPr="00CC1650">
        <w:rPr>
          <w:rFonts w:hint="eastAsia"/>
        </w:rPr>
        <w:t>採</w:t>
      </w:r>
      <w:proofErr w:type="gramEnd"/>
      <w:r w:rsidR="00CC0D7D" w:rsidRPr="00CC1650">
        <w:rPr>
          <w:rFonts w:hint="eastAsia"/>
        </w:rPr>
        <w:t>行單一稅率，起徵額由5萬元提高至12萬元。其後營利事業所得稅稅率並</w:t>
      </w:r>
      <w:r w:rsidR="00CC0D7D" w:rsidRPr="00CC1650">
        <w:rPr>
          <w:rFonts w:cs="標楷體" w:hint="eastAsia"/>
        </w:rPr>
        <w:t>再由</w:t>
      </w:r>
      <w:r w:rsidR="00CC0D7D" w:rsidRPr="00CC1650">
        <w:t>20%</w:t>
      </w:r>
      <w:r w:rsidR="00CC0D7D" w:rsidRPr="00CC1650">
        <w:rPr>
          <w:rFonts w:cs="標楷體" w:hint="eastAsia"/>
        </w:rPr>
        <w:t>調降為</w:t>
      </w:r>
      <w:r w:rsidR="00CC0D7D" w:rsidRPr="00CC1650">
        <w:t>17%</w:t>
      </w:r>
      <w:r w:rsidR="00CC0D7D" w:rsidRPr="00CC1650">
        <w:rPr>
          <w:rFonts w:hint="eastAsia"/>
        </w:rPr>
        <w:t>。</w:t>
      </w:r>
    </w:p>
    <w:p w:rsidR="0028740F" w:rsidRPr="00CC1650" w:rsidRDefault="0028740F" w:rsidP="0028740F">
      <w:pPr>
        <w:pStyle w:val="3"/>
      </w:pPr>
      <w:bookmarkStart w:id="270" w:name="_Toc454877638"/>
      <w:bookmarkStart w:id="271" w:name="_Toc454884695"/>
      <w:bookmarkStart w:id="272" w:name="_Toc455056234"/>
      <w:r w:rsidRPr="00CC1650">
        <w:rPr>
          <w:rFonts w:hint="eastAsia"/>
        </w:rPr>
        <w:t>以上減稅措施所造成之稅收損失，據財政部估算減稅當年及未來</w:t>
      </w:r>
      <w:proofErr w:type="gramStart"/>
      <w:r w:rsidRPr="00CC1650">
        <w:rPr>
          <w:rFonts w:hint="eastAsia"/>
        </w:rPr>
        <w:t>3</w:t>
      </w:r>
      <w:proofErr w:type="gramEnd"/>
      <w:r w:rsidRPr="00CC1650">
        <w:rPr>
          <w:rFonts w:hint="eastAsia"/>
        </w:rPr>
        <w:t>年度，經統計損失高達2,715.81億元（詳後附表一），尚不包含修正「中小企業發展條例」部分條文，研究發展支出投資抵減、智慧財產作價取得緩課所得稅及增僱員工薪資</w:t>
      </w:r>
      <w:proofErr w:type="gramStart"/>
      <w:r w:rsidRPr="00CC1650">
        <w:rPr>
          <w:rFonts w:hint="eastAsia"/>
        </w:rPr>
        <w:t>加成減除</w:t>
      </w:r>
      <w:proofErr w:type="gramEnd"/>
      <w:r w:rsidRPr="00CC1650">
        <w:rPr>
          <w:rFonts w:hint="eastAsia"/>
        </w:rPr>
        <w:t>所造成之稅收損失。而其中對稅收影響最大者為99年1月1日修正所得稅法部分條文，將營利事業所得稅稅率由25%調降為17%，造成稅收損失高達1,715億元。財政部稱該項措施之財源彌補係以促進產業升級條例落日預計增加稅收1,483億元，用於降營所稅稅率(稅收減少1,151億元)、降綜所稅稅率(稅收減少248億元)、增扣除額(稅收減少216億元)及維持研發抵減(稅收減少100億元)等語，然而估計整體稅收</w:t>
      </w:r>
      <w:proofErr w:type="gramStart"/>
      <w:r w:rsidRPr="00CC1650">
        <w:rPr>
          <w:rFonts w:hint="eastAsia"/>
        </w:rPr>
        <w:t>損失尚達232億元</w:t>
      </w:r>
      <w:proofErr w:type="gramEnd"/>
      <w:r w:rsidRPr="00CC1650">
        <w:rPr>
          <w:rFonts w:hint="eastAsia"/>
        </w:rPr>
        <w:t>，對財政之影響不容小覷。因租稅收入為政府施政主要財源，為滿足財政適足性及永續性，任</w:t>
      </w:r>
      <w:proofErr w:type="gramStart"/>
      <w:r w:rsidRPr="00CC1650">
        <w:rPr>
          <w:rFonts w:hint="eastAsia"/>
        </w:rPr>
        <w:t>一</w:t>
      </w:r>
      <w:proofErr w:type="gramEnd"/>
      <w:r w:rsidRPr="00CC1650">
        <w:rPr>
          <w:rFonts w:hint="eastAsia"/>
        </w:rPr>
        <w:t>減稅</w:t>
      </w:r>
      <w:proofErr w:type="gramStart"/>
      <w:r w:rsidRPr="00CC1650">
        <w:rPr>
          <w:rFonts w:hint="eastAsia"/>
        </w:rPr>
        <w:t>措施均應謹慎</w:t>
      </w:r>
      <w:proofErr w:type="gramEnd"/>
      <w:r w:rsidRPr="00CC1650">
        <w:rPr>
          <w:rFonts w:hint="eastAsia"/>
        </w:rPr>
        <w:t>評估。</w:t>
      </w:r>
      <w:bookmarkEnd w:id="270"/>
      <w:bookmarkEnd w:id="271"/>
      <w:bookmarkEnd w:id="272"/>
    </w:p>
    <w:p w:rsidR="0028740F" w:rsidRPr="00CC1650" w:rsidRDefault="0028740F" w:rsidP="0028740F">
      <w:pPr>
        <w:pStyle w:val="3"/>
      </w:pPr>
      <w:bookmarkStart w:id="273" w:name="_Toc454877639"/>
      <w:bookmarkStart w:id="274" w:name="_Toc454884696"/>
      <w:bookmarkStart w:id="275" w:name="_Toc455056235"/>
      <w:r w:rsidRPr="00CC1650">
        <w:rPr>
          <w:rFonts w:hint="eastAsia"/>
        </w:rPr>
        <w:t>對於租稅減免措施之評估，據財政部表示：為落實稅制改革、健全租稅制度，並嚴謹辦理租稅減免法案稅式支出評估作業，</w:t>
      </w:r>
      <w:proofErr w:type="gramStart"/>
      <w:r w:rsidRPr="00CC1650">
        <w:rPr>
          <w:rFonts w:hint="eastAsia"/>
        </w:rPr>
        <w:t>該部於其他</w:t>
      </w:r>
      <w:proofErr w:type="gramEnd"/>
      <w:r w:rsidRPr="00CC1650">
        <w:rPr>
          <w:rFonts w:hint="eastAsia"/>
        </w:rPr>
        <w:t>部會主管法規增訂租稅減免措施時，均要求業務主管機關應就所提租稅減免措施之必要性審慎評估等語，並依財政部102年12月30日台財稅字第10204661510號</w:t>
      </w:r>
      <w:proofErr w:type="gramStart"/>
      <w:r w:rsidRPr="00CC1650">
        <w:rPr>
          <w:rFonts w:hint="eastAsia"/>
        </w:rPr>
        <w:t>函頒「</w:t>
      </w:r>
      <w:proofErr w:type="gramEnd"/>
      <w:r w:rsidRPr="00CC1650">
        <w:rPr>
          <w:rFonts w:hint="eastAsia"/>
        </w:rPr>
        <w:t>稅式支出評估基本規範格式」提出稅式支出評估方案，如有稅收損失，依財政收支劃分法第38條之1規定籌妥替代財源，請於該租稅減免措施實施後，</w:t>
      </w:r>
      <w:r w:rsidRPr="00CC1650">
        <w:rPr>
          <w:rFonts w:hint="eastAsia"/>
        </w:rPr>
        <w:lastRenderedPageBreak/>
        <w:t>就</w:t>
      </w:r>
      <w:proofErr w:type="gramStart"/>
      <w:r w:rsidRPr="00CC1650">
        <w:rPr>
          <w:rFonts w:hint="eastAsia"/>
        </w:rPr>
        <w:t>原稅式</w:t>
      </w:r>
      <w:proofErr w:type="gramEnd"/>
      <w:r w:rsidRPr="00CC1650">
        <w:rPr>
          <w:rFonts w:hint="eastAsia"/>
        </w:rPr>
        <w:t>支出評估之實施效益、稅收損失及財源籌措情形</w:t>
      </w:r>
      <w:proofErr w:type="gramStart"/>
      <w:r w:rsidRPr="00CC1650">
        <w:rPr>
          <w:rFonts w:hint="eastAsia"/>
        </w:rPr>
        <w:t>備妥足供</w:t>
      </w:r>
      <w:proofErr w:type="gramEnd"/>
      <w:r w:rsidRPr="00CC1650">
        <w:rPr>
          <w:rFonts w:hint="eastAsia"/>
        </w:rPr>
        <w:t>驗證資料，</w:t>
      </w:r>
      <w:proofErr w:type="gramStart"/>
      <w:r w:rsidRPr="00CC1650">
        <w:rPr>
          <w:rFonts w:hint="eastAsia"/>
        </w:rPr>
        <w:t>俾</w:t>
      </w:r>
      <w:proofErr w:type="gramEnd"/>
      <w:r w:rsidRPr="00CC1650">
        <w:rPr>
          <w:rFonts w:hint="eastAsia"/>
        </w:rPr>
        <w:t>供審計單位查核使用。惟據財政部所提供資料，或有未依法籌妥相對</w:t>
      </w:r>
      <w:proofErr w:type="gramStart"/>
      <w:r w:rsidRPr="00CC1650">
        <w:rPr>
          <w:rFonts w:hint="eastAsia"/>
        </w:rPr>
        <w:t>財源即修法</w:t>
      </w:r>
      <w:proofErr w:type="gramEnd"/>
      <w:r w:rsidRPr="00CC1650">
        <w:rPr>
          <w:rFonts w:hint="eastAsia"/>
        </w:rPr>
        <w:t>減稅，如95年6月14日修正公布所得稅法第17條，規定全民健保保費列舉扣除不受金額限制，此項減稅措施之財源，據財政部表示：該案係立法院財政委員會審查立法委員提案修正所得稅法第17條時，立法委員所提修正動議，並未依財政收支劃分法第38條之1</w:t>
      </w:r>
      <w:r w:rsidR="009618B4" w:rsidRPr="00CC1650">
        <w:rPr>
          <w:rFonts w:hint="eastAsia"/>
        </w:rPr>
        <w:t>規定事先籌妥替代財源。或有未</w:t>
      </w:r>
      <w:r w:rsidRPr="00CC1650">
        <w:rPr>
          <w:rFonts w:hint="eastAsia"/>
        </w:rPr>
        <w:t>指明彌補資金來源，如</w:t>
      </w:r>
      <w:r w:rsidR="00D4252A" w:rsidRPr="00CC1650">
        <w:rPr>
          <w:rFonts w:hint="eastAsia"/>
        </w:rPr>
        <w:t>98年1月21日修正公布</w:t>
      </w:r>
      <w:r w:rsidR="00D4252A" w:rsidRPr="00CC1650">
        <w:t>遺產及贈與稅法</w:t>
      </w:r>
      <w:r w:rsidR="00D4252A" w:rsidRPr="00CC1650">
        <w:rPr>
          <w:rFonts w:hint="eastAsia"/>
        </w:rPr>
        <w:t>，遺產稅及贈與稅稅率結構調降為單一稅率10%，且分別調高免稅額為1,200萬元及220萬元</w:t>
      </w:r>
      <w:r w:rsidRPr="00CC1650">
        <w:rPr>
          <w:rFonts w:hint="eastAsia"/>
        </w:rPr>
        <w:t>，此項減免措施之財源彌補方式，財政部雖稱：本項稅制係賦稅改革之一環，短期內或有可能造成收支短</w:t>
      </w:r>
      <w:proofErr w:type="gramStart"/>
      <w:r w:rsidRPr="00CC1650">
        <w:rPr>
          <w:rFonts w:hint="eastAsia"/>
        </w:rPr>
        <w:t>絀</w:t>
      </w:r>
      <w:proofErr w:type="gramEnd"/>
      <w:r w:rsidRPr="00CC1650">
        <w:rPr>
          <w:rFonts w:hint="eastAsia"/>
        </w:rPr>
        <w:t>，長期則因整體賦稅改革產生稅基增長效果，尚不致影響整體財政之穩定等語，然並未具體說明相對應之財源，顯見評估未盡周延審慎。</w:t>
      </w:r>
      <w:bookmarkEnd w:id="273"/>
      <w:bookmarkEnd w:id="274"/>
      <w:bookmarkEnd w:id="275"/>
    </w:p>
    <w:p w:rsidR="0028740F" w:rsidRPr="00CC1650" w:rsidRDefault="0028740F" w:rsidP="0028740F">
      <w:pPr>
        <w:pStyle w:val="3"/>
      </w:pPr>
      <w:bookmarkStart w:id="276" w:name="_Toc454877640"/>
      <w:bookmarkStart w:id="277" w:name="_Toc454884697"/>
      <w:bookmarkStart w:id="278" w:name="_Toc455056236"/>
      <w:r w:rsidRPr="00CC1650">
        <w:rPr>
          <w:rFonts w:hint="eastAsia"/>
        </w:rPr>
        <w:t>關於租稅支出法規實施後之效益評估，據財政部表示：</w:t>
      </w:r>
      <w:proofErr w:type="gramStart"/>
      <w:r w:rsidRPr="00CC1650">
        <w:rPr>
          <w:rFonts w:hint="eastAsia"/>
        </w:rPr>
        <w:t>鑑於稅式</w:t>
      </w:r>
      <w:proofErr w:type="gramEnd"/>
      <w:r w:rsidRPr="00CC1650">
        <w:rPr>
          <w:rFonts w:hint="eastAsia"/>
        </w:rPr>
        <w:t>支出評估係就各部會所提租稅減免法案予以評估，效益評估涉及層面廣泛，故相關成效評估管制之權責單位，業經行政院秘書長101年8月14日院</w:t>
      </w:r>
      <w:proofErr w:type="gramStart"/>
      <w:r w:rsidRPr="00CC1650">
        <w:rPr>
          <w:rFonts w:hint="eastAsia"/>
        </w:rPr>
        <w:t>臺財字</w:t>
      </w:r>
      <w:proofErr w:type="gramEnd"/>
      <w:r w:rsidRPr="00CC1650">
        <w:rPr>
          <w:rFonts w:hint="eastAsia"/>
        </w:rPr>
        <w:t>第1010045484號函</w:t>
      </w:r>
      <w:r w:rsidRPr="00CC1650">
        <w:rPr>
          <w:rStyle w:val="afd"/>
        </w:rPr>
        <w:footnoteReference w:id="5"/>
      </w:r>
      <w:r w:rsidRPr="00CC1650">
        <w:rPr>
          <w:rFonts w:hint="eastAsia"/>
        </w:rPr>
        <w:t>，請各業務主管機關本諸職權，</w:t>
      </w:r>
      <w:proofErr w:type="gramStart"/>
      <w:r w:rsidRPr="00CC1650">
        <w:rPr>
          <w:rFonts w:hint="eastAsia"/>
        </w:rPr>
        <w:t>於稅式</w:t>
      </w:r>
      <w:proofErr w:type="gramEnd"/>
      <w:r w:rsidRPr="00CC1650">
        <w:rPr>
          <w:rFonts w:hint="eastAsia"/>
        </w:rPr>
        <w:t>支出法規通過後，就原提供之稅式支出報告，逐年比較驗證其實施效益、稅收影</w:t>
      </w:r>
      <w:r w:rsidRPr="00CC1650">
        <w:rPr>
          <w:rFonts w:hint="eastAsia"/>
        </w:rPr>
        <w:lastRenderedPageBreak/>
        <w:t>響及財源籌措情形，並評估達成原政策目標之有效性等語。惟依前揭說明，雖評估管制之權責單位，係各業務主管機關，然而各業務主管機關應如何評估稅收損失金額並無一定之標準。加上稅式支出法規通過後，各業務主管機關應就原提供之稅式支出報告，逐年比較驗證其實施效益、稅收影響及財源籌措情形，並評估達成原政策目標之有效性，然其評估是否確實，相關把關機制闕如。本院曾請行政院說明</w:t>
      </w:r>
      <w:proofErr w:type="gramStart"/>
      <w:r w:rsidRPr="00CC1650">
        <w:rPr>
          <w:rFonts w:hint="eastAsia"/>
        </w:rPr>
        <w:t>有無彙整</w:t>
      </w:r>
      <w:proofErr w:type="gramEnd"/>
      <w:r w:rsidRPr="00CC1650">
        <w:rPr>
          <w:rFonts w:hint="eastAsia"/>
        </w:rPr>
        <w:t>並整體檢視各減稅措施之實際具體效益、稅收影響及財源籌措情形，據以分析持續給予減免之必要性，然該</w:t>
      </w:r>
      <w:proofErr w:type="gramStart"/>
      <w:r w:rsidRPr="00CC1650">
        <w:rPr>
          <w:rFonts w:hint="eastAsia"/>
        </w:rPr>
        <w:t>院僅轉請</w:t>
      </w:r>
      <w:proofErr w:type="gramEnd"/>
      <w:r w:rsidRPr="00CC1650">
        <w:rPr>
          <w:rFonts w:hint="eastAsia"/>
        </w:rPr>
        <w:t>財政部說明稅式支出評估方式及請經濟部提供部分減稅措施實施後成效評估，欠缺完整性，且亦無任何檢討機制。行政院對於多項租稅減免措施之原預估效益及執行迄今實際具體效益尚無法具體說明，若減稅措施實施後稅收損失遠高於當初預估金額，亦乏處理機制，顯違背稅式支出評估之初衷，實應建立稅式支出評估標準，就任</w:t>
      </w:r>
      <w:proofErr w:type="gramStart"/>
      <w:r w:rsidRPr="00CC1650">
        <w:rPr>
          <w:rFonts w:hint="eastAsia"/>
        </w:rPr>
        <w:t>一</w:t>
      </w:r>
      <w:proofErr w:type="gramEnd"/>
      <w:r w:rsidRPr="00CC1650">
        <w:rPr>
          <w:rFonts w:hint="eastAsia"/>
        </w:rPr>
        <w:t>租稅減免</w:t>
      </w:r>
      <w:proofErr w:type="gramStart"/>
      <w:r w:rsidRPr="00CC1650">
        <w:rPr>
          <w:rFonts w:hint="eastAsia"/>
        </w:rPr>
        <w:t>措施均應審慎</w:t>
      </w:r>
      <w:proofErr w:type="gramEnd"/>
      <w:r w:rsidRPr="00CC1650">
        <w:rPr>
          <w:rFonts w:hint="eastAsia"/>
        </w:rPr>
        <w:t>評估其必要性，並籌妥相對應之替代財源，且應配合國家財政及經濟發展，定期檢討相關減稅優惠措施是否達成預期成效，另就不合時宜之租稅減免及扣抵措施予以重新調整修正。</w:t>
      </w:r>
      <w:bookmarkEnd w:id="276"/>
      <w:bookmarkEnd w:id="277"/>
      <w:bookmarkEnd w:id="278"/>
    </w:p>
    <w:p w:rsidR="0028740F" w:rsidRPr="00CC1650" w:rsidRDefault="0028740F" w:rsidP="0028740F">
      <w:pPr>
        <w:pStyle w:val="3"/>
        <w:rPr>
          <w:b/>
        </w:rPr>
      </w:pPr>
      <w:bookmarkStart w:id="279" w:name="_Toc454877641"/>
      <w:bookmarkStart w:id="280" w:name="_Toc454884698"/>
      <w:bookmarkStart w:id="281" w:name="_Toc455056237"/>
      <w:r w:rsidRPr="00CC1650">
        <w:rPr>
          <w:rFonts w:hint="eastAsia"/>
        </w:rPr>
        <w:t>綜上，政府租稅負擔率偏低，穩定性財源已受侷限，近年來政府施行減稅措施，估計稅收損失高達2,715億</w:t>
      </w:r>
      <w:r w:rsidR="00972338" w:rsidRPr="00CC1650">
        <w:rPr>
          <w:rFonts w:hint="eastAsia"/>
        </w:rPr>
        <w:t>餘</w:t>
      </w:r>
      <w:r w:rsidRPr="00CC1650">
        <w:rPr>
          <w:rFonts w:hint="eastAsia"/>
        </w:rPr>
        <w:t>元。為確保政府財源收入穩定，得以支應政務推動，避免一再減稅影響財政，侵蝕政府財源，行政院實應督</w:t>
      </w:r>
      <w:proofErr w:type="gramStart"/>
      <w:r w:rsidRPr="00CC1650">
        <w:rPr>
          <w:rFonts w:hint="eastAsia"/>
        </w:rPr>
        <w:t>飭</w:t>
      </w:r>
      <w:proofErr w:type="gramEnd"/>
      <w:r w:rsidRPr="00CC1650">
        <w:rPr>
          <w:rFonts w:hint="eastAsia"/>
        </w:rPr>
        <w:t>所屬建立稅式支出評估標準，就任</w:t>
      </w:r>
      <w:proofErr w:type="gramStart"/>
      <w:r w:rsidRPr="00CC1650">
        <w:rPr>
          <w:rFonts w:hint="eastAsia"/>
        </w:rPr>
        <w:t>一</w:t>
      </w:r>
      <w:proofErr w:type="gramEnd"/>
      <w:r w:rsidRPr="00CC1650">
        <w:rPr>
          <w:rFonts w:hint="eastAsia"/>
        </w:rPr>
        <w:t>租稅減免</w:t>
      </w:r>
      <w:proofErr w:type="gramStart"/>
      <w:r w:rsidRPr="00CC1650">
        <w:rPr>
          <w:rFonts w:hint="eastAsia"/>
        </w:rPr>
        <w:t>措施均應審慎</w:t>
      </w:r>
      <w:proofErr w:type="gramEnd"/>
      <w:r w:rsidRPr="00CC1650">
        <w:rPr>
          <w:rFonts w:hint="eastAsia"/>
        </w:rPr>
        <w:t>評估其必要性，並籌妥相對應之替代財源，且應配合國家財政及經濟發展，建立定期檢討機制，檢視相關減稅優惠措施是</w:t>
      </w:r>
      <w:r w:rsidRPr="00CC1650">
        <w:rPr>
          <w:rFonts w:hint="eastAsia"/>
        </w:rPr>
        <w:lastRenderedPageBreak/>
        <w:t>否達成預期成效，及檢討不合時宜的租稅減免及扣抵，避免過度或不當的減稅政策影響長期財政體質，以確保政府財源收入穩定，得以支應政務推動。</w:t>
      </w:r>
      <w:bookmarkEnd w:id="279"/>
      <w:bookmarkEnd w:id="280"/>
      <w:bookmarkEnd w:id="281"/>
    </w:p>
    <w:p w:rsidR="0028740F" w:rsidRPr="00CC1650" w:rsidRDefault="0028740F" w:rsidP="0028740F">
      <w:pPr>
        <w:pStyle w:val="2"/>
        <w:rPr>
          <w:b/>
        </w:rPr>
      </w:pPr>
      <w:r w:rsidRPr="00CC1650">
        <w:rPr>
          <w:rFonts w:hint="eastAsia"/>
          <w:b/>
        </w:rPr>
        <w:tab/>
      </w:r>
      <w:bookmarkStart w:id="282" w:name="_Toc455056238"/>
      <w:r w:rsidRPr="00CC1650">
        <w:rPr>
          <w:rFonts w:hint="eastAsia"/>
          <w:b/>
        </w:rPr>
        <w:t>各市縣政府普遍存在向基金</w:t>
      </w:r>
      <w:r w:rsidR="00D97830" w:rsidRPr="00CC1650">
        <w:rPr>
          <w:rFonts w:hint="eastAsia"/>
          <w:b/>
        </w:rPr>
        <w:t>、</w:t>
      </w:r>
      <w:r w:rsidRPr="00CC1650">
        <w:rPr>
          <w:rFonts w:hint="eastAsia"/>
          <w:b/>
        </w:rPr>
        <w:t>專戶調度之現象，雖未違法，然部分市縣調借金額過於龐大，且因無須納入債限餘額計算，恐使政府實質債務及收支情形未能充分允當表達，形成債限管制上之漏洞，財政部允應督促檢討改善。又對專戶調度之揭露僅及於調借金額，為避免過度</w:t>
      </w:r>
      <w:proofErr w:type="gramStart"/>
      <w:r w:rsidRPr="00CC1650">
        <w:rPr>
          <w:rFonts w:hint="eastAsia"/>
          <w:b/>
        </w:rPr>
        <w:t>調借損及</w:t>
      </w:r>
      <w:proofErr w:type="gramEnd"/>
      <w:r w:rsidRPr="00CC1650">
        <w:rPr>
          <w:rFonts w:hint="eastAsia"/>
          <w:b/>
        </w:rPr>
        <w:t>基金獨立性及影響其運作，行政院允宜督</w:t>
      </w:r>
      <w:proofErr w:type="gramStart"/>
      <w:r w:rsidRPr="00CC1650">
        <w:rPr>
          <w:rFonts w:hint="eastAsia"/>
          <w:b/>
        </w:rPr>
        <w:t>飭</w:t>
      </w:r>
      <w:proofErr w:type="gramEnd"/>
      <w:r w:rsidRPr="00CC1650">
        <w:rPr>
          <w:rFonts w:hint="eastAsia"/>
          <w:b/>
        </w:rPr>
        <w:t>所屬</w:t>
      </w:r>
      <w:proofErr w:type="gramStart"/>
      <w:r w:rsidRPr="00CC1650">
        <w:rPr>
          <w:rFonts w:hint="eastAsia"/>
          <w:b/>
        </w:rPr>
        <w:t>研</w:t>
      </w:r>
      <w:proofErr w:type="gramEnd"/>
      <w:r w:rsidRPr="00CC1650">
        <w:rPr>
          <w:rFonts w:hint="eastAsia"/>
          <w:b/>
        </w:rPr>
        <w:t>議定期揭露</w:t>
      </w:r>
      <w:proofErr w:type="gramStart"/>
      <w:r w:rsidRPr="00CC1650">
        <w:rPr>
          <w:rFonts w:hint="eastAsia"/>
          <w:b/>
        </w:rPr>
        <w:t>調借對基金</w:t>
      </w:r>
      <w:proofErr w:type="gramEnd"/>
      <w:r w:rsidRPr="00CC1650">
        <w:rPr>
          <w:rFonts w:hint="eastAsia"/>
          <w:b/>
        </w:rPr>
        <w:t>影響評估之可行性。</w:t>
      </w:r>
      <w:bookmarkEnd w:id="282"/>
    </w:p>
    <w:p w:rsidR="0028740F" w:rsidRPr="00CC1650" w:rsidRDefault="0028740F" w:rsidP="0028740F">
      <w:pPr>
        <w:pStyle w:val="3"/>
      </w:pPr>
      <w:bookmarkStart w:id="283" w:name="_Toc454877643"/>
      <w:bookmarkStart w:id="284" w:name="_Toc454884700"/>
      <w:bookmarkStart w:id="285" w:name="_Toc455056239"/>
      <w:r w:rsidRPr="00CC1650">
        <w:rPr>
          <w:rFonts w:hint="eastAsia"/>
        </w:rPr>
        <w:t>依據公共債務法第</w:t>
      </w:r>
      <w:r w:rsidR="00DD241D" w:rsidRPr="00CC1650">
        <w:rPr>
          <w:rFonts w:hint="eastAsia"/>
        </w:rPr>
        <w:t>4</w:t>
      </w:r>
      <w:r w:rsidRPr="00CC1650">
        <w:rPr>
          <w:rFonts w:hint="eastAsia"/>
        </w:rPr>
        <w:t>條</w:t>
      </w:r>
      <w:r w:rsidR="00702B88" w:rsidRPr="00CC1650">
        <w:rPr>
          <w:rFonts w:hint="eastAsia"/>
        </w:rPr>
        <w:t>第1項</w:t>
      </w:r>
      <w:r w:rsidRPr="00CC1650">
        <w:rPr>
          <w:rFonts w:hint="eastAsia"/>
        </w:rPr>
        <w:t>規定：「本法所稱公共債務，指中央及各地方政府為應公共事務支出所負擔之下列債務：一、中央公債、國庫券、國內外借款及保證債務。二、直轄市、縣(市)公債及國內外借款。三、鄉(鎮、市)國內外借款。…</w:t>
      </w:r>
      <w:proofErr w:type="gramStart"/>
      <w:r w:rsidRPr="00CC1650">
        <w:rPr>
          <w:rFonts w:hint="eastAsia"/>
        </w:rPr>
        <w:t>…</w:t>
      </w:r>
      <w:proofErr w:type="gramEnd"/>
      <w:r w:rsidRPr="00CC1650">
        <w:rPr>
          <w:rFonts w:hint="eastAsia"/>
        </w:rPr>
        <w:t>」依此規定，市縣政府向基金及特定用途</w:t>
      </w:r>
      <w:proofErr w:type="gramStart"/>
      <w:r w:rsidRPr="00CC1650">
        <w:rPr>
          <w:rFonts w:hint="eastAsia"/>
        </w:rPr>
        <w:t>專戶調借</w:t>
      </w:r>
      <w:proofErr w:type="gramEnd"/>
      <w:r w:rsidRPr="00CC1650">
        <w:rPr>
          <w:rFonts w:hint="eastAsia"/>
        </w:rPr>
        <w:t>資金，依現行規定非屬公共債務之範疇。又依公庫法第8條及第21條分別規定：「各級政府之公庫款項，由各該公庫主管機關在代理銀行設置公庫存款戶，集中管理。但依法律規定或因款項性質特殊，經各該公庫主管機關同意者，得</w:t>
      </w:r>
      <w:r w:rsidR="00702B88" w:rsidRPr="00CC1650">
        <w:rPr>
          <w:rFonts w:hint="eastAsia"/>
        </w:rPr>
        <w:t>於代理銀行或其委託之金融機構設置機關專</w:t>
      </w:r>
      <w:proofErr w:type="gramStart"/>
      <w:r w:rsidR="00702B88" w:rsidRPr="00CC1650">
        <w:rPr>
          <w:rFonts w:hint="eastAsia"/>
        </w:rPr>
        <w:t>戶存管</w:t>
      </w:r>
      <w:proofErr w:type="gramEnd"/>
      <w:r w:rsidR="00702B88" w:rsidRPr="00CC1650">
        <w:rPr>
          <w:rFonts w:hint="eastAsia"/>
        </w:rPr>
        <w:t>。」「各級政府依第8條第1</w:t>
      </w:r>
      <w:r w:rsidRPr="00CC1650">
        <w:rPr>
          <w:rFonts w:hint="eastAsia"/>
        </w:rPr>
        <w:t>項但書規定設立之機關專</w:t>
      </w:r>
      <w:proofErr w:type="gramStart"/>
      <w:r w:rsidRPr="00CC1650">
        <w:rPr>
          <w:rFonts w:hint="eastAsia"/>
        </w:rPr>
        <w:t>戶存管款項</w:t>
      </w:r>
      <w:proofErr w:type="gramEnd"/>
      <w:r w:rsidRPr="00CC1650">
        <w:rPr>
          <w:rFonts w:hint="eastAsia"/>
        </w:rPr>
        <w:t>，於不妨礙專戶設立之目的下，各該政府得視公庫實際需要，統一調度運用。…</w:t>
      </w:r>
      <w:proofErr w:type="gramStart"/>
      <w:r w:rsidRPr="00CC1650">
        <w:rPr>
          <w:rFonts w:hint="eastAsia"/>
        </w:rPr>
        <w:t>…</w:t>
      </w:r>
      <w:proofErr w:type="gramEnd"/>
      <w:r w:rsidRPr="00CC1650">
        <w:rPr>
          <w:rFonts w:hint="eastAsia"/>
        </w:rPr>
        <w:t>。」各級政府為提升資金使用效能，依規定可向所設基金及專戶調度周轉，</w:t>
      </w:r>
      <w:proofErr w:type="gramStart"/>
      <w:r w:rsidRPr="00CC1650">
        <w:rPr>
          <w:rFonts w:hint="eastAsia"/>
        </w:rPr>
        <w:t>合先敘</w:t>
      </w:r>
      <w:proofErr w:type="gramEnd"/>
      <w:r w:rsidRPr="00CC1650">
        <w:rPr>
          <w:rFonts w:hint="eastAsia"/>
        </w:rPr>
        <w:t>明。</w:t>
      </w:r>
      <w:bookmarkEnd w:id="283"/>
      <w:bookmarkEnd w:id="284"/>
      <w:bookmarkEnd w:id="285"/>
    </w:p>
    <w:p w:rsidR="0028740F" w:rsidRPr="00CC1650" w:rsidRDefault="0028740F" w:rsidP="0028740F">
      <w:pPr>
        <w:pStyle w:val="3"/>
      </w:pPr>
      <w:bookmarkStart w:id="286" w:name="_Toc454877644"/>
      <w:bookmarkStart w:id="287" w:name="_Toc454884701"/>
      <w:bookmarkStart w:id="288" w:name="_Toc455056240"/>
      <w:r w:rsidRPr="00CC1650">
        <w:rPr>
          <w:rFonts w:hint="eastAsia"/>
        </w:rPr>
        <w:t>雖依公庫法第21條規定，各級政府於不妨礙專戶設立之目的下，得視公庫實際需要，統一調度運用，且此周轉金額不列入公共債務計算範圍，故各級政</w:t>
      </w:r>
      <w:r w:rsidRPr="00CC1650">
        <w:rPr>
          <w:rFonts w:hint="eastAsia"/>
        </w:rPr>
        <w:lastRenderedPageBreak/>
        <w:t>府為提升資金使用效能，常向特種基金調借資金以取代舉借公共債務，此致債務實際數雖未成長，調借金額卻屢創新高。</w:t>
      </w:r>
      <w:proofErr w:type="gramStart"/>
      <w:r w:rsidRPr="00CC1650">
        <w:rPr>
          <w:rFonts w:hint="eastAsia"/>
        </w:rPr>
        <w:t>財政部業彙整</w:t>
      </w:r>
      <w:proofErr w:type="gramEnd"/>
      <w:r w:rsidRPr="00CC1650">
        <w:rPr>
          <w:rFonts w:hint="eastAsia"/>
        </w:rPr>
        <w:t>各級政府填報資料，經統計各級政府向所設基金及專戶調度周轉金額（未納入集中支付），從</w:t>
      </w:r>
      <w:proofErr w:type="gramStart"/>
      <w:r w:rsidRPr="00CC1650">
        <w:rPr>
          <w:rFonts w:hint="eastAsia"/>
        </w:rPr>
        <w:t>102</w:t>
      </w:r>
      <w:proofErr w:type="gramEnd"/>
      <w:r w:rsidRPr="00CC1650">
        <w:rPr>
          <w:rFonts w:hint="eastAsia"/>
        </w:rPr>
        <w:t>年度660.22億元至</w:t>
      </w:r>
      <w:proofErr w:type="gramStart"/>
      <w:r w:rsidRPr="00CC1650">
        <w:rPr>
          <w:rFonts w:hint="eastAsia"/>
        </w:rPr>
        <w:t>103</w:t>
      </w:r>
      <w:proofErr w:type="gramEnd"/>
      <w:r w:rsidRPr="00CC1650">
        <w:rPr>
          <w:rFonts w:hint="eastAsia"/>
        </w:rPr>
        <w:t>年度已成長至740.67億元。單就</w:t>
      </w:r>
      <w:proofErr w:type="gramStart"/>
      <w:r w:rsidRPr="00CC1650">
        <w:rPr>
          <w:rFonts w:hint="eastAsia"/>
        </w:rPr>
        <w:t>103</w:t>
      </w:r>
      <w:proofErr w:type="gramEnd"/>
      <w:r w:rsidRPr="00CC1650">
        <w:rPr>
          <w:rFonts w:hint="eastAsia"/>
        </w:rPr>
        <w:t>年度來看，其中中央政府尚無調度金額，地方政府調度金額共分別為直轄市480.44億元（臺北市453.48億元、</w:t>
      </w:r>
      <w:proofErr w:type="gramStart"/>
      <w:r w:rsidRPr="00CC1650">
        <w:rPr>
          <w:rFonts w:hint="eastAsia"/>
        </w:rPr>
        <w:t>臺</w:t>
      </w:r>
      <w:proofErr w:type="gramEnd"/>
      <w:r w:rsidRPr="00CC1650">
        <w:rPr>
          <w:rFonts w:hint="eastAsia"/>
        </w:rPr>
        <w:t>南市26.96億元）、縣(市)政府258.67億元（苗栗縣147.76億元、新竹縣39.87億元、雲林縣27.58億元、</w:t>
      </w:r>
      <w:proofErr w:type="gramStart"/>
      <w:r w:rsidRPr="00CC1650">
        <w:rPr>
          <w:rFonts w:hint="eastAsia"/>
        </w:rPr>
        <w:t>臺</w:t>
      </w:r>
      <w:proofErr w:type="gramEnd"/>
      <w:r w:rsidRPr="00CC1650">
        <w:rPr>
          <w:rFonts w:hint="eastAsia"/>
        </w:rPr>
        <w:t>東縣18.46億元、新竹市8.32億元、嘉義縣6億元、花蓮縣5億元、南投縣4.5億元）、鄉(鎮、市)公所1.56億元。上開各地方政府調借金額以臺北市政府453.48億元最高，</w:t>
      </w:r>
      <w:proofErr w:type="gramStart"/>
      <w:r w:rsidRPr="00CC1650">
        <w:rPr>
          <w:rFonts w:hint="eastAsia"/>
        </w:rPr>
        <w:t>占總調借</w:t>
      </w:r>
      <w:proofErr w:type="gramEnd"/>
      <w:r w:rsidRPr="00CC1650">
        <w:rPr>
          <w:rFonts w:hint="eastAsia"/>
        </w:rPr>
        <w:t>金額之</w:t>
      </w:r>
      <w:proofErr w:type="gramStart"/>
      <w:r w:rsidRPr="00CC1650">
        <w:rPr>
          <w:rFonts w:hint="eastAsia"/>
        </w:rPr>
        <w:t>6成</w:t>
      </w:r>
      <w:proofErr w:type="gramEnd"/>
      <w:r w:rsidRPr="00CC1650">
        <w:rPr>
          <w:rFonts w:hint="eastAsia"/>
        </w:rPr>
        <w:t>以上，該項調度周轉，雖未違法，然其實質仍屬借款，又未納入債限餘額計算，此恐使政府實質債務及收支情形未能充分允當表達，形成債限管制上之漏洞，雖未違反</w:t>
      </w:r>
      <w:proofErr w:type="gramStart"/>
      <w:r w:rsidRPr="00CC1650">
        <w:rPr>
          <w:rFonts w:hint="eastAsia"/>
        </w:rPr>
        <w:t>規定然尚難</w:t>
      </w:r>
      <w:proofErr w:type="gramEnd"/>
      <w:r w:rsidRPr="00CC1650">
        <w:rPr>
          <w:rFonts w:hint="eastAsia"/>
        </w:rPr>
        <w:t>謂為妥適。</w:t>
      </w:r>
      <w:bookmarkEnd w:id="286"/>
      <w:bookmarkEnd w:id="287"/>
      <w:bookmarkEnd w:id="288"/>
    </w:p>
    <w:p w:rsidR="0028740F" w:rsidRPr="00CC1650" w:rsidRDefault="0028740F" w:rsidP="0028740F">
      <w:pPr>
        <w:pStyle w:val="3"/>
      </w:pPr>
      <w:bookmarkStart w:id="289" w:name="_Toc454877645"/>
      <w:bookmarkStart w:id="290" w:name="_Toc454884702"/>
      <w:bookmarkStart w:id="291" w:name="_Toc455056241"/>
      <w:r w:rsidRPr="00CC1650">
        <w:rPr>
          <w:rFonts w:hint="eastAsia"/>
        </w:rPr>
        <w:t>又依公共債務法第5條第5項後段規定，各級政府向所設之各項基金調度周轉金額應充分揭露，規定中並未規範揭露之頻率。目前揭露之方式係</w:t>
      </w:r>
      <w:proofErr w:type="gramStart"/>
      <w:r w:rsidRPr="00CC1650">
        <w:rPr>
          <w:rFonts w:hint="eastAsia"/>
        </w:rPr>
        <w:t>採</w:t>
      </w:r>
      <w:proofErr w:type="gramEnd"/>
      <w:r w:rsidRPr="00CC1650">
        <w:rPr>
          <w:rFonts w:hint="eastAsia"/>
        </w:rPr>
        <w:t>按年由財政部彙整各級政府填報資料統計後於該部國庫署網頁主題專區之「公共債務白皮書」公布揭露，</w:t>
      </w:r>
      <w:proofErr w:type="gramStart"/>
      <w:r w:rsidRPr="00CC1650">
        <w:rPr>
          <w:rFonts w:hint="eastAsia"/>
        </w:rPr>
        <w:t>然此按年</w:t>
      </w:r>
      <w:proofErr w:type="gramEnd"/>
      <w:r w:rsidRPr="00CC1650">
        <w:rPr>
          <w:rFonts w:hint="eastAsia"/>
        </w:rPr>
        <w:t>揭露，又未規定何時公布，且僅以揭露金額數據之方式表達，究向何基金</w:t>
      </w:r>
      <w:r w:rsidR="00D97830" w:rsidRPr="00CC1650">
        <w:rPr>
          <w:rFonts w:hint="eastAsia"/>
        </w:rPr>
        <w:t>及</w:t>
      </w:r>
      <w:r w:rsidRPr="00CC1650">
        <w:rPr>
          <w:rFonts w:hint="eastAsia"/>
        </w:rPr>
        <w:t>專戶調度則一無所悉。又特定用途專戶之設立，</w:t>
      </w:r>
      <w:proofErr w:type="gramStart"/>
      <w:r w:rsidRPr="00CC1650">
        <w:rPr>
          <w:rFonts w:hint="eastAsia"/>
        </w:rPr>
        <w:t>均有其</w:t>
      </w:r>
      <w:proofErr w:type="gramEnd"/>
      <w:r w:rsidRPr="00CC1650">
        <w:rPr>
          <w:rFonts w:hint="eastAsia"/>
        </w:rPr>
        <w:t>特定收支目的，</w:t>
      </w:r>
      <w:proofErr w:type="gramStart"/>
      <w:r w:rsidRPr="00CC1650">
        <w:rPr>
          <w:rFonts w:hint="eastAsia"/>
        </w:rPr>
        <w:t>倘各級</w:t>
      </w:r>
      <w:proofErr w:type="gramEnd"/>
      <w:r w:rsidRPr="00CC1650">
        <w:rPr>
          <w:rFonts w:hint="eastAsia"/>
        </w:rPr>
        <w:t>政府逕自調借基金或特定用途專戶款項或將其納入集中支付，除將影響其運作及獨立性外，亦恐使政府實質債務及收支情形未能充分表達。現行揭露僅及於未納入集中支付之基金及特定</w:t>
      </w:r>
      <w:r w:rsidRPr="00CC1650">
        <w:rPr>
          <w:rFonts w:hint="eastAsia"/>
        </w:rPr>
        <w:lastRenderedPageBreak/>
        <w:t>用途專戶調度周轉金額，各級政府「納入集中支付」之基金及特定用途專戶餘額則以備註方式揭露，該等揭露方式顯見粗略，難謂現行公布資訊已達充分揭露之目的，實有必要就揭露方式訂定原則以讓政府財務資訊更加透明。另各基金之</w:t>
      </w:r>
      <w:proofErr w:type="gramStart"/>
      <w:r w:rsidRPr="00CC1650">
        <w:rPr>
          <w:rFonts w:hint="eastAsia"/>
        </w:rPr>
        <w:t>設立均有其</w:t>
      </w:r>
      <w:proofErr w:type="gramEnd"/>
      <w:r w:rsidRPr="00CC1650">
        <w:rPr>
          <w:rFonts w:hint="eastAsia"/>
        </w:rPr>
        <w:t>特定目的，以主管機關名義向基金調度周轉，因基金無法拒絕且對基金之影響為何，允應定期評估，避免損及基金獨立性及影響其發展。</w:t>
      </w:r>
      <w:bookmarkEnd w:id="289"/>
      <w:bookmarkEnd w:id="290"/>
      <w:bookmarkEnd w:id="291"/>
    </w:p>
    <w:p w:rsidR="0028740F" w:rsidRPr="00CC1650" w:rsidRDefault="0028740F" w:rsidP="0028740F">
      <w:pPr>
        <w:pStyle w:val="3"/>
      </w:pPr>
      <w:bookmarkStart w:id="292" w:name="_Toc454877646"/>
      <w:bookmarkStart w:id="293" w:name="_Toc454884703"/>
      <w:bookmarkStart w:id="294" w:name="_Toc455056242"/>
      <w:r w:rsidRPr="00CC1650">
        <w:rPr>
          <w:rFonts w:hint="eastAsia"/>
        </w:rPr>
        <w:t>綜上所述，各市縣政府普遍存在向基金</w:t>
      </w:r>
      <w:r w:rsidR="00D97830" w:rsidRPr="00CC1650">
        <w:rPr>
          <w:rFonts w:hint="eastAsia"/>
        </w:rPr>
        <w:t>、</w:t>
      </w:r>
      <w:r w:rsidRPr="00CC1650">
        <w:rPr>
          <w:rFonts w:hint="eastAsia"/>
        </w:rPr>
        <w:t>專戶調度之現象，雖未違法，然部分市縣調借金額過於龐大，且因無須納入債限餘額計算，恐使政府實質債務及收支情形未能充分允當表達，形成債限管制上之漏洞，行政院允應督</w:t>
      </w:r>
      <w:proofErr w:type="gramStart"/>
      <w:r w:rsidRPr="00CC1650">
        <w:rPr>
          <w:rFonts w:hint="eastAsia"/>
        </w:rPr>
        <w:t>飭</w:t>
      </w:r>
      <w:proofErr w:type="gramEnd"/>
      <w:r w:rsidRPr="00CC1650">
        <w:rPr>
          <w:rFonts w:hint="eastAsia"/>
        </w:rPr>
        <w:t>所屬檢討改善。又對專戶調度之揭露僅及於調借金額，為避免過度</w:t>
      </w:r>
      <w:proofErr w:type="gramStart"/>
      <w:r w:rsidRPr="00CC1650">
        <w:rPr>
          <w:rFonts w:hint="eastAsia"/>
        </w:rPr>
        <w:t>調借損及</w:t>
      </w:r>
      <w:proofErr w:type="gramEnd"/>
      <w:r w:rsidRPr="00CC1650">
        <w:rPr>
          <w:rFonts w:hint="eastAsia"/>
        </w:rPr>
        <w:t>基金獨立性及影響其運作，行政允宜督</w:t>
      </w:r>
      <w:proofErr w:type="gramStart"/>
      <w:r w:rsidRPr="00CC1650">
        <w:rPr>
          <w:rFonts w:hint="eastAsia"/>
        </w:rPr>
        <w:t>飭</w:t>
      </w:r>
      <w:proofErr w:type="gramEnd"/>
      <w:r w:rsidRPr="00CC1650">
        <w:rPr>
          <w:rFonts w:hint="eastAsia"/>
        </w:rPr>
        <w:t>所屬</w:t>
      </w:r>
      <w:proofErr w:type="gramStart"/>
      <w:r w:rsidRPr="00CC1650">
        <w:rPr>
          <w:rFonts w:hint="eastAsia"/>
        </w:rPr>
        <w:t>研</w:t>
      </w:r>
      <w:proofErr w:type="gramEnd"/>
      <w:r w:rsidRPr="00CC1650">
        <w:rPr>
          <w:rFonts w:hint="eastAsia"/>
        </w:rPr>
        <w:t>議定期揭露</w:t>
      </w:r>
      <w:proofErr w:type="gramStart"/>
      <w:r w:rsidRPr="00CC1650">
        <w:rPr>
          <w:rFonts w:hint="eastAsia"/>
        </w:rPr>
        <w:t>調借對基金</w:t>
      </w:r>
      <w:proofErr w:type="gramEnd"/>
      <w:r w:rsidRPr="00CC1650">
        <w:rPr>
          <w:rFonts w:hint="eastAsia"/>
        </w:rPr>
        <w:t>影響評估之可行性。</w:t>
      </w:r>
      <w:bookmarkEnd w:id="292"/>
      <w:bookmarkEnd w:id="293"/>
      <w:bookmarkEnd w:id="294"/>
    </w:p>
    <w:p w:rsidR="0028740F" w:rsidRPr="00CC1650" w:rsidRDefault="0028740F" w:rsidP="0028740F">
      <w:pPr>
        <w:pStyle w:val="2"/>
        <w:rPr>
          <w:b/>
        </w:rPr>
      </w:pPr>
      <w:bookmarkStart w:id="295" w:name="_Toc455056243"/>
      <w:r w:rsidRPr="00CC1650">
        <w:rPr>
          <w:rFonts w:hint="eastAsia"/>
          <w:b/>
        </w:rPr>
        <w:t>地方預算編列及執行預警機制施行迄今，雖已發揮一定成效，然因迄今違失之</w:t>
      </w:r>
      <w:proofErr w:type="gramStart"/>
      <w:r w:rsidRPr="00CC1650">
        <w:rPr>
          <w:rFonts w:hint="eastAsia"/>
          <w:b/>
        </w:rPr>
        <w:t>課責僅</w:t>
      </w:r>
      <w:proofErr w:type="gramEnd"/>
      <w:r w:rsidRPr="00CC1650">
        <w:rPr>
          <w:rFonts w:hint="eastAsia"/>
          <w:b/>
        </w:rPr>
        <w:t>及於扣減補助款，尚難全面防</w:t>
      </w:r>
      <w:proofErr w:type="gramStart"/>
      <w:r w:rsidRPr="00CC1650">
        <w:rPr>
          <w:rFonts w:hint="eastAsia"/>
          <w:b/>
        </w:rPr>
        <w:t>杜</w:t>
      </w:r>
      <w:proofErr w:type="gramEnd"/>
      <w:r w:rsidRPr="00CC1650">
        <w:rPr>
          <w:rFonts w:hint="eastAsia"/>
          <w:b/>
        </w:rPr>
        <w:t>，</w:t>
      </w:r>
      <w:proofErr w:type="gramStart"/>
      <w:r w:rsidRPr="00CC1650">
        <w:rPr>
          <w:rFonts w:hint="eastAsia"/>
          <w:b/>
        </w:rPr>
        <w:t>以收導正</w:t>
      </w:r>
      <w:proofErr w:type="gramEnd"/>
      <w:r w:rsidRPr="00CC1650">
        <w:rPr>
          <w:rFonts w:hint="eastAsia"/>
          <w:b/>
        </w:rPr>
        <w:t>之效，仍有部分地方政府未能確實遵守。主計</w:t>
      </w:r>
      <w:proofErr w:type="gramStart"/>
      <w:r w:rsidRPr="00CC1650">
        <w:rPr>
          <w:rFonts w:hint="eastAsia"/>
          <w:b/>
        </w:rPr>
        <w:t>總處允應</w:t>
      </w:r>
      <w:proofErr w:type="gramEnd"/>
      <w:r w:rsidRPr="00CC1650">
        <w:rPr>
          <w:rFonts w:hint="eastAsia"/>
          <w:b/>
        </w:rPr>
        <w:t>確實督促檢討改善，並</w:t>
      </w:r>
      <w:proofErr w:type="gramStart"/>
      <w:r w:rsidRPr="00CC1650">
        <w:rPr>
          <w:rFonts w:hint="eastAsia"/>
          <w:b/>
        </w:rPr>
        <w:t>研</w:t>
      </w:r>
      <w:proofErr w:type="gramEnd"/>
      <w:r w:rsidRPr="00CC1650">
        <w:rPr>
          <w:rFonts w:hint="eastAsia"/>
          <w:b/>
        </w:rPr>
        <w:t>議建立人員究責機制，針對違失情節嚴重者，予以懲處，以儆效尤，期能有效發揮警示功能。</w:t>
      </w:r>
      <w:bookmarkEnd w:id="295"/>
    </w:p>
    <w:p w:rsidR="0028740F" w:rsidRPr="00CC1650" w:rsidRDefault="0028740F" w:rsidP="0028740F">
      <w:pPr>
        <w:pStyle w:val="3"/>
      </w:pPr>
      <w:bookmarkStart w:id="296" w:name="_Toc454877648"/>
      <w:bookmarkStart w:id="297" w:name="_Toc454884705"/>
      <w:bookmarkStart w:id="298" w:name="_Toc455056244"/>
      <w:r w:rsidRPr="00CC1650">
        <w:rPr>
          <w:rFonts w:hint="eastAsia"/>
        </w:rPr>
        <w:t>主計總處對地方財務收支之監督包括：自90年度起將其高估補助收入等，納入中央一般性補助款考核辦理；且為及時導正及督促地方切實改進對財政重大影響之預算編列違失，自</w:t>
      </w:r>
      <w:proofErr w:type="gramStart"/>
      <w:r w:rsidRPr="00CC1650">
        <w:rPr>
          <w:rFonts w:hint="eastAsia"/>
        </w:rPr>
        <w:t>100</w:t>
      </w:r>
      <w:proofErr w:type="gramEnd"/>
      <w:r w:rsidRPr="00CC1650">
        <w:rPr>
          <w:rFonts w:hint="eastAsia"/>
        </w:rPr>
        <w:t>年度起推動預警機制（包含對高估補助收入、高估財產收入、高估歲出預算等15個項目之督導及考核，並於</w:t>
      </w:r>
      <w:proofErr w:type="gramStart"/>
      <w:r w:rsidRPr="00CC1650">
        <w:rPr>
          <w:rFonts w:hint="eastAsia"/>
        </w:rPr>
        <w:t>102</w:t>
      </w:r>
      <w:proofErr w:type="gramEnd"/>
      <w:r w:rsidRPr="00CC1650">
        <w:rPr>
          <w:rFonts w:hint="eastAsia"/>
        </w:rPr>
        <w:t>年度起再增加前述收入外之其他歲入項目預警），</w:t>
      </w:r>
      <w:proofErr w:type="gramStart"/>
      <w:r w:rsidRPr="00CC1650">
        <w:rPr>
          <w:rFonts w:hint="eastAsia"/>
        </w:rPr>
        <w:t>就違失與</w:t>
      </w:r>
      <w:proofErr w:type="gramEnd"/>
      <w:r w:rsidRPr="00CC1650">
        <w:rPr>
          <w:rFonts w:hint="eastAsia"/>
        </w:rPr>
        <w:t>檢討改進及</w:t>
      </w:r>
      <w:proofErr w:type="gramStart"/>
      <w:r w:rsidRPr="00CC1650">
        <w:rPr>
          <w:rFonts w:hint="eastAsia"/>
        </w:rPr>
        <w:t>歲出控管</w:t>
      </w:r>
      <w:proofErr w:type="gramEnd"/>
      <w:r w:rsidRPr="00CC1650">
        <w:rPr>
          <w:rFonts w:hint="eastAsia"/>
        </w:rPr>
        <w:t>情形，則納入一般性補助款</w:t>
      </w:r>
      <w:r w:rsidRPr="00CC1650">
        <w:rPr>
          <w:rFonts w:hint="eastAsia"/>
        </w:rPr>
        <w:lastRenderedPageBreak/>
        <w:t>考核辦理扣減考核分數。自</w:t>
      </w:r>
      <w:proofErr w:type="gramStart"/>
      <w:r w:rsidRPr="00CC1650">
        <w:rPr>
          <w:rFonts w:hint="eastAsia"/>
        </w:rPr>
        <w:t>102</w:t>
      </w:r>
      <w:proofErr w:type="gramEnd"/>
      <w:r w:rsidRPr="00CC1650">
        <w:rPr>
          <w:rFonts w:hint="eastAsia"/>
        </w:rPr>
        <w:t>年度起加重扣減高估補助收入與高估財產收入考核分數、按高估補助收入缺失檢討改進程度予以加重扣減或增加考核分數；自</w:t>
      </w:r>
      <w:proofErr w:type="gramStart"/>
      <w:r w:rsidRPr="00CC1650">
        <w:rPr>
          <w:rFonts w:hint="eastAsia"/>
        </w:rPr>
        <w:t>103</w:t>
      </w:r>
      <w:proofErr w:type="gramEnd"/>
      <w:r w:rsidRPr="00CC1650">
        <w:rPr>
          <w:rFonts w:hint="eastAsia"/>
        </w:rPr>
        <w:t>年度起再將非屬預警項目之高估補助收入、財產收入以外之其他歲入全面納入督考（按各地方高估整體歲入缺失檢討改進程度予以加重扣減或增加考核分數），並增辦事前預警作業，提前在市縣政府籌編下年度總預算前，</w:t>
      </w:r>
      <w:proofErr w:type="gramStart"/>
      <w:r w:rsidRPr="00CC1650">
        <w:rPr>
          <w:rFonts w:hint="eastAsia"/>
        </w:rPr>
        <w:t>即函附其</w:t>
      </w:r>
      <w:proofErr w:type="gramEnd"/>
      <w:r w:rsidRPr="00CC1650">
        <w:rPr>
          <w:rFonts w:hint="eastAsia"/>
        </w:rPr>
        <w:t>以往經預警機制審認結果，及請</w:t>
      </w:r>
      <w:proofErr w:type="gramStart"/>
      <w:r w:rsidRPr="00CC1650">
        <w:rPr>
          <w:rFonts w:hint="eastAsia"/>
        </w:rPr>
        <w:t>其就迄未</w:t>
      </w:r>
      <w:proofErr w:type="gramEnd"/>
      <w:r w:rsidRPr="00CC1650">
        <w:rPr>
          <w:rFonts w:hint="eastAsia"/>
        </w:rPr>
        <w:t>檢討改進之缺失</w:t>
      </w:r>
      <w:proofErr w:type="gramStart"/>
      <w:r w:rsidRPr="00CC1650">
        <w:rPr>
          <w:rFonts w:hint="eastAsia"/>
        </w:rPr>
        <w:t>研</w:t>
      </w:r>
      <w:proofErr w:type="gramEnd"/>
      <w:r w:rsidRPr="00CC1650">
        <w:rPr>
          <w:rFonts w:hint="eastAsia"/>
        </w:rPr>
        <w:t>謀改善時程、措施，妥為籌編預算；</w:t>
      </w:r>
      <w:proofErr w:type="gramStart"/>
      <w:r w:rsidRPr="00CC1650">
        <w:rPr>
          <w:rFonts w:hint="eastAsia"/>
        </w:rPr>
        <w:t>104</w:t>
      </w:r>
      <w:proofErr w:type="gramEnd"/>
      <w:r w:rsidRPr="00CC1650">
        <w:rPr>
          <w:rFonts w:hint="eastAsia"/>
        </w:rPr>
        <w:t>年度在市縣政府籌編</w:t>
      </w:r>
      <w:proofErr w:type="gramStart"/>
      <w:r w:rsidRPr="00CC1650">
        <w:rPr>
          <w:rFonts w:hint="eastAsia"/>
        </w:rPr>
        <w:t>105</w:t>
      </w:r>
      <w:proofErr w:type="gramEnd"/>
      <w:r w:rsidRPr="00CC1650">
        <w:rPr>
          <w:rFonts w:hint="eastAsia"/>
        </w:rPr>
        <w:t>年度總預算案前，即擇取高估歲入、歲出預算、社福支出編列超過一致標準編列之重大違失項目，預告自該年度起將視其違失改進情形，予以加重扣減（增加）考核分數且直接扣減（增加）定額補助款、以剔除高估歲入預算後之實質收支認定平衡與否，及將預警機制審認結果於該總處網站公開、於</w:t>
      </w:r>
      <w:proofErr w:type="gramStart"/>
      <w:r w:rsidRPr="00CC1650">
        <w:rPr>
          <w:rFonts w:hint="eastAsia"/>
        </w:rPr>
        <w:t>105</w:t>
      </w:r>
      <w:proofErr w:type="gramEnd"/>
      <w:r w:rsidRPr="00CC1650">
        <w:rPr>
          <w:rFonts w:hint="eastAsia"/>
        </w:rPr>
        <w:t>年度總預算案審議</w:t>
      </w:r>
      <w:proofErr w:type="gramStart"/>
      <w:r w:rsidRPr="00CC1650">
        <w:rPr>
          <w:rFonts w:hint="eastAsia"/>
        </w:rPr>
        <w:t>期間，</w:t>
      </w:r>
      <w:proofErr w:type="gramEnd"/>
      <w:r w:rsidRPr="00CC1650">
        <w:rPr>
          <w:rFonts w:hint="eastAsia"/>
        </w:rPr>
        <w:t>將高估補助收入等4個項目查核結果，提供各該市縣政府與副知其議會及審計部，同時揭示將依前揭預告之預警作為辦理。</w:t>
      </w:r>
      <w:bookmarkEnd w:id="296"/>
      <w:bookmarkEnd w:id="297"/>
      <w:bookmarkEnd w:id="298"/>
    </w:p>
    <w:p w:rsidR="0028740F" w:rsidRPr="00CC1650" w:rsidRDefault="0028740F" w:rsidP="0028740F">
      <w:pPr>
        <w:pStyle w:val="3"/>
      </w:pPr>
      <w:bookmarkStart w:id="299" w:name="_Toc454877649"/>
      <w:bookmarkStart w:id="300" w:name="_Toc454884706"/>
      <w:bookmarkStart w:id="301" w:name="_Toc455056245"/>
      <w:proofErr w:type="gramStart"/>
      <w:r w:rsidRPr="00CC1650">
        <w:rPr>
          <w:rFonts w:hint="eastAsia"/>
        </w:rPr>
        <w:t>經查上開</w:t>
      </w:r>
      <w:proofErr w:type="gramEnd"/>
      <w:r w:rsidRPr="00CC1650">
        <w:rPr>
          <w:rFonts w:hint="eastAsia"/>
        </w:rPr>
        <w:t>預警機制執行迄今，據主計總處比較各市縣100及</w:t>
      </w:r>
      <w:proofErr w:type="gramStart"/>
      <w:r w:rsidRPr="00CC1650">
        <w:rPr>
          <w:rFonts w:hint="eastAsia"/>
        </w:rPr>
        <w:t>104</w:t>
      </w:r>
      <w:proofErr w:type="gramEnd"/>
      <w:r w:rsidRPr="00CC1650">
        <w:rPr>
          <w:rFonts w:hint="eastAsia"/>
        </w:rPr>
        <w:t>年度預算編列及執行預警項目，15個預警項目及1個非預警項目中，尚有5個項目之</w:t>
      </w:r>
      <w:proofErr w:type="gramStart"/>
      <w:r w:rsidRPr="00CC1650">
        <w:rPr>
          <w:rFonts w:hint="eastAsia"/>
        </w:rPr>
        <w:t>違失市縣</w:t>
      </w:r>
      <w:proofErr w:type="gramEnd"/>
      <w:r w:rsidRPr="00CC1650">
        <w:rPr>
          <w:rFonts w:hint="eastAsia"/>
        </w:rPr>
        <w:t>個數未減少或連續數年未改進，包括「高估財產收入」由18.66億餘元提高為30.58億餘元、「高估歲出預算」之市縣由4個提高至5個、「歲出預算增加幅度大於歲入成長率」之市縣仍維持4個、「編列超過一致標準社會福利支出」22個市縣連續</w:t>
      </w:r>
      <w:proofErr w:type="gramStart"/>
      <w:r w:rsidRPr="00CC1650">
        <w:rPr>
          <w:rFonts w:hint="eastAsia"/>
        </w:rPr>
        <w:t>4年咸未改進</w:t>
      </w:r>
      <w:proofErr w:type="gramEnd"/>
      <w:r w:rsidRPr="00CC1650">
        <w:rPr>
          <w:rFonts w:hint="eastAsia"/>
        </w:rPr>
        <w:t>、及「累計短</w:t>
      </w:r>
      <w:proofErr w:type="gramStart"/>
      <w:r w:rsidRPr="00CC1650">
        <w:rPr>
          <w:rFonts w:hint="eastAsia"/>
        </w:rPr>
        <w:t>絀</w:t>
      </w:r>
      <w:proofErr w:type="gramEnd"/>
      <w:r w:rsidRPr="00CC1650">
        <w:rPr>
          <w:rFonts w:hint="eastAsia"/>
        </w:rPr>
        <w:t>及改善情形」之市縣由6個提高至7個。因地方政府如違反預警項目，</w:t>
      </w:r>
      <w:proofErr w:type="gramStart"/>
      <w:r w:rsidRPr="00CC1650">
        <w:rPr>
          <w:rFonts w:hint="eastAsia"/>
        </w:rPr>
        <w:t>該違失</w:t>
      </w:r>
      <w:proofErr w:type="gramEnd"/>
      <w:r w:rsidRPr="00CC1650">
        <w:rPr>
          <w:rFonts w:hint="eastAsia"/>
        </w:rPr>
        <w:lastRenderedPageBreak/>
        <w:t>之懲處僅及於扣除補助款，基於提醒象徵性扣減，懲處強度顯有不足，致預警制度自</w:t>
      </w:r>
      <w:proofErr w:type="gramStart"/>
      <w:r w:rsidRPr="00CC1650">
        <w:rPr>
          <w:rFonts w:hint="eastAsia"/>
        </w:rPr>
        <w:t>100</w:t>
      </w:r>
      <w:proofErr w:type="gramEnd"/>
      <w:r w:rsidRPr="00CC1650">
        <w:rPr>
          <w:rFonts w:hint="eastAsia"/>
        </w:rPr>
        <w:t>年度執行迄今仍有部分地方政府未能確實遵守，甚至更加惡化，足見現有預警制度尚難發揮全面遏阻導正之效。</w:t>
      </w:r>
      <w:bookmarkEnd w:id="299"/>
      <w:bookmarkEnd w:id="300"/>
      <w:bookmarkEnd w:id="301"/>
    </w:p>
    <w:p w:rsidR="0028740F" w:rsidRPr="00CC1650" w:rsidRDefault="0028740F" w:rsidP="0028740F">
      <w:pPr>
        <w:pStyle w:val="3"/>
      </w:pPr>
      <w:bookmarkStart w:id="302" w:name="_Toc454877650"/>
      <w:bookmarkStart w:id="303" w:name="_Toc454884707"/>
      <w:bookmarkStart w:id="304" w:name="_Toc455056246"/>
      <w:r w:rsidRPr="00CC1650">
        <w:rPr>
          <w:rFonts w:hint="eastAsia"/>
        </w:rPr>
        <w:t>又考量預警機制自100</w:t>
      </w:r>
      <w:r w:rsidR="00702B88" w:rsidRPr="00CC1650">
        <w:rPr>
          <w:rFonts w:hint="eastAsia"/>
        </w:rPr>
        <w:t>年</w:t>
      </w:r>
      <w:r w:rsidRPr="00CC1650">
        <w:rPr>
          <w:rFonts w:hint="eastAsia"/>
        </w:rPr>
        <w:t>推動以來，部分違失之市縣個數未減少或各該市縣連續數年未改進，及部分違失金額仍高，該</w:t>
      </w:r>
      <w:proofErr w:type="gramStart"/>
      <w:r w:rsidRPr="00CC1650">
        <w:rPr>
          <w:rFonts w:hint="eastAsia"/>
        </w:rPr>
        <w:t>總處業擬議</w:t>
      </w:r>
      <w:proofErr w:type="gramEnd"/>
      <w:r w:rsidRPr="00CC1650">
        <w:rPr>
          <w:rFonts w:hint="eastAsia"/>
        </w:rPr>
        <w:t>強化辦理</w:t>
      </w:r>
      <w:proofErr w:type="gramStart"/>
      <w:r w:rsidRPr="00CC1650">
        <w:rPr>
          <w:rFonts w:hint="eastAsia"/>
        </w:rPr>
        <w:t>105</w:t>
      </w:r>
      <w:proofErr w:type="gramEnd"/>
      <w:r w:rsidRPr="00CC1650">
        <w:rPr>
          <w:rFonts w:hint="eastAsia"/>
        </w:rPr>
        <w:t>年度地方預算事前預警，對於影響財政惡化重大違失項目（高估補助收入、高估財產收入、高估其他歲入、編列超過一致標準社會福利支出、高估歲出預算5項），列為加強督導之重點，倘連續多年未改進者，甚或加重者，應予加重扣分，且直接扣減補助款，並將預警結果公開透明，以發揮防患未然及全民監督之效，冀能漸次將地方政府財政紀律導回正軌。然此做法能否達成？單以「編列超過一致標準社會福利支出」之預警項目來看，全國22個市縣連續</w:t>
      </w:r>
      <w:proofErr w:type="gramStart"/>
      <w:r w:rsidRPr="00CC1650">
        <w:rPr>
          <w:rFonts w:hint="eastAsia"/>
        </w:rPr>
        <w:t>4年咸未改進</w:t>
      </w:r>
      <w:proofErr w:type="gramEnd"/>
      <w:r w:rsidRPr="00CC1650">
        <w:rPr>
          <w:rFonts w:hint="eastAsia"/>
        </w:rPr>
        <w:t>，該預警制度是否能發揮遏阻效果不無疑義，實有必要</w:t>
      </w:r>
      <w:proofErr w:type="gramStart"/>
      <w:r w:rsidRPr="00CC1650">
        <w:rPr>
          <w:rFonts w:hint="eastAsia"/>
        </w:rPr>
        <w:t>研</w:t>
      </w:r>
      <w:proofErr w:type="gramEnd"/>
      <w:r w:rsidRPr="00CC1650">
        <w:rPr>
          <w:rFonts w:hint="eastAsia"/>
        </w:rPr>
        <w:t>議建立人員究責機制，針對違失情節嚴重者，予以懲處，以有效發揮警示功能。</w:t>
      </w:r>
      <w:bookmarkEnd w:id="302"/>
      <w:bookmarkEnd w:id="303"/>
      <w:bookmarkEnd w:id="304"/>
    </w:p>
    <w:p w:rsidR="0028740F" w:rsidRPr="00CC1650" w:rsidRDefault="0028740F" w:rsidP="0028740F">
      <w:pPr>
        <w:pStyle w:val="3"/>
      </w:pPr>
      <w:bookmarkStart w:id="305" w:name="_Toc454877651"/>
      <w:bookmarkStart w:id="306" w:name="_Toc454884708"/>
      <w:bookmarkStart w:id="307" w:name="_Toc455056247"/>
      <w:r w:rsidRPr="00CC1650">
        <w:rPr>
          <w:rFonts w:hint="eastAsia"/>
        </w:rPr>
        <w:t>綜上，主計總處對地方預算編列及執行預警機制施行迄今，雖已發揮一定成效，然因違失之</w:t>
      </w:r>
      <w:proofErr w:type="gramStart"/>
      <w:r w:rsidRPr="00CC1650">
        <w:rPr>
          <w:rFonts w:hint="eastAsia"/>
        </w:rPr>
        <w:t>課責僅</w:t>
      </w:r>
      <w:proofErr w:type="gramEnd"/>
      <w:r w:rsidRPr="00CC1650">
        <w:rPr>
          <w:rFonts w:hint="eastAsia"/>
        </w:rPr>
        <w:t>及於扣除補助款，尚難發揮全面遏阻導正之效，仍有部分地方政府未能確實遵守，允應確實檢討改善，並</w:t>
      </w:r>
      <w:proofErr w:type="gramStart"/>
      <w:r w:rsidRPr="00CC1650">
        <w:rPr>
          <w:rFonts w:hint="eastAsia"/>
        </w:rPr>
        <w:t>研</w:t>
      </w:r>
      <w:proofErr w:type="gramEnd"/>
      <w:r w:rsidRPr="00CC1650">
        <w:rPr>
          <w:rFonts w:hint="eastAsia"/>
        </w:rPr>
        <w:t>議建立人員究責機制，針對違失情節嚴重者，予以懲處，以儆效尤，期能有效發揮警示功能。</w:t>
      </w:r>
      <w:bookmarkEnd w:id="305"/>
      <w:bookmarkEnd w:id="306"/>
      <w:bookmarkEnd w:id="307"/>
    </w:p>
    <w:p w:rsidR="003A5927" w:rsidRPr="00CC1650" w:rsidRDefault="003A5927" w:rsidP="00DE4238">
      <w:pPr>
        <w:pStyle w:val="32"/>
        <w:ind w:left="1361" w:firstLine="680"/>
      </w:pPr>
      <w:bookmarkStart w:id="308" w:name="_Toc52490273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54B61" w:rsidRPr="00CC1650" w:rsidRDefault="00454B61" w:rsidP="00DE4238">
      <w:pPr>
        <w:pStyle w:val="32"/>
        <w:ind w:left="1361" w:firstLine="680"/>
      </w:pPr>
    </w:p>
    <w:p w:rsidR="00454B61" w:rsidRPr="00CC1650" w:rsidRDefault="00454B61" w:rsidP="00DE4238">
      <w:pPr>
        <w:pStyle w:val="32"/>
        <w:ind w:left="1361" w:firstLine="680"/>
      </w:pPr>
    </w:p>
    <w:bookmarkEnd w:id="308"/>
    <w:p w:rsidR="00E25849" w:rsidRPr="00CC1650" w:rsidRDefault="00454B61" w:rsidP="00454B61">
      <w:pPr>
        <w:pStyle w:val="1"/>
        <w:numPr>
          <w:ilvl w:val="0"/>
          <w:numId w:val="0"/>
        </w:numPr>
        <w:ind w:left="2380"/>
        <w:rPr>
          <w:rFonts w:ascii="Times New Roman"/>
          <w:b/>
          <w:bCs w:val="0"/>
          <w:kern w:val="0"/>
          <w:sz w:val="40"/>
        </w:rPr>
      </w:pPr>
      <w:r w:rsidRPr="00CC1650">
        <w:rPr>
          <w:rFonts w:hint="eastAsia"/>
          <w:spacing w:val="12"/>
          <w:kern w:val="0"/>
          <w:sz w:val="40"/>
        </w:rPr>
        <w:lastRenderedPageBreak/>
        <w:t xml:space="preserve">      </w:t>
      </w:r>
      <w:r w:rsidR="00E25849" w:rsidRPr="00CC1650">
        <w:rPr>
          <w:rFonts w:hint="eastAsia"/>
          <w:spacing w:val="12"/>
          <w:kern w:val="0"/>
          <w:sz w:val="40"/>
        </w:rPr>
        <w:t>調查委員：</w:t>
      </w:r>
      <w:r w:rsidR="00F3617E" w:rsidRPr="00CC1650">
        <w:rPr>
          <w:rFonts w:hint="eastAsia"/>
          <w:bCs w:val="0"/>
          <w:spacing w:val="12"/>
          <w:kern w:val="0"/>
          <w:sz w:val="40"/>
        </w:rPr>
        <w:t>李月德</w:t>
      </w:r>
    </w:p>
    <w:p w:rsidR="00E25849" w:rsidRPr="00CC1650" w:rsidRDefault="00F3617E" w:rsidP="00454B61">
      <w:pPr>
        <w:pStyle w:val="ab"/>
        <w:spacing w:before="0" w:after="0"/>
        <w:ind w:leftChars="1100" w:left="3742" w:firstLineChars="530" w:firstLine="2354"/>
        <w:rPr>
          <w:b w:val="0"/>
          <w:bCs/>
          <w:snapToGrid/>
          <w:spacing w:val="12"/>
          <w:kern w:val="0"/>
          <w:sz w:val="40"/>
          <w:szCs w:val="40"/>
        </w:rPr>
      </w:pPr>
      <w:r w:rsidRPr="00CC1650">
        <w:rPr>
          <w:rFonts w:hint="eastAsia"/>
          <w:b w:val="0"/>
          <w:bCs/>
          <w:snapToGrid/>
          <w:spacing w:val="12"/>
          <w:kern w:val="0"/>
          <w:sz w:val="40"/>
          <w:szCs w:val="40"/>
        </w:rPr>
        <w:t>楊美鈴</w:t>
      </w:r>
    </w:p>
    <w:p w:rsidR="00186B6F" w:rsidRPr="00CC1650" w:rsidRDefault="00F3617E" w:rsidP="00454B61">
      <w:pPr>
        <w:pStyle w:val="ab"/>
        <w:spacing w:before="0" w:after="0"/>
        <w:ind w:leftChars="1100" w:left="3742" w:firstLineChars="530" w:firstLine="2354"/>
        <w:rPr>
          <w:b w:val="0"/>
          <w:bCs/>
          <w:snapToGrid/>
          <w:spacing w:val="12"/>
          <w:kern w:val="0"/>
          <w:sz w:val="40"/>
          <w:szCs w:val="40"/>
        </w:rPr>
      </w:pPr>
      <w:r w:rsidRPr="00CC1650">
        <w:rPr>
          <w:rFonts w:hint="eastAsia"/>
          <w:b w:val="0"/>
          <w:bCs/>
          <w:snapToGrid/>
          <w:spacing w:val="12"/>
          <w:kern w:val="0"/>
          <w:sz w:val="40"/>
          <w:szCs w:val="40"/>
        </w:rPr>
        <w:t>高鳳仙</w:t>
      </w:r>
    </w:p>
    <w:p w:rsidR="009600AD" w:rsidRPr="00CC1650" w:rsidRDefault="00F3617E" w:rsidP="00454B61">
      <w:pPr>
        <w:pStyle w:val="ab"/>
        <w:spacing w:before="0" w:after="0"/>
        <w:ind w:leftChars="1100" w:left="3742" w:firstLineChars="530" w:firstLine="2354"/>
        <w:rPr>
          <w:b w:val="0"/>
          <w:bCs/>
          <w:snapToGrid/>
          <w:spacing w:val="12"/>
          <w:kern w:val="0"/>
          <w:sz w:val="40"/>
          <w:szCs w:val="40"/>
        </w:rPr>
      </w:pPr>
      <w:r w:rsidRPr="00CC1650">
        <w:rPr>
          <w:rFonts w:hint="eastAsia"/>
          <w:b w:val="0"/>
          <w:bCs/>
          <w:snapToGrid/>
          <w:spacing w:val="12"/>
          <w:kern w:val="0"/>
          <w:sz w:val="40"/>
          <w:szCs w:val="40"/>
        </w:rPr>
        <w:t>章仁香</w:t>
      </w:r>
    </w:p>
    <w:p w:rsidR="00186B6F" w:rsidRPr="00CC1650" w:rsidRDefault="00F3617E" w:rsidP="00454B61">
      <w:pPr>
        <w:pStyle w:val="ab"/>
        <w:spacing w:before="0" w:after="0"/>
        <w:ind w:leftChars="1100" w:left="3742" w:firstLineChars="530" w:firstLine="2354"/>
        <w:rPr>
          <w:b w:val="0"/>
          <w:bCs/>
          <w:snapToGrid/>
          <w:spacing w:val="12"/>
          <w:kern w:val="0"/>
          <w:sz w:val="40"/>
          <w:szCs w:val="40"/>
        </w:rPr>
      </w:pPr>
      <w:r w:rsidRPr="00CC1650">
        <w:rPr>
          <w:rFonts w:hint="eastAsia"/>
          <w:b w:val="0"/>
          <w:bCs/>
          <w:snapToGrid/>
          <w:spacing w:val="12"/>
          <w:kern w:val="0"/>
          <w:sz w:val="40"/>
          <w:szCs w:val="40"/>
        </w:rPr>
        <w:t>陳慶財</w:t>
      </w:r>
    </w:p>
    <w:p w:rsidR="00416721" w:rsidRPr="00CC1650" w:rsidRDefault="00416721" w:rsidP="00F82641">
      <w:pPr>
        <w:pStyle w:val="af1"/>
        <w:kinsoku/>
        <w:autoSpaceDE w:val="0"/>
        <w:ind w:left="1020" w:hanging="1020"/>
        <w:rPr>
          <w:bCs/>
        </w:rPr>
      </w:pPr>
    </w:p>
    <w:p w:rsidR="00FF7DB4" w:rsidRPr="00CC1650" w:rsidRDefault="00FF7DB4">
      <w:pPr>
        <w:widowControl/>
        <w:overflowPunct/>
        <w:autoSpaceDE/>
        <w:autoSpaceDN/>
        <w:jc w:val="left"/>
        <w:rPr>
          <w:bCs/>
          <w:kern w:val="0"/>
        </w:rPr>
        <w:sectPr w:rsidR="00FF7DB4" w:rsidRPr="00CC1650" w:rsidSect="00D978D9">
          <w:footerReference w:type="default" r:id="rId13"/>
          <w:pgSz w:w="11907" w:h="16840" w:code="9"/>
          <w:pgMar w:top="1701" w:right="1418" w:bottom="1418" w:left="1191" w:header="851" w:footer="851" w:gutter="227"/>
          <w:cols w:space="425"/>
          <w:docGrid w:type="linesAndChars" w:linePitch="457" w:charSpace="4127"/>
        </w:sectPr>
      </w:pPr>
    </w:p>
    <w:p w:rsidR="0051678B" w:rsidRPr="00CC1650" w:rsidRDefault="0051678B" w:rsidP="0051678B">
      <w:pPr>
        <w:pStyle w:val="a1"/>
        <w:numPr>
          <w:ilvl w:val="0"/>
          <w:numId w:val="0"/>
        </w:numPr>
        <w:rPr>
          <w:bCs/>
        </w:rPr>
      </w:pPr>
      <w:bookmarkStart w:id="309" w:name="_Toc449101414"/>
      <w:bookmarkStart w:id="310" w:name="_Toc451364087"/>
      <w:bookmarkStart w:id="311" w:name="_Toc453158906"/>
      <w:bookmarkStart w:id="312" w:name="_Toc455056253"/>
      <w:bookmarkStart w:id="313" w:name="_Toc4467127"/>
      <w:r w:rsidRPr="00CC1650">
        <w:rPr>
          <w:rFonts w:hAnsi="標楷體" w:cs="標楷體" w:hint="eastAsia"/>
        </w:rPr>
        <w:lastRenderedPageBreak/>
        <w:t>附表一、94至104年通過之減稅法律、財源彌補及估計稅收損失</w:t>
      </w:r>
      <w:bookmarkEnd w:id="309"/>
      <w:bookmarkEnd w:id="310"/>
      <w:bookmarkEnd w:id="311"/>
      <w:bookmarkEnd w:id="312"/>
    </w:p>
    <w:tbl>
      <w:tblPr>
        <w:tblW w:w="5016" w:type="pc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580"/>
        <w:gridCol w:w="972"/>
        <w:gridCol w:w="3031"/>
        <w:gridCol w:w="1126"/>
        <w:gridCol w:w="3193"/>
        <w:gridCol w:w="1068"/>
        <w:gridCol w:w="855"/>
        <w:gridCol w:w="996"/>
        <w:gridCol w:w="860"/>
        <w:gridCol w:w="2824"/>
      </w:tblGrid>
      <w:tr w:rsidR="0051678B" w:rsidRPr="00CC1650" w:rsidTr="00044831">
        <w:trPr>
          <w:trHeight w:val="339"/>
          <w:tblHeader/>
        </w:trPr>
        <w:tc>
          <w:tcPr>
            <w:tcW w:w="580" w:type="dxa"/>
            <w:vMerge w:val="restart"/>
            <w:vAlign w:val="center"/>
          </w:tcPr>
          <w:p w:rsidR="0051678B" w:rsidRPr="00CC1650" w:rsidRDefault="0051678B" w:rsidP="00044831">
            <w:pPr>
              <w:kinsoku w:val="0"/>
              <w:spacing w:line="270" w:lineRule="exact"/>
              <w:jc w:val="center"/>
              <w:rPr>
                <w:rFonts w:ascii="Times New Roman"/>
                <w:sz w:val="24"/>
                <w:szCs w:val="24"/>
              </w:rPr>
            </w:pPr>
            <w:r w:rsidRPr="00CC1650">
              <w:rPr>
                <w:rFonts w:ascii="Times New Roman"/>
                <w:sz w:val="24"/>
                <w:szCs w:val="24"/>
              </w:rPr>
              <w:t>序號</w:t>
            </w:r>
          </w:p>
        </w:tc>
        <w:tc>
          <w:tcPr>
            <w:tcW w:w="972" w:type="dxa"/>
            <w:vMerge w:val="restart"/>
            <w:vAlign w:val="center"/>
          </w:tcPr>
          <w:p w:rsidR="0051678B" w:rsidRPr="00CC1650" w:rsidRDefault="0051678B" w:rsidP="00044831">
            <w:pPr>
              <w:kinsoku w:val="0"/>
              <w:spacing w:line="270" w:lineRule="exact"/>
              <w:jc w:val="center"/>
              <w:rPr>
                <w:rFonts w:ascii="Times New Roman"/>
                <w:spacing w:val="-20"/>
                <w:sz w:val="24"/>
                <w:szCs w:val="24"/>
              </w:rPr>
            </w:pPr>
            <w:proofErr w:type="gramStart"/>
            <w:r w:rsidRPr="00CC1650">
              <w:rPr>
                <w:rFonts w:ascii="Times New Roman"/>
                <w:spacing w:val="-20"/>
                <w:sz w:val="24"/>
                <w:szCs w:val="24"/>
              </w:rPr>
              <w:t>稅別</w:t>
            </w:r>
            <w:proofErr w:type="gramEnd"/>
          </w:p>
        </w:tc>
        <w:tc>
          <w:tcPr>
            <w:tcW w:w="3031" w:type="dxa"/>
            <w:vMerge w:val="restart"/>
            <w:vAlign w:val="center"/>
          </w:tcPr>
          <w:p w:rsidR="0051678B" w:rsidRPr="00CC1650" w:rsidRDefault="0051678B" w:rsidP="00044831">
            <w:pPr>
              <w:kinsoku w:val="0"/>
              <w:spacing w:line="270" w:lineRule="exact"/>
              <w:jc w:val="center"/>
              <w:rPr>
                <w:rFonts w:ascii="Times New Roman"/>
                <w:spacing w:val="-20"/>
                <w:sz w:val="24"/>
                <w:szCs w:val="24"/>
              </w:rPr>
            </w:pPr>
            <w:r w:rsidRPr="00CC1650">
              <w:rPr>
                <w:rFonts w:ascii="Times New Roman"/>
                <w:spacing w:val="-20"/>
                <w:sz w:val="24"/>
                <w:szCs w:val="24"/>
              </w:rPr>
              <w:t>減稅措施</w:t>
            </w:r>
          </w:p>
        </w:tc>
        <w:tc>
          <w:tcPr>
            <w:tcW w:w="1126" w:type="dxa"/>
            <w:vMerge w:val="restart"/>
            <w:vAlign w:val="center"/>
          </w:tcPr>
          <w:p w:rsidR="0051678B" w:rsidRPr="00CC1650" w:rsidRDefault="0051678B" w:rsidP="00044831">
            <w:pPr>
              <w:kinsoku w:val="0"/>
              <w:spacing w:line="270" w:lineRule="exact"/>
              <w:jc w:val="center"/>
              <w:rPr>
                <w:rFonts w:ascii="Times New Roman"/>
                <w:spacing w:val="-20"/>
                <w:sz w:val="24"/>
                <w:szCs w:val="24"/>
              </w:rPr>
            </w:pPr>
            <w:r w:rsidRPr="00CC1650">
              <w:rPr>
                <w:rFonts w:ascii="Times New Roman"/>
                <w:spacing w:val="-20"/>
                <w:sz w:val="24"/>
                <w:szCs w:val="24"/>
              </w:rPr>
              <w:t>施行日期</w:t>
            </w:r>
          </w:p>
        </w:tc>
        <w:tc>
          <w:tcPr>
            <w:tcW w:w="3193" w:type="dxa"/>
            <w:vMerge w:val="restart"/>
            <w:vAlign w:val="center"/>
          </w:tcPr>
          <w:p w:rsidR="0051678B" w:rsidRPr="00CC1650" w:rsidRDefault="0051678B" w:rsidP="00044831">
            <w:pPr>
              <w:kinsoku w:val="0"/>
              <w:spacing w:line="270" w:lineRule="exact"/>
              <w:jc w:val="center"/>
              <w:rPr>
                <w:rFonts w:ascii="Times New Roman"/>
                <w:spacing w:val="-20"/>
                <w:sz w:val="24"/>
                <w:szCs w:val="24"/>
              </w:rPr>
            </w:pPr>
            <w:r w:rsidRPr="00CC1650">
              <w:rPr>
                <w:rFonts w:ascii="Times New Roman"/>
                <w:spacing w:val="-20"/>
                <w:sz w:val="24"/>
                <w:szCs w:val="24"/>
              </w:rPr>
              <w:t>財源彌補方式</w:t>
            </w:r>
          </w:p>
        </w:tc>
        <w:tc>
          <w:tcPr>
            <w:tcW w:w="3779" w:type="dxa"/>
            <w:gridSpan w:val="4"/>
            <w:vAlign w:val="center"/>
          </w:tcPr>
          <w:p w:rsidR="0051678B" w:rsidRPr="00CC1650" w:rsidRDefault="0051678B" w:rsidP="00044831">
            <w:pPr>
              <w:kinsoku w:val="0"/>
              <w:spacing w:line="320" w:lineRule="exact"/>
              <w:jc w:val="center"/>
              <w:rPr>
                <w:rFonts w:ascii="Times New Roman"/>
                <w:sz w:val="24"/>
                <w:szCs w:val="24"/>
              </w:rPr>
            </w:pPr>
            <w:r w:rsidRPr="00CC1650">
              <w:rPr>
                <w:rFonts w:ascii="Times New Roman"/>
                <w:sz w:val="24"/>
                <w:szCs w:val="24"/>
              </w:rPr>
              <w:t>估計稅收損失</w:t>
            </w:r>
          </w:p>
        </w:tc>
        <w:tc>
          <w:tcPr>
            <w:tcW w:w="2824" w:type="dxa"/>
            <w:vMerge w:val="restart"/>
            <w:vAlign w:val="center"/>
          </w:tcPr>
          <w:p w:rsidR="0051678B" w:rsidRPr="00CC1650" w:rsidRDefault="0051678B" w:rsidP="00044831">
            <w:pPr>
              <w:kinsoku w:val="0"/>
              <w:spacing w:line="270" w:lineRule="exact"/>
              <w:jc w:val="center"/>
              <w:rPr>
                <w:rFonts w:ascii="Times New Roman"/>
                <w:sz w:val="24"/>
                <w:szCs w:val="24"/>
              </w:rPr>
            </w:pPr>
            <w:r w:rsidRPr="00CC1650">
              <w:rPr>
                <w:rFonts w:ascii="Times New Roman"/>
                <w:sz w:val="24"/>
                <w:szCs w:val="24"/>
              </w:rPr>
              <w:t>原預估效益及執行迄今實際具體效益</w:t>
            </w:r>
          </w:p>
        </w:tc>
      </w:tr>
      <w:tr w:rsidR="0051678B" w:rsidRPr="00CC1650" w:rsidTr="00044831">
        <w:trPr>
          <w:tblHeader/>
        </w:trPr>
        <w:tc>
          <w:tcPr>
            <w:tcW w:w="580" w:type="dxa"/>
            <w:vMerge/>
          </w:tcPr>
          <w:p w:rsidR="0051678B" w:rsidRPr="00CC1650" w:rsidRDefault="0051678B" w:rsidP="00044831">
            <w:pPr>
              <w:kinsoku w:val="0"/>
              <w:spacing w:line="320" w:lineRule="exact"/>
              <w:jc w:val="center"/>
              <w:rPr>
                <w:rFonts w:ascii="Times New Roman"/>
                <w:sz w:val="24"/>
                <w:szCs w:val="24"/>
              </w:rPr>
            </w:pPr>
          </w:p>
        </w:tc>
        <w:tc>
          <w:tcPr>
            <w:tcW w:w="972" w:type="dxa"/>
            <w:vMerge/>
          </w:tcPr>
          <w:p w:rsidR="0051678B" w:rsidRPr="00CC1650" w:rsidRDefault="0051678B" w:rsidP="00044831">
            <w:pPr>
              <w:kinsoku w:val="0"/>
              <w:spacing w:line="320" w:lineRule="exact"/>
              <w:jc w:val="center"/>
              <w:rPr>
                <w:rFonts w:ascii="Times New Roman"/>
                <w:sz w:val="24"/>
                <w:szCs w:val="24"/>
              </w:rPr>
            </w:pPr>
          </w:p>
        </w:tc>
        <w:tc>
          <w:tcPr>
            <w:tcW w:w="3031" w:type="dxa"/>
            <w:vMerge/>
          </w:tcPr>
          <w:p w:rsidR="0051678B" w:rsidRPr="00CC1650" w:rsidRDefault="0051678B" w:rsidP="00044831">
            <w:pPr>
              <w:kinsoku w:val="0"/>
              <w:spacing w:line="320" w:lineRule="exact"/>
              <w:rPr>
                <w:rFonts w:ascii="Times New Roman"/>
                <w:sz w:val="24"/>
                <w:szCs w:val="24"/>
              </w:rPr>
            </w:pPr>
          </w:p>
        </w:tc>
        <w:tc>
          <w:tcPr>
            <w:tcW w:w="1126" w:type="dxa"/>
            <w:vMerge/>
          </w:tcPr>
          <w:p w:rsidR="0051678B" w:rsidRPr="00CC1650" w:rsidRDefault="0051678B" w:rsidP="00044831">
            <w:pPr>
              <w:kinsoku w:val="0"/>
              <w:spacing w:line="320" w:lineRule="exact"/>
              <w:jc w:val="center"/>
              <w:rPr>
                <w:rFonts w:ascii="Times New Roman"/>
                <w:sz w:val="24"/>
                <w:szCs w:val="24"/>
              </w:rPr>
            </w:pPr>
          </w:p>
        </w:tc>
        <w:tc>
          <w:tcPr>
            <w:tcW w:w="3193" w:type="dxa"/>
            <w:vMerge/>
          </w:tcPr>
          <w:p w:rsidR="0051678B" w:rsidRPr="00CC1650" w:rsidRDefault="0051678B" w:rsidP="00044831">
            <w:pPr>
              <w:kinsoku w:val="0"/>
              <w:spacing w:line="320" w:lineRule="exact"/>
              <w:rPr>
                <w:rFonts w:ascii="Times New Roman"/>
                <w:sz w:val="24"/>
                <w:szCs w:val="24"/>
              </w:rPr>
            </w:pPr>
          </w:p>
        </w:tc>
        <w:tc>
          <w:tcPr>
            <w:tcW w:w="1068" w:type="dxa"/>
          </w:tcPr>
          <w:p w:rsidR="0051678B" w:rsidRPr="00CC1650" w:rsidRDefault="0051678B" w:rsidP="00044831">
            <w:pPr>
              <w:kinsoku w:val="0"/>
              <w:spacing w:line="270" w:lineRule="exact"/>
              <w:jc w:val="center"/>
              <w:rPr>
                <w:rFonts w:ascii="Times New Roman"/>
                <w:spacing w:val="-20"/>
                <w:sz w:val="24"/>
                <w:szCs w:val="24"/>
              </w:rPr>
            </w:pPr>
            <w:r w:rsidRPr="00CC1650">
              <w:rPr>
                <w:rFonts w:ascii="Times New Roman"/>
                <w:spacing w:val="-20"/>
                <w:sz w:val="24"/>
                <w:szCs w:val="24"/>
              </w:rPr>
              <w:t>施行年度</w:t>
            </w:r>
          </w:p>
        </w:tc>
        <w:tc>
          <w:tcPr>
            <w:tcW w:w="855" w:type="dxa"/>
          </w:tcPr>
          <w:p w:rsidR="0051678B" w:rsidRPr="00CC1650" w:rsidRDefault="0051678B" w:rsidP="00044831">
            <w:pPr>
              <w:kinsoku w:val="0"/>
              <w:spacing w:line="320" w:lineRule="exact"/>
              <w:jc w:val="center"/>
              <w:rPr>
                <w:rFonts w:ascii="Times New Roman"/>
                <w:sz w:val="24"/>
                <w:szCs w:val="24"/>
              </w:rPr>
            </w:pPr>
            <w:r w:rsidRPr="00CC1650">
              <w:rPr>
                <w:rFonts w:ascii="Times New Roman"/>
                <w:sz w:val="24"/>
                <w:szCs w:val="24"/>
              </w:rPr>
              <w:t>N+1</w:t>
            </w:r>
          </w:p>
        </w:tc>
        <w:tc>
          <w:tcPr>
            <w:tcW w:w="996" w:type="dxa"/>
          </w:tcPr>
          <w:p w:rsidR="0051678B" w:rsidRPr="00CC1650" w:rsidRDefault="0051678B" w:rsidP="00044831">
            <w:pPr>
              <w:kinsoku w:val="0"/>
              <w:spacing w:line="320" w:lineRule="exact"/>
              <w:jc w:val="center"/>
              <w:rPr>
                <w:rFonts w:ascii="Times New Roman"/>
                <w:sz w:val="24"/>
                <w:szCs w:val="24"/>
              </w:rPr>
            </w:pPr>
            <w:r w:rsidRPr="00CC1650">
              <w:rPr>
                <w:rFonts w:ascii="Times New Roman"/>
                <w:sz w:val="24"/>
                <w:szCs w:val="24"/>
              </w:rPr>
              <w:t>N+2</w:t>
            </w:r>
          </w:p>
        </w:tc>
        <w:tc>
          <w:tcPr>
            <w:tcW w:w="860" w:type="dxa"/>
          </w:tcPr>
          <w:p w:rsidR="0051678B" w:rsidRPr="00CC1650" w:rsidRDefault="0051678B" w:rsidP="00044831">
            <w:pPr>
              <w:kinsoku w:val="0"/>
              <w:spacing w:line="320" w:lineRule="exact"/>
              <w:jc w:val="center"/>
              <w:rPr>
                <w:rFonts w:ascii="Times New Roman"/>
                <w:sz w:val="24"/>
                <w:szCs w:val="24"/>
              </w:rPr>
            </w:pPr>
            <w:r w:rsidRPr="00CC1650">
              <w:rPr>
                <w:rFonts w:ascii="Times New Roman"/>
                <w:sz w:val="24"/>
                <w:szCs w:val="24"/>
              </w:rPr>
              <w:t>N+3</w:t>
            </w:r>
          </w:p>
        </w:tc>
        <w:tc>
          <w:tcPr>
            <w:tcW w:w="2824" w:type="dxa"/>
            <w:vMerge/>
          </w:tcPr>
          <w:p w:rsidR="0051678B" w:rsidRPr="00CC1650" w:rsidRDefault="0051678B" w:rsidP="00044831">
            <w:pPr>
              <w:kinsoku w:val="0"/>
              <w:spacing w:line="320" w:lineRule="exact"/>
              <w:rPr>
                <w:rFonts w:ascii="Times New Roman"/>
                <w:sz w:val="24"/>
                <w:szCs w:val="24"/>
              </w:rPr>
            </w:pPr>
          </w:p>
        </w:tc>
      </w:tr>
      <w:tr w:rsidR="0051678B" w:rsidRPr="00CC1650" w:rsidTr="00044831">
        <w:tc>
          <w:tcPr>
            <w:tcW w:w="580" w:type="dxa"/>
          </w:tcPr>
          <w:p w:rsidR="0051678B" w:rsidRPr="00CC1650" w:rsidRDefault="0051678B" w:rsidP="0051678B">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CC1650" w:rsidRDefault="0051678B" w:rsidP="00044831">
            <w:pPr>
              <w:kinsoku w:val="0"/>
              <w:spacing w:line="320" w:lineRule="exact"/>
              <w:rPr>
                <w:rFonts w:ascii="Times New Roman"/>
                <w:sz w:val="24"/>
              </w:rPr>
            </w:pPr>
            <w:r w:rsidRPr="00CC1650">
              <w:rPr>
                <w:rFonts w:ascii="Times New Roman" w:hint="eastAsia"/>
                <w:sz w:val="24"/>
              </w:rPr>
              <w:t>土地增值稅</w:t>
            </w:r>
          </w:p>
        </w:tc>
        <w:tc>
          <w:tcPr>
            <w:tcW w:w="3031" w:type="dxa"/>
          </w:tcPr>
          <w:p w:rsidR="0051678B" w:rsidRPr="00CC1650" w:rsidRDefault="0051678B" w:rsidP="00044831">
            <w:pPr>
              <w:kinsoku w:val="0"/>
              <w:spacing w:line="300" w:lineRule="exact"/>
              <w:rPr>
                <w:rFonts w:ascii="Times New Roman"/>
                <w:sz w:val="24"/>
              </w:rPr>
            </w:pPr>
            <w:r w:rsidRPr="00CC1650">
              <w:rPr>
                <w:rFonts w:ascii="Times New Roman" w:hint="eastAsia"/>
                <w:sz w:val="24"/>
              </w:rPr>
              <w:t>94</w:t>
            </w:r>
            <w:r w:rsidRPr="00CC1650">
              <w:rPr>
                <w:rFonts w:ascii="Times New Roman" w:hint="eastAsia"/>
                <w:sz w:val="24"/>
              </w:rPr>
              <w:t>年</w:t>
            </w:r>
            <w:r w:rsidRPr="00CC1650">
              <w:rPr>
                <w:rFonts w:ascii="Times New Roman" w:hint="eastAsia"/>
                <w:sz w:val="24"/>
              </w:rPr>
              <w:t>1</w:t>
            </w:r>
            <w:r w:rsidRPr="00CC1650">
              <w:rPr>
                <w:rFonts w:ascii="Times New Roman" w:hint="eastAsia"/>
                <w:sz w:val="24"/>
              </w:rPr>
              <w:t>月</w:t>
            </w:r>
            <w:r w:rsidRPr="00CC1650">
              <w:rPr>
                <w:rFonts w:ascii="Times New Roman" w:hint="eastAsia"/>
                <w:sz w:val="24"/>
              </w:rPr>
              <w:t>30</w:t>
            </w:r>
            <w:r w:rsidRPr="00CC1650">
              <w:rPr>
                <w:rFonts w:ascii="Times New Roman" w:hint="eastAsia"/>
                <w:sz w:val="24"/>
              </w:rPr>
              <w:t>日修正公布土地法第</w:t>
            </w:r>
            <w:r w:rsidRPr="00CC1650">
              <w:rPr>
                <w:rFonts w:ascii="Times New Roman" w:hint="eastAsia"/>
                <w:sz w:val="24"/>
              </w:rPr>
              <w:t>33</w:t>
            </w:r>
            <w:r w:rsidRPr="00CC1650">
              <w:rPr>
                <w:rFonts w:ascii="Times New Roman" w:hint="eastAsia"/>
                <w:sz w:val="24"/>
              </w:rPr>
              <w:t>條，將土地增值稅稅率由</w:t>
            </w:r>
            <w:r w:rsidRPr="00CC1650">
              <w:rPr>
                <w:rFonts w:ascii="Times New Roman" w:hint="eastAsia"/>
                <w:sz w:val="24"/>
              </w:rPr>
              <w:t>60%</w:t>
            </w:r>
            <w:r w:rsidRPr="00CC1650">
              <w:rPr>
                <w:rFonts w:ascii="Times New Roman" w:hint="eastAsia"/>
                <w:sz w:val="24"/>
              </w:rPr>
              <w:t>、</w:t>
            </w:r>
            <w:r w:rsidRPr="00CC1650">
              <w:rPr>
                <w:rFonts w:ascii="Times New Roman" w:hint="eastAsia"/>
                <w:sz w:val="24"/>
              </w:rPr>
              <w:t>50%</w:t>
            </w:r>
            <w:r w:rsidRPr="00CC1650">
              <w:rPr>
                <w:rFonts w:ascii="Times New Roman" w:hint="eastAsia"/>
                <w:sz w:val="24"/>
              </w:rPr>
              <w:t>、</w:t>
            </w:r>
            <w:r w:rsidRPr="00CC1650">
              <w:rPr>
                <w:rFonts w:ascii="Times New Roman" w:hint="eastAsia"/>
                <w:sz w:val="24"/>
              </w:rPr>
              <w:t>40%</w:t>
            </w:r>
            <w:r w:rsidRPr="00CC1650">
              <w:rPr>
                <w:rFonts w:ascii="Times New Roman" w:hint="eastAsia"/>
                <w:sz w:val="24"/>
              </w:rPr>
              <w:t>調降為</w:t>
            </w:r>
            <w:r w:rsidRPr="00CC1650">
              <w:rPr>
                <w:rFonts w:ascii="Times New Roman" w:hint="eastAsia"/>
                <w:sz w:val="24"/>
              </w:rPr>
              <w:t>40%</w:t>
            </w:r>
            <w:r w:rsidRPr="00CC1650">
              <w:rPr>
                <w:rFonts w:ascii="Times New Roman" w:hint="eastAsia"/>
                <w:sz w:val="24"/>
              </w:rPr>
              <w:t>、</w:t>
            </w:r>
            <w:r w:rsidRPr="00CC1650">
              <w:rPr>
                <w:rFonts w:ascii="Times New Roman" w:hint="eastAsia"/>
                <w:sz w:val="24"/>
              </w:rPr>
              <w:t>30%</w:t>
            </w:r>
            <w:r w:rsidRPr="00CC1650">
              <w:rPr>
                <w:rFonts w:ascii="Times New Roman" w:hint="eastAsia"/>
                <w:sz w:val="24"/>
              </w:rPr>
              <w:t>、</w:t>
            </w:r>
            <w:r w:rsidRPr="00CC1650">
              <w:rPr>
                <w:rFonts w:ascii="Times New Roman" w:hint="eastAsia"/>
                <w:sz w:val="24"/>
              </w:rPr>
              <w:t>20%</w:t>
            </w:r>
            <w:r w:rsidRPr="00CC1650">
              <w:rPr>
                <w:rFonts w:ascii="Times New Roman" w:hint="eastAsia"/>
                <w:sz w:val="24"/>
              </w:rPr>
              <w:t>。</w:t>
            </w:r>
          </w:p>
        </w:tc>
        <w:tc>
          <w:tcPr>
            <w:tcW w:w="1126" w:type="dxa"/>
          </w:tcPr>
          <w:p w:rsidR="0051678B" w:rsidRPr="00CC1650" w:rsidRDefault="0051678B" w:rsidP="00044831">
            <w:pPr>
              <w:kinsoku w:val="0"/>
              <w:spacing w:line="320" w:lineRule="exact"/>
              <w:jc w:val="center"/>
              <w:rPr>
                <w:rFonts w:ascii="Times New Roman"/>
                <w:sz w:val="24"/>
                <w:szCs w:val="24"/>
              </w:rPr>
            </w:pPr>
            <w:r w:rsidRPr="00CC1650">
              <w:rPr>
                <w:rFonts w:ascii="Times New Roman" w:hint="eastAsia"/>
                <w:sz w:val="24"/>
                <w:szCs w:val="24"/>
              </w:rPr>
              <w:t>94.1.30</w:t>
            </w:r>
          </w:p>
        </w:tc>
        <w:tc>
          <w:tcPr>
            <w:tcW w:w="3193" w:type="dxa"/>
          </w:tcPr>
          <w:p w:rsidR="0051678B" w:rsidRPr="00CC1650" w:rsidRDefault="0051678B" w:rsidP="00044831">
            <w:pPr>
              <w:kinsoku w:val="0"/>
              <w:spacing w:line="320" w:lineRule="exact"/>
              <w:rPr>
                <w:rFonts w:ascii="Times New Roman"/>
                <w:sz w:val="24"/>
              </w:rPr>
            </w:pPr>
            <w:r w:rsidRPr="00CC1650">
              <w:rPr>
                <w:rFonts w:ascii="Times New Roman" w:hint="eastAsia"/>
                <w:sz w:val="24"/>
              </w:rPr>
              <w:t>該項稅收實質損失部分，於財政收支劃分法修正擴大中央統籌分配稅款規模之規定施行前，由中央政府補足之。</w:t>
            </w:r>
          </w:p>
        </w:tc>
        <w:tc>
          <w:tcPr>
            <w:tcW w:w="1068" w:type="dxa"/>
          </w:tcPr>
          <w:p w:rsidR="0051678B" w:rsidRPr="00CC1650" w:rsidRDefault="0051678B" w:rsidP="00044831">
            <w:pPr>
              <w:kinsoku w:val="0"/>
              <w:spacing w:line="320" w:lineRule="exact"/>
              <w:jc w:val="center"/>
              <w:rPr>
                <w:rFonts w:ascii="Times New Roman"/>
                <w:sz w:val="24"/>
              </w:rPr>
            </w:pPr>
            <w:r w:rsidRPr="00CC1650">
              <w:rPr>
                <w:rFonts w:ascii="Times New Roman" w:hint="eastAsia"/>
                <w:sz w:val="24"/>
              </w:rPr>
              <w:t>0.04</w:t>
            </w:r>
          </w:p>
        </w:tc>
        <w:tc>
          <w:tcPr>
            <w:tcW w:w="855" w:type="dxa"/>
          </w:tcPr>
          <w:p w:rsidR="0051678B" w:rsidRPr="00CC1650" w:rsidRDefault="0051678B" w:rsidP="00044831">
            <w:pPr>
              <w:kinsoku w:val="0"/>
              <w:spacing w:line="320" w:lineRule="exact"/>
              <w:jc w:val="center"/>
              <w:rPr>
                <w:rFonts w:ascii="Times New Roman"/>
                <w:sz w:val="24"/>
              </w:rPr>
            </w:pPr>
            <w:r w:rsidRPr="00CC1650">
              <w:rPr>
                <w:rFonts w:ascii="Times New Roman" w:hint="eastAsia"/>
                <w:sz w:val="24"/>
              </w:rPr>
              <w:t>0</w:t>
            </w:r>
          </w:p>
        </w:tc>
        <w:tc>
          <w:tcPr>
            <w:tcW w:w="996" w:type="dxa"/>
          </w:tcPr>
          <w:p w:rsidR="0051678B" w:rsidRPr="00CC1650" w:rsidRDefault="0051678B" w:rsidP="00044831">
            <w:pPr>
              <w:kinsoku w:val="0"/>
              <w:spacing w:line="320" w:lineRule="exact"/>
              <w:jc w:val="center"/>
              <w:rPr>
                <w:rFonts w:ascii="Times New Roman"/>
                <w:sz w:val="24"/>
              </w:rPr>
            </w:pPr>
            <w:r w:rsidRPr="00CC1650">
              <w:rPr>
                <w:rFonts w:ascii="Times New Roman" w:hint="eastAsia"/>
                <w:sz w:val="24"/>
              </w:rPr>
              <w:t>1.55</w:t>
            </w:r>
          </w:p>
        </w:tc>
        <w:tc>
          <w:tcPr>
            <w:tcW w:w="860" w:type="dxa"/>
          </w:tcPr>
          <w:p w:rsidR="0051678B" w:rsidRPr="00CC1650" w:rsidRDefault="0051678B" w:rsidP="00044831">
            <w:pPr>
              <w:kinsoku w:val="0"/>
              <w:spacing w:line="320" w:lineRule="exact"/>
              <w:jc w:val="center"/>
              <w:rPr>
                <w:rFonts w:ascii="Times New Roman"/>
                <w:sz w:val="24"/>
              </w:rPr>
            </w:pPr>
            <w:r w:rsidRPr="00CC1650">
              <w:rPr>
                <w:rFonts w:ascii="Times New Roman" w:hint="eastAsia"/>
                <w:sz w:val="24"/>
              </w:rPr>
              <w:t>17.66</w:t>
            </w:r>
          </w:p>
        </w:tc>
        <w:tc>
          <w:tcPr>
            <w:tcW w:w="2824" w:type="dxa"/>
          </w:tcPr>
          <w:p w:rsidR="0051678B" w:rsidRPr="00CC1650" w:rsidRDefault="0051678B" w:rsidP="00044831">
            <w:pPr>
              <w:kinsoku w:val="0"/>
              <w:spacing w:line="320" w:lineRule="exact"/>
              <w:rPr>
                <w:rFonts w:ascii="Times New Roman"/>
                <w:sz w:val="24"/>
              </w:rPr>
            </w:pPr>
            <w:r w:rsidRPr="00CC1650">
              <w:rPr>
                <w:rFonts w:ascii="Times New Roman" w:hint="eastAsia"/>
                <w:sz w:val="24"/>
              </w:rPr>
              <w:t>促進房地產景氣及經濟發展</w:t>
            </w:r>
            <w:r w:rsidR="00D74A61">
              <w:rPr>
                <w:rFonts w:ascii="Times New Roman" w:hint="eastAsia"/>
                <w:sz w:val="24"/>
              </w:rPr>
              <w:t>。</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所得稅</w:t>
            </w:r>
          </w:p>
        </w:tc>
        <w:tc>
          <w:tcPr>
            <w:tcW w:w="3031"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95</w:t>
            </w:r>
            <w:r w:rsidRPr="006A75EE">
              <w:rPr>
                <w:rFonts w:ascii="Times New Roman" w:hint="eastAsia"/>
                <w:sz w:val="24"/>
              </w:rPr>
              <w:t>年</w:t>
            </w:r>
            <w:r w:rsidRPr="006A75EE">
              <w:rPr>
                <w:rFonts w:ascii="Times New Roman" w:hint="eastAsia"/>
                <w:sz w:val="24"/>
              </w:rPr>
              <w:t>6</w:t>
            </w:r>
            <w:r w:rsidRPr="006A75EE">
              <w:rPr>
                <w:rFonts w:ascii="Times New Roman" w:hint="eastAsia"/>
                <w:sz w:val="24"/>
              </w:rPr>
              <w:t>月</w:t>
            </w:r>
            <w:r w:rsidRPr="006A75EE">
              <w:rPr>
                <w:rFonts w:ascii="Times New Roman" w:hint="eastAsia"/>
                <w:sz w:val="24"/>
              </w:rPr>
              <w:t>14</w:t>
            </w:r>
            <w:r w:rsidRPr="006A75EE">
              <w:rPr>
                <w:rFonts w:ascii="Times New Roman" w:hint="eastAsia"/>
                <w:sz w:val="24"/>
              </w:rPr>
              <w:t>日修正公布所得稅法第</w:t>
            </w:r>
            <w:r w:rsidRPr="006A75EE">
              <w:rPr>
                <w:rFonts w:ascii="Times New Roman" w:hint="eastAsia"/>
                <w:sz w:val="24"/>
              </w:rPr>
              <w:t>17</w:t>
            </w:r>
            <w:r w:rsidRPr="006A75EE">
              <w:rPr>
                <w:rFonts w:ascii="Times New Roman" w:hint="eastAsia"/>
                <w:sz w:val="24"/>
              </w:rPr>
              <w:t>條，規定全民健保保費列舉扣除不受金額限制。</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95.1.1</w:t>
            </w:r>
          </w:p>
        </w:tc>
        <w:tc>
          <w:tcPr>
            <w:tcW w:w="3193"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該案係立法院財政委員會審查立法委員提案修正所得稅法第</w:t>
            </w:r>
            <w:r w:rsidRPr="006A75EE">
              <w:rPr>
                <w:rFonts w:ascii="Times New Roman" w:hint="eastAsia"/>
                <w:sz w:val="24"/>
              </w:rPr>
              <w:t>17</w:t>
            </w:r>
            <w:r w:rsidRPr="006A75EE">
              <w:rPr>
                <w:rFonts w:ascii="Times New Roman" w:hint="eastAsia"/>
                <w:sz w:val="24"/>
              </w:rPr>
              <w:t>條時，立法委員所提修正動議，並未依財政收支劃分法第</w:t>
            </w:r>
            <w:r w:rsidRPr="006A75EE">
              <w:rPr>
                <w:rFonts w:ascii="Times New Roman" w:hint="eastAsia"/>
                <w:sz w:val="24"/>
              </w:rPr>
              <w:t>38</w:t>
            </w:r>
            <w:r w:rsidRPr="006A75EE">
              <w:rPr>
                <w:rFonts w:ascii="Times New Roman" w:hint="eastAsia"/>
                <w:sz w:val="24"/>
              </w:rPr>
              <w:t>條之</w:t>
            </w:r>
            <w:r w:rsidRPr="006A75EE">
              <w:rPr>
                <w:rFonts w:ascii="Times New Roman" w:hint="eastAsia"/>
                <w:sz w:val="24"/>
              </w:rPr>
              <w:t>1</w:t>
            </w:r>
            <w:r w:rsidRPr="006A75EE">
              <w:rPr>
                <w:rFonts w:ascii="Times New Roman" w:hint="eastAsia"/>
                <w:sz w:val="24"/>
              </w:rPr>
              <w:t>規定事先籌妥替代財源。</w:t>
            </w:r>
          </w:p>
        </w:tc>
        <w:tc>
          <w:tcPr>
            <w:tcW w:w="1068"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w:t>
            </w:r>
          </w:p>
        </w:tc>
        <w:tc>
          <w:tcPr>
            <w:tcW w:w="855"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33</w:t>
            </w:r>
          </w:p>
        </w:tc>
        <w:tc>
          <w:tcPr>
            <w:tcW w:w="996"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w:t>
            </w:r>
          </w:p>
        </w:tc>
        <w:tc>
          <w:tcPr>
            <w:tcW w:w="860"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w:t>
            </w:r>
          </w:p>
        </w:tc>
        <w:tc>
          <w:tcPr>
            <w:tcW w:w="2824"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享受減稅利益之受益戶數達</w:t>
            </w:r>
            <w:r w:rsidRPr="006A75EE">
              <w:rPr>
                <w:rFonts w:ascii="Times New Roman" w:hint="eastAsia"/>
                <w:sz w:val="24"/>
              </w:rPr>
              <w:t>149</w:t>
            </w:r>
            <w:r w:rsidRPr="006A75EE">
              <w:rPr>
                <w:rFonts w:ascii="Times New Roman" w:hint="eastAsia"/>
                <w:sz w:val="24"/>
              </w:rPr>
              <w:t>萬戶，占全部申報戶</w:t>
            </w:r>
            <w:r w:rsidRPr="006A75EE">
              <w:rPr>
                <w:rFonts w:ascii="Times New Roman" w:hint="eastAsia"/>
                <w:sz w:val="24"/>
              </w:rPr>
              <w:t>(524</w:t>
            </w:r>
            <w:r w:rsidRPr="006A75EE">
              <w:rPr>
                <w:rFonts w:ascii="Times New Roman" w:hint="eastAsia"/>
                <w:sz w:val="24"/>
              </w:rPr>
              <w:t>萬戶</w:t>
            </w:r>
            <w:r w:rsidRPr="006A75EE">
              <w:rPr>
                <w:rFonts w:ascii="Times New Roman" w:hint="eastAsia"/>
                <w:sz w:val="24"/>
              </w:rPr>
              <w:t>)</w:t>
            </w:r>
            <w:r w:rsidRPr="006A75EE">
              <w:rPr>
                <w:rFonts w:ascii="Times New Roman" w:hint="eastAsia"/>
                <w:sz w:val="24"/>
              </w:rPr>
              <w:t>之</w:t>
            </w:r>
            <w:r w:rsidRPr="006A75EE">
              <w:rPr>
                <w:rFonts w:ascii="Times New Roman" w:hint="eastAsia"/>
                <w:sz w:val="24"/>
              </w:rPr>
              <w:t>28%</w:t>
            </w:r>
            <w:r w:rsidRPr="006A75EE">
              <w:rPr>
                <w:rFonts w:ascii="Times New Roman" w:hint="eastAsia"/>
                <w:sz w:val="24"/>
              </w:rPr>
              <w:t>，可增加消費能力，誘發及增裕稅收。</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rPr>
                <w:rFonts w:ascii="Times New Roman"/>
                <w:sz w:val="24"/>
                <w:szCs w:val="24"/>
              </w:rPr>
            </w:pPr>
            <w:r w:rsidRPr="006A75EE">
              <w:rPr>
                <w:rFonts w:ascii="Times New Roman"/>
                <w:sz w:val="24"/>
              </w:rPr>
              <w:t>所得稅</w:t>
            </w:r>
          </w:p>
        </w:tc>
        <w:tc>
          <w:tcPr>
            <w:tcW w:w="3031"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97</w:t>
            </w:r>
            <w:r w:rsidRPr="006A75EE">
              <w:rPr>
                <w:rFonts w:ascii="Times New Roman" w:hint="eastAsia"/>
                <w:sz w:val="24"/>
              </w:rPr>
              <w:t>年</w:t>
            </w:r>
            <w:r w:rsidRPr="006A75EE">
              <w:rPr>
                <w:rFonts w:ascii="Times New Roman" w:hint="eastAsia"/>
                <w:sz w:val="24"/>
              </w:rPr>
              <w:t>12</w:t>
            </w:r>
            <w:r w:rsidRPr="006A75EE">
              <w:rPr>
                <w:rFonts w:ascii="Times New Roman" w:hint="eastAsia"/>
                <w:sz w:val="24"/>
              </w:rPr>
              <w:t>月</w:t>
            </w:r>
            <w:r w:rsidRPr="006A75EE">
              <w:rPr>
                <w:rFonts w:ascii="Times New Roman" w:hint="eastAsia"/>
                <w:sz w:val="24"/>
              </w:rPr>
              <w:t>26</w:t>
            </w:r>
            <w:r w:rsidRPr="006A75EE">
              <w:rPr>
                <w:rFonts w:ascii="Times New Roman" w:hint="eastAsia"/>
                <w:sz w:val="24"/>
              </w:rPr>
              <w:t>日修正所得稅法第</w:t>
            </w:r>
            <w:r w:rsidRPr="006A75EE">
              <w:rPr>
                <w:rFonts w:ascii="Times New Roman" w:hint="eastAsia"/>
                <w:sz w:val="24"/>
              </w:rPr>
              <w:t>5</w:t>
            </w:r>
            <w:r w:rsidRPr="006A75EE">
              <w:rPr>
                <w:rFonts w:ascii="Times New Roman" w:hint="eastAsia"/>
                <w:sz w:val="24"/>
              </w:rPr>
              <w:t>條之</w:t>
            </w:r>
            <w:r w:rsidRPr="006A75EE">
              <w:rPr>
                <w:rFonts w:ascii="Times New Roman" w:hint="eastAsia"/>
                <w:sz w:val="24"/>
              </w:rPr>
              <w:t>1</w:t>
            </w:r>
            <w:r w:rsidRPr="006A75EE">
              <w:rPr>
                <w:rFonts w:ascii="Times New Roman" w:hint="eastAsia"/>
                <w:sz w:val="24"/>
              </w:rPr>
              <w:t>、第</w:t>
            </w:r>
            <w:r w:rsidRPr="006A75EE">
              <w:rPr>
                <w:rFonts w:ascii="Times New Roman" w:hint="eastAsia"/>
                <w:sz w:val="24"/>
              </w:rPr>
              <w:t>17</w:t>
            </w:r>
            <w:r w:rsidRPr="006A75EE">
              <w:rPr>
                <w:rFonts w:ascii="Times New Roman" w:hint="eastAsia"/>
                <w:sz w:val="24"/>
              </w:rPr>
              <w:t>條、第</w:t>
            </w:r>
            <w:r w:rsidRPr="006A75EE">
              <w:rPr>
                <w:rFonts w:ascii="Times New Roman" w:hint="eastAsia"/>
                <w:sz w:val="24"/>
              </w:rPr>
              <w:t>126</w:t>
            </w:r>
            <w:r w:rsidRPr="006A75EE">
              <w:rPr>
                <w:rFonts w:ascii="Times New Roman" w:hint="eastAsia"/>
                <w:sz w:val="24"/>
              </w:rPr>
              <w:t>條：</w:t>
            </w:r>
          </w:p>
          <w:p w:rsidR="0051678B" w:rsidRPr="006A75EE" w:rsidRDefault="0051678B" w:rsidP="00044831">
            <w:pPr>
              <w:kinsoku w:val="0"/>
              <w:spacing w:line="320" w:lineRule="exact"/>
              <w:ind w:left="195" w:hangingChars="75" w:hanging="195"/>
              <w:rPr>
                <w:rFonts w:ascii="Times New Roman"/>
                <w:sz w:val="24"/>
              </w:rPr>
            </w:pPr>
            <w:r w:rsidRPr="006A75EE">
              <w:rPr>
                <w:rFonts w:ascii="Times New Roman" w:hint="eastAsia"/>
                <w:sz w:val="24"/>
              </w:rPr>
              <w:t>1.</w:t>
            </w:r>
            <w:r w:rsidRPr="006A75EE">
              <w:rPr>
                <w:rFonts w:ascii="Times New Roman" w:hint="eastAsia"/>
                <w:sz w:val="24"/>
              </w:rPr>
              <w:t>標準扣除額之額度，個人由</w:t>
            </w:r>
            <w:r w:rsidRPr="006A75EE">
              <w:rPr>
                <w:rFonts w:ascii="Times New Roman" w:hint="eastAsia"/>
                <w:sz w:val="24"/>
              </w:rPr>
              <w:t>46,000</w:t>
            </w:r>
            <w:r w:rsidRPr="006A75EE">
              <w:rPr>
                <w:rFonts w:ascii="Times New Roman" w:hint="eastAsia"/>
                <w:sz w:val="24"/>
              </w:rPr>
              <w:t>元提高至</w:t>
            </w:r>
            <w:r w:rsidRPr="006A75EE">
              <w:rPr>
                <w:rFonts w:ascii="Times New Roman" w:hint="eastAsia"/>
                <w:sz w:val="24"/>
              </w:rPr>
              <w:t>73,000</w:t>
            </w:r>
            <w:r w:rsidRPr="006A75EE">
              <w:rPr>
                <w:rFonts w:ascii="Times New Roman" w:hint="eastAsia"/>
                <w:sz w:val="24"/>
              </w:rPr>
              <w:t>元，有配偶者由</w:t>
            </w:r>
            <w:r w:rsidRPr="006A75EE">
              <w:rPr>
                <w:rFonts w:ascii="Times New Roman" w:hint="eastAsia"/>
                <w:sz w:val="24"/>
              </w:rPr>
              <w:t>92,000</w:t>
            </w:r>
            <w:r w:rsidRPr="006A75EE">
              <w:rPr>
                <w:rFonts w:ascii="Times New Roman" w:hint="eastAsia"/>
                <w:sz w:val="24"/>
              </w:rPr>
              <w:t>元提高至</w:t>
            </w:r>
            <w:r w:rsidRPr="006A75EE">
              <w:rPr>
                <w:rFonts w:ascii="Times New Roman" w:hint="eastAsia"/>
                <w:sz w:val="24"/>
              </w:rPr>
              <w:t>146,000</w:t>
            </w:r>
            <w:r w:rsidRPr="006A75EE">
              <w:rPr>
                <w:rFonts w:ascii="Times New Roman" w:hint="eastAsia"/>
                <w:sz w:val="24"/>
              </w:rPr>
              <w:t>元。</w:t>
            </w:r>
          </w:p>
          <w:p w:rsidR="0051678B" w:rsidRPr="006A75EE" w:rsidRDefault="0051678B" w:rsidP="00044831">
            <w:pPr>
              <w:kinsoku w:val="0"/>
              <w:spacing w:line="320" w:lineRule="exact"/>
              <w:ind w:left="195" w:hangingChars="75" w:hanging="195"/>
              <w:rPr>
                <w:rFonts w:ascii="Times New Roman"/>
                <w:sz w:val="24"/>
              </w:rPr>
            </w:pPr>
            <w:r w:rsidRPr="006A75EE">
              <w:rPr>
                <w:rFonts w:ascii="Times New Roman" w:hint="eastAsia"/>
                <w:sz w:val="24"/>
              </w:rPr>
              <w:t>2.</w:t>
            </w:r>
            <w:r w:rsidRPr="006A75EE">
              <w:rPr>
                <w:rFonts w:ascii="Times New Roman" w:hint="eastAsia"/>
                <w:sz w:val="24"/>
              </w:rPr>
              <w:t>薪資所得特別扣除額及身心障礙特別扣除額分別由</w:t>
            </w:r>
            <w:r w:rsidRPr="006A75EE">
              <w:rPr>
                <w:rFonts w:ascii="Times New Roman" w:hint="eastAsia"/>
                <w:sz w:val="24"/>
              </w:rPr>
              <w:t>78,000</w:t>
            </w:r>
            <w:r w:rsidRPr="006A75EE">
              <w:rPr>
                <w:rFonts w:ascii="Times New Roman" w:hint="eastAsia"/>
                <w:sz w:val="24"/>
              </w:rPr>
              <w:t>元及</w:t>
            </w:r>
            <w:r w:rsidRPr="006A75EE">
              <w:rPr>
                <w:rFonts w:ascii="Times New Roman" w:hint="eastAsia"/>
                <w:sz w:val="24"/>
              </w:rPr>
              <w:t>77,000</w:t>
            </w:r>
            <w:r w:rsidRPr="006A75EE">
              <w:rPr>
                <w:rFonts w:ascii="Times New Roman" w:hint="eastAsia"/>
                <w:sz w:val="24"/>
              </w:rPr>
              <w:t>元提高至</w:t>
            </w:r>
            <w:r w:rsidRPr="006A75EE">
              <w:rPr>
                <w:rFonts w:ascii="Times New Roman" w:hint="eastAsia"/>
                <w:sz w:val="24"/>
              </w:rPr>
              <w:t>100,000</w:t>
            </w:r>
            <w:r w:rsidRPr="006A75EE">
              <w:rPr>
                <w:rFonts w:ascii="Times New Roman" w:hint="eastAsia"/>
                <w:sz w:val="24"/>
              </w:rPr>
              <w:t>元。</w:t>
            </w:r>
          </w:p>
          <w:p w:rsidR="0051678B" w:rsidRPr="006A75EE" w:rsidRDefault="0051678B" w:rsidP="00044831">
            <w:pPr>
              <w:kinsoku w:val="0"/>
              <w:spacing w:line="320" w:lineRule="exact"/>
              <w:ind w:left="195" w:hangingChars="75" w:hanging="195"/>
              <w:rPr>
                <w:rFonts w:ascii="Times New Roman"/>
                <w:sz w:val="24"/>
                <w:szCs w:val="24"/>
              </w:rPr>
            </w:pPr>
            <w:r w:rsidRPr="006A75EE">
              <w:rPr>
                <w:rFonts w:ascii="Times New Roman" w:hint="eastAsia"/>
                <w:sz w:val="24"/>
              </w:rPr>
              <w:t>3.</w:t>
            </w:r>
            <w:r w:rsidRPr="006A75EE">
              <w:rPr>
                <w:rFonts w:ascii="Times New Roman" w:hint="eastAsia"/>
                <w:sz w:val="24"/>
              </w:rPr>
              <w:t>教育學費特別扣除額由就讀大專以上院校子女「每戶」以</w:t>
            </w:r>
            <w:r w:rsidRPr="006A75EE">
              <w:rPr>
                <w:rFonts w:ascii="Times New Roman" w:hint="eastAsia"/>
                <w:sz w:val="24"/>
              </w:rPr>
              <w:t>25,000</w:t>
            </w:r>
            <w:r w:rsidRPr="006A75EE">
              <w:rPr>
                <w:rFonts w:ascii="Times New Roman" w:hint="eastAsia"/>
                <w:sz w:val="24"/>
              </w:rPr>
              <w:t>元為限計算修正為「每人」。</w:t>
            </w:r>
          </w:p>
          <w:p w:rsidR="0051678B" w:rsidRPr="006A75EE" w:rsidRDefault="0051678B" w:rsidP="00044831">
            <w:pPr>
              <w:kinsoku w:val="0"/>
              <w:spacing w:line="300" w:lineRule="exact"/>
              <w:rPr>
                <w:sz w:val="24"/>
              </w:rPr>
            </w:pPr>
          </w:p>
          <w:p w:rsidR="0051678B" w:rsidRPr="006A75EE" w:rsidRDefault="0051678B" w:rsidP="00044831">
            <w:pPr>
              <w:kinsoku w:val="0"/>
              <w:spacing w:line="300" w:lineRule="exact"/>
              <w:rPr>
                <w:sz w:val="24"/>
              </w:rPr>
            </w:pPr>
            <w:r w:rsidRPr="006A75EE">
              <w:rPr>
                <w:rFonts w:hint="eastAsia"/>
                <w:sz w:val="24"/>
              </w:rPr>
              <w:t>修正所得稅法部分條文</w:t>
            </w:r>
          </w:p>
          <w:p w:rsidR="0051678B" w:rsidRPr="006A75EE" w:rsidRDefault="0051678B" w:rsidP="00C33AD7">
            <w:pPr>
              <w:kinsoku w:val="0"/>
              <w:spacing w:line="300" w:lineRule="exact"/>
              <w:rPr>
                <w:rFonts w:ascii="Times New Roman"/>
                <w:sz w:val="24"/>
                <w:szCs w:val="24"/>
              </w:rPr>
            </w:pPr>
            <w:r w:rsidRPr="006A75EE">
              <w:rPr>
                <w:rFonts w:ascii="Times New Roman"/>
                <w:sz w:val="24"/>
                <w:szCs w:val="24"/>
              </w:rPr>
              <w:lastRenderedPageBreak/>
              <w:t>配合促進產業升級條例</w:t>
            </w:r>
            <w:r w:rsidRPr="006A75EE">
              <w:rPr>
                <w:rFonts w:ascii="Times New Roman"/>
                <w:sz w:val="24"/>
                <w:szCs w:val="24"/>
              </w:rPr>
              <w:t>98</w:t>
            </w:r>
            <w:r w:rsidRPr="006A75EE">
              <w:rPr>
                <w:rFonts w:ascii="Times New Roman"/>
                <w:sz w:val="24"/>
                <w:szCs w:val="24"/>
              </w:rPr>
              <w:t>年底屆滿落日，</w:t>
            </w:r>
            <w:r w:rsidRPr="006A75EE">
              <w:rPr>
                <w:rFonts w:ascii="Times New Roman" w:hint="eastAsia"/>
                <w:sz w:val="24"/>
                <w:szCs w:val="24"/>
              </w:rPr>
              <w:t>98</w:t>
            </w:r>
            <w:r w:rsidRPr="006A75EE">
              <w:rPr>
                <w:rFonts w:ascii="Times New Roman" w:hint="eastAsia"/>
                <w:sz w:val="24"/>
                <w:szCs w:val="24"/>
              </w:rPr>
              <w:t>年</w:t>
            </w:r>
            <w:r w:rsidRPr="006A75EE">
              <w:rPr>
                <w:rFonts w:ascii="Times New Roman" w:hint="eastAsia"/>
                <w:sz w:val="24"/>
                <w:szCs w:val="24"/>
              </w:rPr>
              <w:t>5</w:t>
            </w:r>
            <w:r w:rsidRPr="006A75EE">
              <w:rPr>
                <w:rFonts w:ascii="Times New Roman" w:hint="eastAsia"/>
                <w:sz w:val="24"/>
                <w:szCs w:val="24"/>
              </w:rPr>
              <w:t>月</w:t>
            </w:r>
            <w:r w:rsidRPr="006A75EE">
              <w:rPr>
                <w:rFonts w:ascii="Times New Roman" w:hint="eastAsia"/>
                <w:sz w:val="24"/>
                <w:szCs w:val="24"/>
              </w:rPr>
              <w:t>27</w:t>
            </w:r>
            <w:r w:rsidRPr="006A75EE">
              <w:rPr>
                <w:rFonts w:ascii="Times New Roman" w:hint="eastAsia"/>
                <w:sz w:val="24"/>
                <w:szCs w:val="24"/>
              </w:rPr>
              <w:t>日修正公布所得稅法第</w:t>
            </w:r>
            <w:r w:rsidRPr="006A75EE">
              <w:rPr>
                <w:rFonts w:ascii="Times New Roman" w:hint="eastAsia"/>
                <w:sz w:val="24"/>
                <w:szCs w:val="24"/>
              </w:rPr>
              <w:t>5</w:t>
            </w:r>
            <w:r w:rsidRPr="006A75EE">
              <w:rPr>
                <w:rFonts w:ascii="Times New Roman" w:hint="eastAsia"/>
                <w:sz w:val="24"/>
                <w:szCs w:val="24"/>
              </w:rPr>
              <w:t>條第</w:t>
            </w:r>
            <w:r w:rsidRPr="006A75EE">
              <w:rPr>
                <w:rFonts w:ascii="Times New Roman" w:hint="eastAsia"/>
                <w:sz w:val="24"/>
                <w:szCs w:val="24"/>
              </w:rPr>
              <w:t>2</w:t>
            </w:r>
            <w:r w:rsidRPr="006A75EE">
              <w:rPr>
                <w:rFonts w:ascii="Times New Roman" w:hint="eastAsia"/>
                <w:sz w:val="24"/>
                <w:szCs w:val="24"/>
              </w:rPr>
              <w:t>項，綜合所得稅稅率「</w:t>
            </w:r>
            <w:r w:rsidRPr="006A75EE">
              <w:rPr>
                <w:rFonts w:ascii="Times New Roman" w:hint="eastAsia"/>
                <w:sz w:val="24"/>
                <w:szCs w:val="24"/>
              </w:rPr>
              <w:t>21%</w:t>
            </w:r>
            <w:r w:rsidRPr="006A75EE">
              <w:rPr>
                <w:rFonts w:ascii="Times New Roman" w:hint="eastAsia"/>
                <w:sz w:val="24"/>
                <w:szCs w:val="24"/>
              </w:rPr>
              <w:t>、</w:t>
            </w:r>
            <w:r w:rsidRPr="006A75EE">
              <w:rPr>
                <w:rFonts w:ascii="Times New Roman" w:hint="eastAsia"/>
                <w:sz w:val="24"/>
                <w:szCs w:val="24"/>
              </w:rPr>
              <w:t>13%</w:t>
            </w:r>
            <w:r w:rsidRPr="006A75EE">
              <w:rPr>
                <w:rFonts w:ascii="Times New Roman" w:hint="eastAsia"/>
                <w:sz w:val="24"/>
                <w:szCs w:val="24"/>
              </w:rPr>
              <w:t>、</w:t>
            </w:r>
            <w:r w:rsidRPr="006A75EE">
              <w:rPr>
                <w:rFonts w:ascii="Times New Roman" w:hint="eastAsia"/>
                <w:sz w:val="24"/>
                <w:szCs w:val="24"/>
              </w:rPr>
              <w:t>6%</w:t>
            </w:r>
            <w:r w:rsidRPr="006A75EE">
              <w:rPr>
                <w:rFonts w:ascii="Times New Roman" w:hint="eastAsia"/>
                <w:sz w:val="24"/>
                <w:szCs w:val="24"/>
              </w:rPr>
              <w:t>」</w:t>
            </w:r>
            <w:r w:rsidRPr="006A75EE">
              <w:rPr>
                <w:rFonts w:ascii="Times New Roman" w:hint="eastAsia"/>
                <w:sz w:val="24"/>
                <w:szCs w:val="24"/>
              </w:rPr>
              <w:t>3</w:t>
            </w:r>
            <w:r w:rsidRPr="006A75EE">
              <w:rPr>
                <w:rFonts w:ascii="Times New Roman" w:hint="eastAsia"/>
                <w:sz w:val="24"/>
                <w:szCs w:val="24"/>
              </w:rPr>
              <w:t>個級距稅率分別調降為「</w:t>
            </w:r>
            <w:r w:rsidRPr="006A75EE">
              <w:rPr>
                <w:rFonts w:ascii="Times New Roman" w:hint="eastAsia"/>
                <w:sz w:val="24"/>
                <w:szCs w:val="24"/>
              </w:rPr>
              <w:t>20%</w:t>
            </w:r>
            <w:r w:rsidRPr="006A75EE">
              <w:rPr>
                <w:rFonts w:ascii="Times New Roman" w:hint="eastAsia"/>
                <w:sz w:val="24"/>
                <w:szCs w:val="24"/>
              </w:rPr>
              <w:t>、</w:t>
            </w:r>
            <w:r w:rsidRPr="006A75EE">
              <w:rPr>
                <w:rFonts w:ascii="Times New Roman" w:hint="eastAsia"/>
                <w:sz w:val="24"/>
                <w:szCs w:val="24"/>
              </w:rPr>
              <w:t>12%</w:t>
            </w:r>
            <w:r w:rsidRPr="006A75EE">
              <w:rPr>
                <w:rFonts w:ascii="Times New Roman" w:hint="eastAsia"/>
                <w:sz w:val="24"/>
                <w:szCs w:val="24"/>
              </w:rPr>
              <w:t>、</w:t>
            </w:r>
            <w:r w:rsidRPr="006A75EE">
              <w:rPr>
                <w:rFonts w:ascii="Times New Roman" w:hint="eastAsia"/>
                <w:sz w:val="24"/>
                <w:szCs w:val="24"/>
              </w:rPr>
              <w:t>5%</w:t>
            </w:r>
            <w:r w:rsidRPr="006A75EE">
              <w:rPr>
                <w:rFonts w:ascii="Times New Roman" w:hint="eastAsia"/>
                <w:sz w:val="24"/>
                <w:szCs w:val="24"/>
              </w:rPr>
              <w:t>」，並將適用稅率</w:t>
            </w:r>
            <w:r w:rsidRPr="006A75EE">
              <w:rPr>
                <w:rFonts w:ascii="Times New Roman" w:hint="eastAsia"/>
                <w:sz w:val="24"/>
                <w:szCs w:val="24"/>
              </w:rPr>
              <w:t>5%</w:t>
            </w:r>
            <w:r w:rsidRPr="006A75EE">
              <w:rPr>
                <w:rFonts w:ascii="Times New Roman" w:hint="eastAsia"/>
                <w:sz w:val="24"/>
                <w:szCs w:val="24"/>
              </w:rPr>
              <w:t>之課稅級距由</w:t>
            </w:r>
            <w:r w:rsidRPr="006A75EE">
              <w:rPr>
                <w:rFonts w:ascii="Times New Roman" w:hint="eastAsia"/>
                <w:sz w:val="24"/>
                <w:szCs w:val="24"/>
              </w:rPr>
              <w:t>41</w:t>
            </w:r>
            <w:r w:rsidRPr="006A75EE">
              <w:rPr>
                <w:rFonts w:ascii="Times New Roman" w:hint="eastAsia"/>
                <w:sz w:val="24"/>
                <w:szCs w:val="24"/>
              </w:rPr>
              <w:t>萬元提高為</w:t>
            </w:r>
            <w:r w:rsidRPr="006A75EE">
              <w:rPr>
                <w:rFonts w:ascii="Times New Roman" w:hint="eastAsia"/>
                <w:sz w:val="24"/>
                <w:szCs w:val="24"/>
              </w:rPr>
              <w:t>50</w:t>
            </w:r>
            <w:r w:rsidRPr="006A75EE">
              <w:rPr>
                <w:rFonts w:ascii="Times New Roman" w:hint="eastAsia"/>
                <w:sz w:val="24"/>
                <w:szCs w:val="24"/>
              </w:rPr>
              <w:t>萬元；並修正公布同條文第</w:t>
            </w:r>
            <w:r w:rsidRPr="006A75EE">
              <w:rPr>
                <w:rFonts w:ascii="Times New Roman" w:hint="eastAsia"/>
                <w:sz w:val="24"/>
                <w:szCs w:val="24"/>
              </w:rPr>
              <w:t>5</w:t>
            </w:r>
            <w:r w:rsidRPr="006A75EE">
              <w:rPr>
                <w:rFonts w:ascii="Times New Roman" w:hint="eastAsia"/>
                <w:sz w:val="24"/>
                <w:szCs w:val="24"/>
              </w:rPr>
              <w:t>項，</w:t>
            </w:r>
            <w:r w:rsidRPr="006A75EE">
              <w:rPr>
                <w:rFonts w:ascii="Times New Roman"/>
                <w:sz w:val="24"/>
                <w:szCs w:val="24"/>
              </w:rPr>
              <w:t>營利事業所得稅稅率由</w:t>
            </w:r>
            <w:r w:rsidRPr="006A75EE">
              <w:rPr>
                <w:rFonts w:ascii="Times New Roman"/>
                <w:sz w:val="24"/>
                <w:szCs w:val="24"/>
              </w:rPr>
              <w:t>25%</w:t>
            </w:r>
            <w:r w:rsidRPr="006A75EE">
              <w:rPr>
                <w:rFonts w:ascii="Times New Roman"/>
                <w:sz w:val="24"/>
                <w:szCs w:val="24"/>
              </w:rPr>
              <w:t>調降為</w:t>
            </w:r>
            <w:r w:rsidRPr="006A75EE">
              <w:rPr>
                <w:rFonts w:ascii="Times New Roman"/>
                <w:sz w:val="24"/>
                <w:szCs w:val="24"/>
              </w:rPr>
              <w:t>20%</w:t>
            </w:r>
            <w:r w:rsidRPr="006A75EE">
              <w:rPr>
                <w:rFonts w:ascii="Times New Roman"/>
                <w:sz w:val="24"/>
                <w:szCs w:val="24"/>
              </w:rPr>
              <w:t>，</w:t>
            </w:r>
            <w:proofErr w:type="gramStart"/>
            <w:r w:rsidRPr="006A75EE">
              <w:rPr>
                <w:rFonts w:ascii="Times New Roman"/>
                <w:sz w:val="24"/>
                <w:szCs w:val="24"/>
              </w:rPr>
              <w:t>採</w:t>
            </w:r>
            <w:proofErr w:type="gramEnd"/>
            <w:r w:rsidRPr="006A75EE">
              <w:rPr>
                <w:rFonts w:ascii="Times New Roman"/>
                <w:sz w:val="24"/>
                <w:szCs w:val="24"/>
              </w:rPr>
              <w:t>行單一稅率，並將起徵額由</w:t>
            </w:r>
            <w:r w:rsidRPr="006A75EE">
              <w:rPr>
                <w:rFonts w:ascii="Times New Roman"/>
                <w:sz w:val="24"/>
                <w:szCs w:val="24"/>
              </w:rPr>
              <w:t>5</w:t>
            </w:r>
            <w:r w:rsidRPr="006A75EE">
              <w:rPr>
                <w:rFonts w:ascii="Times New Roman"/>
                <w:sz w:val="24"/>
                <w:szCs w:val="24"/>
              </w:rPr>
              <w:t>萬元提高至</w:t>
            </w:r>
            <w:r w:rsidRPr="006A75EE">
              <w:rPr>
                <w:rFonts w:ascii="Times New Roman"/>
                <w:sz w:val="24"/>
                <w:szCs w:val="24"/>
              </w:rPr>
              <w:t>12</w:t>
            </w:r>
            <w:r w:rsidRPr="006A75EE">
              <w:rPr>
                <w:rFonts w:ascii="Times New Roman"/>
                <w:sz w:val="24"/>
                <w:szCs w:val="24"/>
              </w:rPr>
              <w:t>萬元</w:t>
            </w:r>
            <w:r w:rsidRPr="006A75EE">
              <w:rPr>
                <w:rFonts w:ascii="Times New Roman" w:hint="eastAsia"/>
                <w:sz w:val="24"/>
                <w:szCs w:val="24"/>
              </w:rPr>
              <w:t>。</w:t>
            </w:r>
            <w:r w:rsidRPr="006A75EE">
              <w:rPr>
                <w:rFonts w:ascii="Times New Roman" w:hint="eastAsia"/>
                <w:sz w:val="24"/>
                <w:szCs w:val="24"/>
              </w:rPr>
              <w:t>99</w:t>
            </w:r>
            <w:r w:rsidRPr="006A75EE">
              <w:rPr>
                <w:rFonts w:ascii="Times New Roman" w:hint="eastAsia"/>
                <w:sz w:val="24"/>
                <w:szCs w:val="24"/>
              </w:rPr>
              <w:t>年</w:t>
            </w:r>
            <w:r w:rsidRPr="006A75EE">
              <w:rPr>
                <w:rFonts w:ascii="Times New Roman" w:hint="eastAsia"/>
                <w:sz w:val="24"/>
                <w:szCs w:val="24"/>
              </w:rPr>
              <w:t>5</w:t>
            </w:r>
            <w:r w:rsidRPr="006A75EE">
              <w:rPr>
                <w:rFonts w:ascii="Times New Roman" w:hint="eastAsia"/>
                <w:sz w:val="24"/>
                <w:szCs w:val="24"/>
              </w:rPr>
              <w:t>月</w:t>
            </w:r>
            <w:r w:rsidRPr="006A75EE">
              <w:rPr>
                <w:rFonts w:ascii="Times New Roman" w:hint="eastAsia"/>
                <w:sz w:val="24"/>
                <w:szCs w:val="24"/>
              </w:rPr>
              <w:t>28</w:t>
            </w:r>
            <w:r w:rsidRPr="006A75EE">
              <w:rPr>
                <w:rFonts w:ascii="Times New Roman" w:hint="eastAsia"/>
                <w:sz w:val="24"/>
                <w:szCs w:val="24"/>
              </w:rPr>
              <w:t>日再次</w:t>
            </w:r>
            <w:r w:rsidRPr="006A75EE">
              <w:rPr>
                <w:rFonts w:ascii="Times New Roman"/>
                <w:sz w:val="24"/>
                <w:szCs w:val="24"/>
              </w:rPr>
              <w:t>修正所得稅法</w:t>
            </w:r>
            <w:r w:rsidRPr="006A75EE">
              <w:rPr>
                <w:rFonts w:ascii="Times New Roman" w:hint="eastAsia"/>
                <w:sz w:val="24"/>
                <w:szCs w:val="24"/>
              </w:rPr>
              <w:t>第</w:t>
            </w:r>
            <w:r w:rsidRPr="006A75EE">
              <w:rPr>
                <w:rFonts w:ascii="Times New Roman" w:hint="eastAsia"/>
                <w:sz w:val="24"/>
                <w:szCs w:val="24"/>
              </w:rPr>
              <w:t>5</w:t>
            </w:r>
            <w:r w:rsidRPr="006A75EE">
              <w:rPr>
                <w:rFonts w:ascii="Times New Roman" w:hint="eastAsia"/>
                <w:sz w:val="24"/>
                <w:szCs w:val="24"/>
              </w:rPr>
              <w:t>條第</w:t>
            </w:r>
            <w:r w:rsidRPr="006A75EE">
              <w:rPr>
                <w:rFonts w:ascii="Times New Roman" w:hint="eastAsia"/>
                <w:sz w:val="24"/>
                <w:szCs w:val="24"/>
              </w:rPr>
              <w:t>5</w:t>
            </w:r>
            <w:r w:rsidRPr="006A75EE">
              <w:rPr>
                <w:rFonts w:ascii="Times New Roman" w:hint="eastAsia"/>
                <w:sz w:val="24"/>
                <w:szCs w:val="24"/>
              </w:rPr>
              <w:t>項</w:t>
            </w:r>
            <w:r w:rsidRPr="006A75EE">
              <w:rPr>
                <w:rFonts w:ascii="Times New Roman"/>
                <w:sz w:val="24"/>
                <w:szCs w:val="24"/>
              </w:rPr>
              <w:t>，營利事業所得稅稅率由</w:t>
            </w:r>
            <w:r w:rsidRPr="006A75EE">
              <w:rPr>
                <w:rFonts w:ascii="Times New Roman"/>
                <w:sz w:val="24"/>
                <w:szCs w:val="24"/>
              </w:rPr>
              <w:t>20%</w:t>
            </w:r>
            <w:r w:rsidRPr="006A75EE">
              <w:rPr>
                <w:rFonts w:ascii="Times New Roman"/>
                <w:sz w:val="24"/>
                <w:szCs w:val="24"/>
              </w:rPr>
              <w:t>再調降為</w:t>
            </w:r>
            <w:r w:rsidRPr="006A75EE">
              <w:rPr>
                <w:rFonts w:ascii="Times New Roman"/>
                <w:sz w:val="24"/>
                <w:szCs w:val="24"/>
              </w:rPr>
              <w:t>17%</w:t>
            </w:r>
            <w:r w:rsidRPr="006A75EE">
              <w:rPr>
                <w:rFonts w:ascii="Times New Roman"/>
                <w:sz w:val="24"/>
                <w:szCs w:val="24"/>
              </w:rPr>
              <w:t>。</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rPr>
              <w:lastRenderedPageBreak/>
              <w:t>97.1.1</w:t>
            </w: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99.1.1</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lastRenderedPageBreak/>
              <w:t>促進產業升級條例落日預計增加稅收</w:t>
            </w:r>
            <w:r w:rsidRPr="006A75EE">
              <w:rPr>
                <w:rFonts w:ascii="Times New Roman"/>
                <w:sz w:val="24"/>
                <w:szCs w:val="24"/>
              </w:rPr>
              <w:t>1,483</w:t>
            </w:r>
            <w:r w:rsidRPr="006A75EE">
              <w:rPr>
                <w:rFonts w:ascii="Times New Roman"/>
                <w:sz w:val="24"/>
                <w:szCs w:val="24"/>
              </w:rPr>
              <w:t>億元，用於：</w:t>
            </w:r>
          </w:p>
          <w:p w:rsidR="0051678B" w:rsidRPr="006A75EE" w:rsidRDefault="0051678B" w:rsidP="00044831">
            <w:pPr>
              <w:kinsoku w:val="0"/>
              <w:spacing w:line="320" w:lineRule="exact"/>
              <w:ind w:leftChars="50" w:left="352" w:hangingChars="70" w:hanging="182"/>
              <w:rPr>
                <w:rFonts w:ascii="Times New Roman"/>
                <w:sz w:val="24"/>
                <w:szCs w:val="24"/>
              </w:rPr>
            </w:pPr>
            <w:r w:rsidRPr="006A75EE">
              <w:rPr>
                <w:rFonts w:ascii="Times New Roman"/>
                <w:sz w:val="24"/>
                <w:szCs w:val="24"/>
              </w:rPr>
              <w:t>1.</w:t>
            </w:r>
            <w:r w:rsidRPr="006A75EE">
              <w:rPr>
                <w:rFonts w:ascii="Times New Roman"/>
                <w:sz w:val="24"/>
                <w:szCs w:val="24"/>
              </w:rPr>
              <w:t>降營所稅稅率</w:t>
            </w:r>
            <w:r w:rsidRPr="006A75EE">
              <w:rPr>
                <w:rFonts w:ascii="Times New Roman"/>
                <w:sz w:val="24"/>
                <w:szCs w:val="24"/>
              </w:rPr>
              <w:t>1,151</w:t>
            </w:r>
            <w:r w:rsidRPr="006A75EE">
              <w:rPr>
                <w:rFonts w:ascii="Times New Roman"/>
                <w:sz w:val="24"/>
                <w:szCs w:val="24"/>
              </w:rPr>
              <w:t>億元</w:t>
            </w:r>
          </w:p>
          <w:p w:rsidR="0051678B" w:rsidRPr="006A75EE" w:rsidRDefault="0051678B" w:rsidP="00044831">
            <w:pPr>
              <w:kinsoku w:val="0"/>
              <w:spacing w:line="320" w:lineRule="exact"/>
              <w:ind w:leftChars="50" w:left="352" w:hangingChars="70" w:hanging="182"/>
              <w:rPr>
                <w:rFonts w:ascii="Times New Roman"/>
                <w:sz w:val="24"/>
                <w:szCs w:val="24"/>
              </w:rPr>
            </w:pPr>
            <w:r w:rsidRPr="006A75EE">
              <w:rPr>
                <w:rFonts w:ascii="Times New Roman"/>
                <w:sz w:val="24"/>
                <w:szCs w:val="24"/>
              </w:rPr>
              <w:t>2.</w:t>
            </w:r>
            <w:r w:rsidRPr="006A75EE">
              <w:rPr>
                <w:rFonts w:ascii="Times New Roman"/>
                <w:sz w:val="24"/>
                <w:szCs w:val="24"/>
              </w:rPr>
              <w:t>降綜所稅稅率</w:t>
            </w:r>
            <w:r w:rsidRPr="006A75EE">
              <w:rPr>
                <w:rFonts w:ascii="Times New Roman"/>
                <w:sz w:val="24"/>
                <w:szCs w:val="24"/>
              </w:rPr>
              <w:t>248</w:t>
            </w:r>
            <w:r w:rsidRPr="006A75EE">
              <w:rPr>
                <w:rFonts w:ascii="Times New Roman"/>
                <w:sz w:val="24"/>
                <w:szCs w:val="24"/>
              </w:rPr>
              <w:t>億元</w:t>
            </w:r>
          </w:p>
          <w:p w:rsidR="0051678B" w:rsidRPr="006A75EE" w:rsidRDefault="0051678B" w:rsidP="00044831">
            <w:pPr>
              <w:kinsoku w:val="0"/>
              <w:spacing w:line="320" w:lineRule="exact"/>
              <w:ind w:leftChars="50" w:left="352" w:hangingChars="70" w:hanging="182"/>
              <w:rPr>
                <w:rFonts w:ascii="Times New Roman"/>
                <w:sz w:val="24"/>
                <w:szCs w:val="24"/>
              </w:rPr>
            </w:pPr>
            <w:r w:rsidRPr="006A75EE">
              <w:rPr>
                <w:rFonts w:ascii="Times New Roman"/>
                <w:sz w:val="24"/>
                <w:szCs w:val="24"/>
              </w:rPr>
              <w:t>3.</w:t>
            </w:r>
            <w:r w:rsidRPr="006A75EE">
              <w:rPr>
                <w:rFonts w:ascii="Times New Roman"/>
                <w:sz w:val="24"/>
                <w:szCs w:val="24"/>
              </w:rPr>
              <w:t>增扣除額</w:t>
            </w:r>
            <w:r w:rsidRPr="006A75EE">
              <w:rPr>
                <w:rFonts w:ascii="Times New Roman"/>
                <w:sz w:val="24"/>
                <w:szCs w:val="24"/>
              </w:rPr>
              <w:t>216</w:t>
            </w:r>
            <w:r w:rsidRPr="006A75EE">
              <w:rPr>
                <w:rFonts w:ascii="Times New Roman"/>
                <w:sz w:val="24"/>
                <w:szCs w:val="24"/>
              </w:rPr>
              <w:t>億元</w:t>
            </w:r>
          </w:p>
          <w:p w:rsidR="0051678B" w:rsidRPr="006A75EE" w:rsidRDefault="0051678B" w:rsidP="00044831">
            <w:pPr>
              <w:kinsoku w:val="0"/>
              <w:spacing w:line="320" w:lineRule="exact"/>
              <w:ind w:leftChars="50" w:left="352" w:hangingChars="70" w:hanging="182"/>
              <w:rPr>
                <w:rFonts w:ascii="Times New Roman"/>
                <w:sz w:val="24"/>
                <w:szCs w:val="24"/>
              </w:rPr>
            </w:pPr>
            <w:r w:rsidRPr="006A75EE">
              <w:rPr>
                <w:rFonts w:ascii="Times New Roman"/>
                <w:sz w:val="24"/>
                <w:szCs w:val="24"/>
              </w:rPr>
              <w:t>4.</w:t>
            </w:r>
            <w:r w:rsidRPr="006A75EE">
              <w:rPr>
                <w:rFonts w:ascii="Times New Roman"/>
                <w:sz w:val="24"/>
                <w:szCs w:val="24"/>
              </w:rPr>
              <w:t>維持研發抵減</w:t>
            </w:r>
            <w:r w:rsidRPr="006A75EE">
              <w:rPr>
                <w:rFonts w:ascii="Times New Roman"/>
                <w:sz w:val="24"/>
                <w:szCs w:val="24"/>
              </w:rPr>
              <w:t>100</w:t>
            </w:r>
            <w:r w:rsidRPr="006A75EE">
              <w:rPr>
                <w:rFonts w:ascii="Times New Roman"/>
                <w:sz w:val="24"/>
                <w:szCs w:val="24"/>
              </w:rPr>
              <w:t>億元</w:t>
            </w:r>
          </w:p>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該</w:t>
            </w:r>
            <w:r w:rsidRPr="006A75EE">
              <w:rPr>
                <w:rFonts w:ascii="Times New Roman"/>
                <w:sz w:val="24"/>
                <w:szCs w:val="24"/>
              </w:rPr>
              <w:t>次稅制改革之整體稅收減少</w:t>
            </w:r>
            <w:r w:rsidRPr="006A75EE">
              <w:rPr>
                <w:rFonts w:ascii="Times New Roman"/>
                <w:sz w:val="24"/>
                <w:szCs w:val="24"/>
              </w:rPr>
              <w:t>232</w:t>
            </w:r>
            <w:r w:rsidRPr="006A75EE">
              <w:rPr>
                <w:rFonts w:ascii="Times New Roman"/>
                <w:sz w:val="24"/>
                <w:szCs w:val="24"/>
              </w:rPr>
              <w:t>億元。</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1,715</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減稅利益由</w:t>
            </w:r>
            <w:r w:rsidRPr="006A75EE">
              <w:rPr>
                <w:rFonts w:ascii="Times New Roman"/>
                <w:sz w:val="24"/>
                <w:szCs w:val="24"/>
              </w:rPr>
              <w:t>70</w:t>
            </w:r>
            <w:r w:rsidRPr="006A75EE">
              <w:rPr>
                <w:rFonts w:ascii="Times New Roman"/>
                <w:sz w:val="24"/>
                <w:szCs w:val="24"/>
              </w:rPr>
              <w:t>萬家營利事業共同分享，有助產</w:t>
            </w:r>
            <w:proofErr w:type="gramStart"/>
            <w:r w:rsidRPr="006A75EE">
              <w:rPr>
                <w:rFonts w:ascii="Times New Roman"/>
                <w:sz w:val="24"/>
                <w:szCs w:val="24"/>
              </w:rPr>
              <w:t>業間稅負</w:t>
            </w:r>
            <w:proofErr w:type="gramEnd"/>
            <w:r w:rsidRPr="006A75EE">
              <w:rPr>
                <w:rFonts w:ascii="Times New Roman"/>
                <w:sz w:val="24"/>
                <w:szCs w:val="24"/>
              </w:rPr>
              <w:t>分配之公平，衡平中小企業及傳統產業發展，並建立具國際競爭力之租稅環境，提升產業競爭力。</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遺產及贈與稅</w:t>
            </w:r>
          </w:p>
        </w:tc>
        <w:tc>
          <w:tcPr>
            <w:tcW w:w="3031" w:type="dxa"/>
          </w:tcPr>
          <w:p w:rsidR="0051678B" w:rsidRPr="006A75EE" w:rsidRDefault="0051678B" w:rsidP="00044831">
            <w:pPr>
              <w:kinsoku w:val="0"/>
              <w:spacing w:line="320" w:lineRule="exact"/>
              <w:rPr>
                <w:rFonts w:ascii="Times New Roman"/>
                <w:sz w:val="24"/>
              </w:rPr>
            </w:pPr>
            <w:r w:rsidRPr="006A75EE">
              <w:rPr>
                <w:rFonts w:ascii="Times New Roman" w:hint="eastAsia"/>
                <w:sz w:val="24"/>
                <w:szCs w:val="24"/>
              </w:rPr>
              <w:t>98</w:t>
            </w:r>
            <w:r w:rsidRPr="006A75EE">
              <w:rPr>
                <w:rFonts w:ascii="Times New Roman" w:hint="eastAsia"/>
                <w:sz w:val="24"/>
                <w:szCs w:val="24"/>
              </w:rPr>
              <w:t>年</w:t>
            </w:r>
            <w:r w:rsidRPr="006A75EE">
              <w:rPr>
                <w:rFonts w:ascii="Times New Roman" w:hint="eastAsia"/>
                <w:sz w:val="24"/>
                <w:szCs w:val="24"/>
              </w:rPr>
              <w:t>1</w:t>
            </w:r>
            <w:r w:rsidRPr="006A75EE">
              <w:rPr>
                <w:rFonts w:ascii="Times New Roman" w:hint="eastAsia"/>
                <w:sz w:val="24"/>
                <w:szCs w:val="24"/>
              </w:rPr>
              <w:t>月</w:t>
            </w:r>
            <w:r w:rsidRPr="006A75EE">
              <w:rPr>
                <w:rFonts w:ascii="Times New Roman" w:hint="eastAsia"/>
                <w:sz w:val="24"/>
                <w:szCs w:val="24"/>
              </w:rPr>
              <w:t>21</w:t>
            </w:r>
            <w:r w:rsidRPr="006A75EE">
              <w:rPr>
                <w:rFonts w:ascii="Times New Roman" w:hint="eastAsia"/>
                <w:sz w:val="24"/>
                <w:szCs w:val="24"/>
              </w:rPr>
              <w:t>日修正公布</w:t>
            </w:r>
            <w:r w:rsidRPr="006A75EE">
              <w:rPr>
                <w:rFonts w:ascii="Times New Roman"/>
                <w:sz w:val="24"/>
                <w:szCs w:val="24"/>
              </w:rPr>
              <w:t>遺產及贈與稅法</w:t>
            </w:r>
            <w:r w:rsidRPr="006A75EE">
              <w:rPr>
                <w:rFonts w:ascii="Times New Roman" w:hint="eastAsia"/>
                <w:sz w:val="24"/>
                <w:szCs w:val="24"/>
              </w:rPr>
              <w:t>，遺產稅及贈與稅稅率結構調降為單一稅率</w:t>
            </w:r>
            <w:r w:rsidRPr="006A75EE">
              <w:rPr>
                <w:rFonts w:ascii="Times New Roman" w:hint="eastAsia"/>
                <w:sz w:val="24"/>
                <w:szCs w:val="24"/>
              </w:rPr>
              <w:t>10%</w:t>
            </w:r>
            <w:r w:rsidRPr="006A75EE">
              <w:rPr>
                <w:rFonts w:ascii="Times New Roman" w:hint="eastAsia"/>
                <w:sz w:val="24"/>
                <w:szCs w:val="24"/>
              </w:rPr>
              <w:t>，且分別調高免稅額為</w:t>
            </w:r>
            <w:r w:rsidRPr="006A75EE">
              <w:rPr>
                <w:rFonts w:ascii="Times New Roman" w:hint="eastAsia"/>
                <w:sz w:val="24"/>
                <w:szCs w:val="24"/>
              </w:rPr>
              <w:t>1,200</w:t>
            </w:r>
            <w:r w:rsidRPr="006A75EE">
              <w:rPr>
                <w:rFonts w:ascii="Times New Roman" w:hint="eastAsia"/>
                <w:sz w:val="24"/>
                <w:szCs w:val="24"/>
              </w:rPr>
              <w:t>萬元及</w:t>
            </w:r>
            <w:r w:rsidRPr="006A75EE">
              <w:rPr>
                <w:rFonts w:ascii="Times New Roman" w:hint="eastAsia"/>
                <w:sz w:val="24"/>
                <w:szCs w:val="24"/>
              </w:rPr>
              <w:t>220</w:t>
            </w:r>
            <w:r w:rsidRPr="006A75EE">
              <w:rPr>
                <w:rFonts w:ascii="Times New Roman" w:hint="eastAsia"/>
                <w:sz w:val="24"/>
                <w:szCs w:val="24"/>
              </w:rPr>
              <w:t>萬元。</w:t>
            </w:r>
          </w:p>
        </w:tc>
        <w:tc>
          <w:tcPr>
            <w:tcW w:w="1126"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98.1.23</w:t>
            </w:r>
          </w:p>
        </w:tc>
        <w:tc>
          <w:tcPr>
            <w:tcW w:w="3193"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政府推動賦稅改革，係以整體經濟發展及財政穩健作考量，</w:t>
            </w:r>
            <w:proofErr w:type="gramStart"/>
            <w:r w:rsidRPr="006A75EE">
              <w:rPr>
                <w:rFonts w:ascii="Times New Roman" w:hint="eastAsia"/>
                <w:sz w:val="24"/>
              </w:rPr>
              <w:t>採</w:t>
            </w:r>
            <w:proofErr w:type="gramEnd"/>
            <w:r w:rsidRPr="006A75EE">
              <w:rPr>
                <w:rFonts w:ascii="Times New Roman" w:hint="eastAsia"/>
                <w:sz w:val="24"/>
              </w:rPr>
              <w:t>總體方式進行規劃，動態調整各項稅制。本項稅制係賦稅改革之一環，短期內或有可能造成收支短</w:t>
            </w:r>
            <w:proofErr w:type="gramStart"/>
            <w:r w:rsidRPr="006A75EE">
              <w:rPr>
                <w:rFonts w:ascii="Times New Roman" w:hint="eastAsia"/>
                <w:sz w:val="24"/>
              </w:rPr>
              <w:t>絀</w:t>
            </w:r>
            <w:proofErr w:type="gramEnd"/>
            <w:r w:rsidRPr="006A75EE">
              <w:rPr>
                <w:rFonts w:ascii="Times New Roman" w:hint="eastAsia"/>
                <w:sz w:val="24"/>
              </w:rPr>
              <w:t>，長期則因整體賦稅改革產生稅基增長效果，尚不致影響整體財政之穩定。</w:t>
            </w:r>
          </w:p>
        </w:tc>
        <w:tc>
          <w:tcPr>
            <w:tcW w:w="1068"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64</w:t>
            </w:r>
          </w:p>
        </w:tc>
        <w:tc>
          <w:tcPr>
            <w:tcW w:w="855" w:type="dxa"/>
          </w:tcPr>
          <w:p w:rsidR="0051678B" w:rsidRPr="006A75EE" w:rsidRDefault="0051678B" w:rsidP="00044831">
            <w:pPr>
              <w:kinsoku w:val="0"/>
              <w:spacing w:line="320" w:lineRule="exact"/>
              <w:jc w:val="center"/>
              <w:rPr>
                <w:rFonts w:ascii="Times New Roman"/>
                <w:sz w:val="24"/>
              </w:rPr>
            </w:pPr>
          </w:p>
        </w:tc>
        <w:tc>
          <w:tcPr>
            <w:tcW w:w="996" w:type="dxa"/>
          </w:tcPr>
          <w:p w:rsidR="0051678B" w:rsidRPr="006A75EE" w:rsidRDefault="0051678B" w:rsidP="00044831">
            <w:pPr>
              <w:kinsoku w:val="0"/>
              <w:spacing w:line="320" w:lineRule="exact"/>
              <w:jc w:val="center"/>
              <w:rPr>
                <w:rFonts w:ascii="Times New Roman"/>
                <w:sz w:val="24"/>
              </w:rPr>
            </w:pPr>
          </w:p>
        </w:tc>
        <w:tc>
          <w:tcPr>
            <w:tcW w:w="860" w:type="dxa"/>
          </w:tcPr>
          <w:p w:rsidR="0051678B" w:rsidRPr="006A75EE" w:rsidRDefault="0051678B" w:rsidP="00044831">
            <w:pPr>
              <w:kinsoku w:val="0"/>
              <w:spacing w:line="320" w:lineRule="exact"/>
              <w:jc w:val="center"/>
              <w:rPr>
                <w:rFonts w:ascii="Times New Roman"/>
                <w:sz w:val="24"/>
              </w:rPr>
            </w:pPr>
          </w:p>
        </w:tc>
        <w:tc>
          <w:tcPr>
            <w:tcW w:w="2824" w:type="dxa"/>
          </w:tcPr>
          <w:p w:rsidR="0051678B" w:rsidRPr="006A75EE" w:rsidRDefault="0051678B" w:rsidP="00044831">
            <w:pPr>
              <w:kinsoku w:val="0"/>
              <w:spacing w:line="320" w:lineRule="exact"/>
              <w:ind w:leftChars="-11" w:left="-37" w:firstLineChars="11" w:firstLine="29"/>
              <w:rPr>
                <w:rFonts w:ascii="Times New Roman"/>
                <w:sz w:val="24"/>
              </w:rPr>
            </w:pPr>
            <w:r w:rsidRPr="006A75EE">
              <w:rPr>
                <w:rFonts w:ascii="Times New Roman" w:hint="eastAsia"/>
                <w:sz w:val="24"/>
              </w:rPr>
              <w:t>修法有降低租稅規避誘因及提高納稅依從度之效果。</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土地增值稅</w:t>
            </w:r>
          </w:p>
        </w:tc>
        <w:tc>
          <w:tcPr>
            <w:tcW w:w="3031"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98</w:t>
            </w:r>
            <w:r w:rsidRPr="006A75EE">
              <w:rPr>
                <w:rFonts w:ascii="Times New Roman" w:hint="eastAsia"/>
                <w:sz w:val="24"/>
              </w:rPr>
              <w:t>年</w:t>
            </w:r>
            <w:r w:rsidRPr="006A75EE">
              <w:rPr>
                <w:rFonts w:ascii="Times New Roman" w:hint="eastAsia"/>
                <w:sz w:val="24"/>
              </w:rPr>
              <w:t>12</w:t>
            </w:r>
            <w:r w:rsidRPr="006A75EE">
              <w:rPr>
                <w:rFonts w:ascii="Times New Roman" w:hint="eastAsia"/>
                <w:sz w:val="24"/>
              </w:rPr>
              <w:t>月</w:t>
            </w:r>
            <w:r w:rsidRPr="006A75EE">
              <w:rPr>
                <w:rFonts w:ascii="Times New Roman" w:hint="eastAsia"/>
                <w:sz w:val="24"/>
              </w:rPr>
              <w:t>30</w:t>
            </w:r>
            <w:r w:rsidRPr="006A75EE">
              <w:rPr>
                <w:rFonts w:ascii="Times New Roman" w:hint="eastAsia"/>
                <w:sz w:val="24"/>
              </w:rPr>
              <w:t>日修正公布土地稅法第</w:t>
            </w:r>
            <w:r w:rsidRPr="006A75EE">
              <w:rPr>
                <w:rFonts w:ascii="Times New Roman" w:hint="eastAsia"/>
                <w:sz w:val="24"/>
              </w:rPr>
              <w:t>34</w:t>
            </w:r>
            <w:r w:rsidRPr="006A75EE">
              <w:rPr>
                <w:rFonts w:ascii="Times New Roman" w:hint="eastAsia"/>
                <w:sz w:val="24"/>
              </w:rPr>
              <w:t>條，增訂符合一定條件者仍可繼續適用</w:t>
            </w:r>
            <w:r w:rsidRPr="006A75EE">
              <w:rPr>
                <w:rFonts w:ascii="Times New Roman" w:hint="eastAsia"/>
                <w:sz w:val="24"/>
              </w:rPr>
              <w:t>10%</w:t>
            </w:r>
            <w:r w:rsidRPr="006A75EE">
              <w:rPr>
                <w:rFonts w:ascii="Times New Roman" w:hint="eastAsia"/>
                <w:sz w:val="24"/>
              </w:rPr>
              <w:t>優惠稅率之規定，以減</w:t>
            </w:r>
            <w:r w:rsidRPr="006A75EE">
              <w:rPr>
                <w:rFonts w:ascii="Times New Roman" w:hint="eastAsia"/>
                <w:sz w:val="24"/>
              </w:rPr>
              <w:lastRenderedPageBreak/>
              <w:t>輕自用住宅用地所有權人之租稅負擔。</w:t>
            </w:r>
          </w:p>
        </w:tc>
        <w:tc>
          <w:tcPr>
            <w:tcW w:w="1126"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lastRenderedPageBreak/>
              <w:t>99.1.1</w:t>
            </w:r>
          </w:p>
        </w:tc>
        <w:tc>
          <w:tcPr>
            <w:tcW w:w="3193"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該項稅收實質損失部分，於財政收支劃分法修正擴大中央統籌分配稅款規模之規定施行前，由中央政府補足之</w:t>
            </w:r>
            <w:r w:rsidRPr="006A75EE">
              <w:rPr>
                <w:rFonts w:ascii="Times New Roman" w:hint="eastAsia"/>
                <w:sz w:val="24"/>
              </w:rPr>
              <w:lastRenderedPageBreak/>
              <w:t>。</w:t>
            </w:r>
          </w:p>
        </w:tc>
        <w:tc>
          <w:tcPr>
            <w:tcW w:w="1068"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lastRenderedPageBreak/>
              <w:t>3.24</w:t>
            </w:r>
          </w:p>
        </w:tc>
        <w:tc>
          <w:tcPr>
            <w:tcW w:w="855"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3.53</w:t>
            </w:r>
          </w:p>
        </w:tc>
        <w:tc>
          <w:tcPr>
            <w:tcW w:w="996"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3.62</w:t>
            </w:r>
          </w:p>
        </w:tc>
        <w:tc>
          <w:tcPr>
            <w:tcW w:w="860" w:type="dxa"/>
          </w:tcPr>
          <w:p w:rsidR="0051678B" w:rsidRPr="006A75EE" w:rsidRDefault="0051678B" w:rsidP="00044831">
            <w:pPr>
              <w:kinsoku w:val="0"/>
              <w:spacing w:line="320" w:lineRule="exact"/>
              <w:jc w:val="center"/>
              <w:rPr>
                <w:rFonts w:ascii="Times New Roman"/>
                <w:sz w:val="24"/>
              </w:rPr>
            </w:pPr>
            <w:r w:rsidRPr="006A75EE">
              <w:rPr>
                <w:rFonts w:ascii="Times New Roman" w:hint="eastAsia"/>
                <w:sz w:val="24"/>
              </w:rPr>
              <w:t>4.57</w:t>
            </w:r>
          </w:p>
        </w:tc>
        <w:tc>
          <w:tcPr>
            <w:tcW w:w="2824" w:type="dxa"/>
          </w:tcPr>
          <w:p w:rsidR="0051678B" w:rsidRPr="006A75EE" w:rsidRDefault="0051678B" w:rsidP="00044831">
            <w:pPr>
              <w:kinsoku w:val="0"/>
              <w:spacing w:line="320" w:lineRule="exact"/>
              <w:rPr>
                <w:rFonts w:ascii="Times New Roman"/>
                <w:sz w:val="24"/>
              </w:rPr>
            </w:pPr>
            <w:r w:rsidRPr="006A75EE">
              <w:rPr>
                <w:rFonts w:ascii="Times New Roman" w:hint="eastAsia"/>
                <w:sz w:val="24"/>
              </w:rPr>
              <w:t>落實政府照顧自用住宅換屋者之政策，以減輕自用住宅用地所有權人之租稅負擔。</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訂定產業創新條例第</w:t>
            </w:r>
            <w:r w:rsidRPr="006A75EE">
              <w:rPr>
                <w:rFonts w:ascii="Times New Roman"/>
                <w:sz w:val="24"/>
                <w:szCs w:val="24"/>
              </w:rPr>
              <w:t>10</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訂定研究發展支出投資抵減</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99.5.12</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依經濟部所</w:t>
            </w:r>
            <w:proofErr w:type="gramStart"/>
            <w:r w:rsidRPr="006A75EE">
              <w:rPr>
                <w:rFonts w:ascii="Times New Roman"/>
                <w:sz w:val="24"/>
                <w:szCs w:val="24"/>
              </w:rPr>
              <w:t>提稅式</w:t>
            </w:r>
            <w:proofErr w:type="gramEnd"/>
            <w:r w:rsidRPr="006A75EE">
              <w:rPr>
                <w:rFonts w:ascii="Times New Roman"/>
                <w:sz w:val="24"/>
                <w:szCs w:val="24"/>
              </w:rPr>
              <w:t>支出報告，增加政府財源</w:t>
            </w:r>
            <w:r w:rsidRPr="006A75EE">
              <w:rPr>
                <w:rFonts w:ascii="Times New Roman"/>
                <w:sz w:val="24"/>
                <w:szCs w:val="24"/>
              </w:rPr>
              <w:t>103.68</w:t>
            </w:r>
            <w:r w:rsidRPr="006A75EE">
              <w:rPr>
                <w:rFonts w:ascii="Times New Roman"/>
                <w:sz w:val="24"/>
                <w:szCs w:val="24"/>
              </w:rPr>
              <w:t>億元可彌補減收之稅額，</w:t>
            </w:r>
            <w:proofErr w:type="gramStart"/>
            <w:r w:rsidRPr="006A75EE">
              <w:rPr>
                <w:rFonts w:ascii="Times New Roman"/>
                <w:sz w:val="24"/>
                <w:szCs w:val="24"/>
              </w:rPr>
              <w:t>故國庫淨收入</w:t>
            </w:r>
            <w:proofErr w:type="gramEnd"/>
            <w:r w:rsidRPr="006A75EE">
              <w:rPr>
                <w:rFonts w:ascii="Times New Roman"/>
                <w:sz w:val="24"/>
                <w:szCs w:val="24"/>
              </w:rPr>
              <w:t>5.78</w:t>
            </w:r>
            <w:r w:rsidRPr="006A75EE">
              <w:rPr>
                <w:rFonts w:ascii="Times New Roman"/>
                <w:sz w:val="24"/>
                <w:szCs w:val="24"/>
              </w:rPr>
              <w:t>億元。</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97.9</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97.9</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97.9</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97.9</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w:t>
            </w:r>
            <w:r w:rsidRPr="006A75EE">
              <w:rPr>
                <w:rFonts w:cs="標楷體" w:hint="eastAsia"/>
                <w:sz w:val="24"/>
                <w:szCs w:val="24"/>
              </w:rPr>
              <w:t>建議洽詢經濟部。</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貨物稅</w:t>
            </w:r>
          </w:p>
        </w:tc>
        <w:tc>
          <w:tcPr>
            <w:tcW w:w="3031" w:type="dxa"/>
          </w:tcPr>
          <w:p w:rsidR="0051678B" w:rsidRPr="006A75EE" w:rsidRDefault="0051678B" w:rsidP="00044831">
            <w:pPr>
              <w:kinsoku w:val="0"/>
              <w:spacing w:line="300" w:lineRule="exact"/>
              <w:rPr>
                <w:rFonts w:ascii="Times New Roman"/>
                <w:sz w:val="24"/>
                <w:szCs w:val="24"/>
              </w:rPr>
            </w:pPr>
            <w:r w:rsidRPr="006A75EE">
              <w:rPr>
                <w:rFonts w:ascii="Times New Roman"/>
                <w:sz w:val="24"/>
                <w:szCs w:val="24"/>
              </w:rPr>
              <w:t>貨物稅條例第</w:t>
            </w:r>
            <w:r w:rsidRPr="006A75EE">
              <w:rPr>
                <w:rFonts w:ascii="Times New Roman"/>
                <w:sz w:val="24"/>
                <w:szCs w:val="24"/>
              </w:rPr>
              <w:t>12</w:t>
            </w:r>
            <w:r w:rsidRPr="006A75EE">
              <w:rPr>
                <w:rFonts w:ascii="Times New Roman"/>
                <w:sz w:val="24"/>
                <w:szCs w:val="24"/>
              </w:rPr>
              <w:t>條之</w:t>
            </w:r>
            <w:r w:rsidRPr="006A75EE">
              <w:rPr>
                <w:rFonts w:ascii="Times New Roman"/>
                <w:sz w:val="24"/>
                <w:szCs w:val="24"/>
              </w:rPr>
              <w:t>3</w:t>
            </w:r>
          </w:p>
          <w:p w:rsidR="0051678B" w:rsidRPr="006A75EE" w:rsidRDefault="0051678B" w:rsidP="00044831">
            <w:pPr>
              <w:kinsoku w:val="0"/>
              <w:spacing w:line="300" w:lineRule="exact"/>
              <w:rPr>
                <w:rFonts w:ascii="Times New Roman"/>
                <w:sz w:val="24"/>
                <w:szCs w:val="24"/>
              </w:rPr>
            </w:pPr>
            <w:r w:rsidRPr="006A75EE">
              <w:rPr>
                <w:rFonts w:ascii="Times New Roman"/>
                <w:sz w:val="24"/>
                <w:szCs w:val="24"/>
              </w:rPr>
              <w:t>自</w:t>
            </w:r>
            <w:r w:rsidRPr="006A75EE">
              <w:rPr>
                <w:rFonts w:ascii="Times New Roman"/>
                <w:sz w:val="24"/>
                <w:szCs w:val="24"/>
              </w:rPr>
              <w:t>100</w:t>
            </w:r>
            <w:r w:rsidRPr="006A75EE">
              <w:rPr>
                <w:rFonts w:ascii="Times New Roman"/>
                <w:sz w:val="24"/>
                <w:szCs w:val="24"/>
              </w:rPr>
              <w:t>年</w:t>
            </w:r>
            <w:r w:rsidRPr="006A75EE">
              <w:rPr>
                <w:rFonts w:ascii="Times New Roman"/>
                <w:sz w:val="24"/>
                <w:szCs w:val="24"/>
              </w:rPr>
              <w:t>1</w:t>
            </w:r>
            <w:r w:rsidRPr="006A75EE">
              <w:rPr>
                <w:rFonts w:ascii="Times New Roman"/>
                <w:sz w:val="24"/>
                <w:szCs w:val="24"/>
              </w:rPr>
              <w:t>月</w:t>
            </w:r>
            <w:r w:rsidRPr="006A75EE">
              <w:rPr>
                <w:rFonts w:ascii="Times New Roman"/>
                <w:sz w:val="24"/>
                <w:szCs w:val="24"/>
              </w:rPr>
              <w:t>28</w:t>
            </w:r>
            <w:r w:rsidRPr="006A75EE">
              <w:rPr>
                <w:rFonts w:ascii="Times New Roman"/>
                <w:sz w:val="24"/>
                <w:szCs w:val="24"/>
              </w:rPr>
              <w:t>日起</w:t>
            </w:r>
            <w:r w:rsidRPr="006A75EE">
              <w:rPr>
                <w:rFonts w:ascii="Times New Roman"/>
                <w:sz w:val="24"/>
                <w:szCs w:val="24"/>
              </w:rPr>
              <w:t>6</w:t>
            </w:r>
            <w:r w:rsidRPr="006A75EE">
              <w:rPr>
                <w:rFonts w:ascii="Times New Roman"/>
                <w:sz w:val="24"/>
                <w:szCs w:val="24"/>
              </w:rPr>
              <w:t>年內，購買完全以電能為動力之電動車輛並完成登記者，免徵貨物稅。</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100.1.26</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依經濟部工業局稅式支出評估報告，無稅收損失。</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0.25</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0.74</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0.63</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0.48</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w:t>
            </w:r>
            <w:r w:rsidRPr="006A75EE">
              <w:rPr>
                <w:rFonts w:cs="標楷體" w:hint="eastAsia"/>
                <w:sz w:val="24"/>
                <w:szCs w:val="24"/>
              </w:rPr>
              <w:t>建議洽詢經濟部。</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貨物稅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增訂貨物稅條例第</w:t>
            </w:r>
            <w:r w:rsidRPr="006A75EE">
              <w:rPr>
                <w:rFonts w:ascii="Times New Roman"/>
                <w:sz w:val="24"/>
                <w:szCs w:val="24"/>
              </w:rPr>
              <w:t>12</w:t>
            </w:r>
            <w:r w:rsidRPr="006A75EE">
              <w:rPr>
                <w:rFonts w:ascii="Times New Roman" w:hint="eastAsia"/>
                <w:sz w:val="24"/>
                <w:szCs w:val="24"/>
              </w:rPr>
              <w:t>條之</w:t>
            </w:r>
            <w:r w:rsidRPr="006A75EE">
              <w:rPr>
                <w:rFonts w:ascii="Times New Roman"/>
                <w:sz w:val="24"/>
                <w:szCs w:val="24"/>
              </w:rPr>
              <w:t>4</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100</w:t>
            </w:r>
            <w:r w:rsidRPr="006A75EE">
              <w:rPr>
                <w:rFonts w:ascii="Times New Roman" w:hint="eastAsia"/>
                <w:sz w:val="24"/>
                <w:szCs w:val="24"/>
              </w:rPr>
              <w:t>年</w:t>
            </w:r>
            <w:r w:rsidRPr="006A75EE">
              <w:rPr>
                <w:rFonts w:ascii="Times New Roman"/>
                <w:sz w:val="24"/>
                <w:szCs w:val="24"/>
              </w:rPr>
              <w:t>12</w:t>
            </w:r>
            <w:r w:rsidRPr="006A75EE">
              <w:rPr>
                <w:rFonts w:ascii="Times New Roman" w:hint="eastAsia"/>
                <w:sz w:val="24"/>
                <w:szCs w:val="24"/>
              </w:rPr>
              <w:t>月</w:t>
            </w:r>
            <w:r w:rsidRPr="006A75EE">
              <w:rPr>
                <w:rFonts w:ascii="Times New Roman"/>
                <w:sz w:val="24"/>
                <w:szCs w:val="24"/>
              </w:rPr>
              <w:t>30</w:t>
            </w:r>
            <w:r w:rsidRPr="006A75EE">
              <w:rPr>
                <w:rFonts w:ascii="Times New Roman" w:hint="eastAsia"/>
                <w:sz w:val="24"/>
                <w:szCs w:val="24"/>
              </w:rPr>
              <w:t>日起</w:t>
            </w:r>
            <w:r w:rsidRPr="006A75EE">
              <w:rPr>
                <w:rFonts w:ascii="Times New Roman"/>
                <w:sz w:val="24"/>
                <w:szCs w:val="24"/>
              </w:rPr>
              <w:t>5</w:t>
            </w:r>
            <w:r w:rsidRPr="006A75EE">
              <w:rPr>
                <w:rFonts w:ascii="Times New Roman" w:hint="eastAsia"/>
                <w:sz w:val="24"/>
                <w:szCs w:val="24"/>
              </w:rPr>
              <w:t>年內購買油氣雙燃料車並完成登記者，該汽車應徵之</w:t>
            </w:r>
            <w:proofErr w:type="gramStart"/>
            <w:r w:rsidRPr="006A75EE">
              <w:rPr>
                <w:rFonts w:ascii="Times New Roman" w:hint="eastAsia"/>
                <w:sz w:val="24"/>
                <w:szCs w:val="24"/>
              </w:rPr>
              <w:t>貨物稅每輛</w:t>
            </w:r>
            <w:proofErr w:type="gramEnd"/>
            <w:r w:rsidRPr="006A75EE">
              <w:rPr>
                <w:rFonts w:ascii="Times New Roman" w:hint="eastAsia"/>
                <w:sz w:val="24"/>
                <w:szCs w:val="24"/>
              </w:rPr>
              <w:t>定額減徵</w:t>
            </w:r>
            <w:r w:rsidRPr="006A75EE">
              <w:rPr>
                <w:rFonts w:ascii="Times New Roman"/>
                <w:sz w:val="24"/>
                <w:szCs w:val="24"/>
              </w:rPr>
              <w:t>25,000</w:t>
            </w:r>
            <w:r w:rsidRPr="006A75EE">
              <w:rPr>
                <w:rFonts w:ascii="Times New Roman" w:hint="eastAsia"/>
                <w:sz w:val="24"/>
                <w:szCs w:val="24"/>
              </w:rPr>
              <w:t>元。</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100.12.28</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依行政院環境保護</w:t>
            </w:r>
            <w:proofErr w:type="gramStart"/>
            <w:r w:rsidRPr="006A75EE">
              <w:rPr>
                <w:rFonts w:ascii="Times New Roman"/>
                <w:sz w:val="24"/>
                <w:szCs w:val="24"/>
              </w:rPr>
              <w:t>署稅式</w:t>
            </w:r>
            <w:proofErr w:type="gramEnd"/>
            <w:r w:rsidRPr="006A75EE">
              <w:rPr>
                <w:rFonts w:ascii="Times New Roman"/>
                <w:sz w:val="24"/>
                <w:szCs w:val="24"/>
              </w:rPr>
              <w:t>支出評估報告，無稅收損失。</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855" w:type="dxa"/>
          </w:tcPr>
          <w:p w:rsidR="0051678B" w:rsidRPr="006A75EE" w:rsidRDefault="0051678B" w:rsidP="00044831">
            <w:pPr>
              <w:jc w:val="center"/>
              <w:rPr>
                <w:rFonts w:ascii="Times New Roman"/>
                <w:sz w:val="24"/>
                <w:szCs w:val="24"/>
              </w:rPr>
            </w:pPr>
            <w:r w:rsidRPr="006A75EE">
              <w:rPr>
                <w:rFonts w:ascii="Times New Roman"/>
                <w:sz w:val="24"/>
                <w:szCs w:val="24"/>
              </w:rPr>
              <w:t>0</w:t>
            </w:r>
          </w:p>
        </w:tc>
        <w:tc>
          <w:tcPr>
            <w:tcW w:w="996" w:type="dxa"/>
          </w:tcPr>
          <w:p w:rsidR="0051678B" w:rsidRPr="006A75EE" w:rsidRDefault="0051678B" w:rsidP="00044831">
            <w:pPr>
              <w:jc w:val="center"/>
              <w:rPr>
                <w:rFonts w:ascii="Times New Roman"/>
                <w:sz w:val="24"/>
                <w:szCs w:val="24"/>
              </w:rPr>
            </w:pPr>
            <w:r w:rsidRPr="006A75EE">
              <w:rPr>
                <w:rFonts w:ascii="Times New Roman"/>
                <w:sz w:val="24"/>
                <w:szCs w:val="24"/>
              </w:rPr>
              <w:t>0</w:t>
            </w:r>
          </w:p>
        </w:tc>
        <w:tc>
          <w:tcPr>
            <w:tcW w:w="860" w:type="dxa"/>
          </w:tcPr>
          <w:p w:rsidR="0051678B" w:rsidRPr="006A75EE" w:rsidRDefault="0051678B" w:rsidP="00044831">
            <w:pPr>
              <w:jc w:val="center"/>
              <w:rPr>
                <w:rFonts w:ascii="Times New Roman"/>
                <w:sz w:val="24"/>
                <w:szCs w:val="24"/>
              </w:rPr>
            </w:pPr>
            <w:r w:rsidRPr="006A75EE">
              <w:rPr>
                <w:rFonts w:ascii="Times New Roman"/>
                <w:sz w:val="24"/>
                <w:szCs w:val="24"/>
              </w:rPr>
              <w:t>0</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w:t>
            </w:r>
            <w:r w:rsidRPr="006A75EE">
              <w:rPr>
                <w:rFonts w:cs="標楷體" w:hint="eastAsia"/>
                <w:sz w:val="24"/>
                <w:szCs w:val="24"/>
              </w:rPr>
              <w:t>建議洽詢行政院環境保護署。</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土地增值稅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修正私立學校法第</w:t>
            </w:r>
            <w:r w:rsidRPr="006A75EE">
              <w:rPr>
                <w:rFonts w:ascii="Times New Roman"/>
                <w:sz w:val="24"/>
                <w:szCs w:val="24"/>
              </w:rPr>
              <w:t>71</w:t>
            </w:r>
            <w:r w:rsidRPr="006A75EE">
              <w:rPr>
                <w:rFonts w:ascii="Times New Roman"/>
                <w:sz w:val="24"/>
                <w:szCs w:val="24"/>
              </w:rPr>
              <w:t>條第</w:t>
            </w:r>
            <w:r w:rsidRPr="006A75EE">
              <w:rPr>
                <w:rFonts w:ascii="Times New Roman"/>
                <w:sz w:val="24"/>
                <w:szCs w:val="24"/>
              </w:rPr>
              <w:t>3</w:t>
            </w:r>
            <w:r w:rsidRPr="006A75EE">
              <w:rPr>
                <w:rFonts w:ascii="Times New Roman"/>
                <w:sz w:val="24"/>
                <w:szCs w:val="24"/>
              </w:rPr>
              <w:t>項</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增訂學校法人改辦其他教育、文化或社會福利事業之財團法人時，原依土地稅法第</w:t>
            </w:r>
            <w:r w:rsidRPr="006A75EE">
              <w:rPr>
                <w:rFonts w:ascii="Times New Roman"/>
                <w:sz w:val="24"/>
                <w:szCs w:val="24"/>
              </w:rPr>
              <w:t>28</w:t>
            </w:r>
            <w:r w:rsidRPr="006A75EE">
              <w:rPr>
                <w:rFonts w:ascii="Times New Roman"/>
                <w:sz w:val="24"/>
                <w:szCs w:val="24"/>
              </w:rPr>
              <w:t>條之</w:t>
            </w:r>
            <w:r w:rsidRPr="006A75EE">
              <w:rPr>
                <w:rFonts w:ascii="Times New Roman"/>
                <w:sz w:val="24"/>
                <w:szCs w:val="24"/>
              </w:rPr>
              <w:t>1</w:t>
            </w:r>
            <w:r w:rsidRPr="006A75EE">
              <w:rPr>
                <w:rFonts w:ascii="Times New Roman"/>
                <w:sz w:val="24"/>
                <w:szCs w:val="24"/>
              </w:rPr>
              <w:t>受贈土地者，免依該法規定處罰，其應追補之土地增值稅，准予記存，並於該土地下次移轉時，一併繳納之。</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100.12.28</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教育部為提高私立學校退場誘因以及促進資源利用，</w:t>
            </w:r>
            <w:proofErr w:type="gramStart"/>
            <w:r w:rsidRPr="006A75EE">
              <w:rPr>
                <w:rFonts w:ascii="Times New Roman"/>
                <w:sz w:val="24"/>
                <w:szCs w:val="24"/>
              </w:rPr>
              <w:t>爰</w:t>
            </w:r>
            <w:proofErr w:type="gramEnd"/>
            <w:r w:rsidRPr="006A75EE">
              <w:rPr>
                <w:rFonts w:ascii="Times New Roman"/>
                <w:sz w:val="24"/>
                <w:szCs w:val="24"/>
              </w:rPr>
              <w:t>規定原應依法補徵之土地增值稅准予記存，於下次移轉時一併繳納，並未實質減少稅收。</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財政部建議洽詢教育部。</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修正所得稅法第</w:t>
            </w:r>
            <w:r w:rsidRPr="006A75EE">
              <w:rPr>
                <w:rFonts w:ascii="Times New Roman"/>
                <w:sz w:val="24"/>
                <w:szCs w:val="24"/>
              </w:rPr>
              <w:t>17</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增列幼兒學前特別扣除額</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101.1.1</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該</w:t>
            </w:r>
            <w:r w:rsidRPr="006A75EE">
              <w:rPr>
                <w:rFonts w:ascii="Times New Roman"/>
                <w:sz w:val="24"/>
                <w:szCs w:val="24"/>
              </w:rPr>
              <w:t>案以加強個人從事不動產相關交易案件查核之稅收為</w:t>
            </w:r>
            <w:r w:rsidRPr="006A75EE">
              <w:rPr>
                <w:rFonts w:ascii="Times New Roman"/>
                <w:sz w:val="24"/>
                <w:szCs w:val="24"/>
              </w:rPr>
              <w:lastRenderedPageBreak/>
              <w:t>替代財源。</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7.1</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6.6</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w:t>
            </w:r>
          </w:p>
        </w:tc>
        <w:tc>
          <w:tcPr>
            <w:tcW w:w="2824" w:type="dxa"/>
          </w:tcPr>
          <w:p w:rsidR="0051678B" w:rsidRPr="006A75EE" w:rsidRDefault="0051678B" w:rsidP="00044831">
            <w:pPr>
              <w:pStyle w:val="afe"/>
              <w:kinsoku w:val="0"/>
              <w:overflowPunct w:val="0"/>
              <w:autoSpaceDE w:val="0"/>
              <w:autoSpaceDN w:val="0"/>
              <w:spacing w:line="320" w:lineRule="exact"/>
              <w:ind w:left="248" w:hangingChars="100" w:hanging="248"/>
              <w:rPr>
                <w:rFonts w:cs="標楷體"/>
                <w:sz w:val="24"/>
                <w:szCs w:val="24"/>
              </w:rPr>
            </w:pPr>
            <w:r w:rsidRPr="006A75EE">
              <w:rPr>
                <w:rFonts w:ascii="標楷體" w:cs="標楷體"/>
                <w:noProof w:val="0"/>
                <w:spacing w:val="-6"/>
                <w:kern w:val="2"/>
                <w:sz w:val="24"/>
                <w:szCs w:val="24"/>
              </w:rPr>
              <w:t>1.</w:t>
            </w:r>
            <w:r w:rsidRPr="006A75EE">
              <w:rPr>
                <w:rFonts w:ascii="標楷體" w:cs="標楷體" w:hint="eastAsia"/>
                <w:noProof w:val="0"/>
                <w:spacing w:val="-6"/>
                <w:kern w:val="2"/>
                <w:sz w:val="24"/>
                <w:szCs w:val="24"/>
              </w:rPr>
              <w:t>配合國家人口政策，鼓勵生育。</w:t>
            </w:r>
          </w:p>
          <w:p w:rsidR="0051678B" w:rsidRPr="006A75EE" w:rsidRDefault="0051678B" w:rsidP="00044831">
            <w:pPr>
              <w:kinsoku w:val="0"/>
              <w:spacing w:line="320" w:lineRule="exact"/>
              <w:ind w:left="260" w:hangingChars="100" w:hanging="260"/>
              <w:rPr>
                <w:rFonts w:ascii="Times New Roman"/>
                <w:sz w:val="24"/>
                <w:szCs w:val="24"/>
              </w:rPr>
            </w:pPr>
            <w:r w:rsidRPr="006A75EE">
              <w:rPr>
                <w:sz w:val="24"/>
                <w:szCs w:val="24"/>
              </w:rPr>
              <w:lastRenderedPageBreak/>
              <w:t>2.</w:t>
            </w:r>
            <w:r w:rsidRPr="006A75EE">
              <w:rPr>
                <w:rFonts w:cs="標楷體" w:hint="eastAsia"/>
                <w:spacing w:val="-6"/>
                <w:sz w:val="24"/>
                <w:szCs w:val="24"/>
              </w:rPr>
              <w:t>照顧經濟弱勢，減輕國民養育幼兒之負擔，兼顧租稅公平，使政府資源有效運用，增加渠等可支配所得，符合租稅公平。</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土地增值稅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修正水源特定區土地減免土地增值稅贈與稅及遺產稅標準第</w:t>
            </w:r>
            <w:r w:rsidRPr="006A75EE">
              <w:rPr>
                <w:rFonts w:ascii="Times New Roman"/>
                <w:sz w:val="24"/>
                <w:szCs w:val="24"/>
              </w:rPr>
              <w:t>2</w:t>
            </w:r>
            <w:r w:rsidRPr="006A75EE">
              <w:rPr>
                <w:rFonts w:ascii="Times New Roman"/>
                <w:sz w:val="24"/>
                <w:szCs w:val="24"/>
              </w:rPr>
              <w:t>條第</w:t>
            </w:r>
            <w:r w:rsidRPr="006A75EE">
              <w:rPr>
                <w:rFonts w:ascii="Times New Roman"/>
                <w:sz w:val="24"/>
                <w:szCs w:val="24"/>
              </w:rPr>
              <w:t>1</w:t>
            </w:r>
            <w:r w:rsidRPr="006A75EE">
              <w:rPr>
                <w:rFonts w:ascii="Times New Roman"/>
                <w:sz w:val="24"/>
                <w:szCs w:val="24"/>
              </w:rPr>
              <w:t>項第</w:t>
            </w:r>
            <w:r w:rsidRPr="006A75EE">
              <w:rPr>
                <w:rFonts w:ascii="Times New Roman"/>
                <w:sz w:val="24"/>
                <w:szCs w:val="24"/>
              </w:rPr>
              <w:t>2</w:t>
            </w:r>
            <w:r w:rsidRPr="006A75EE">
              <w:rPr>
                <w:rFonts w:ascii="Times New Roman"/>
                <w:sz w:val="24"/>
                <w:szCs w:val="24"/>
              </w:rPr>
              <w:t>款</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風景區、甲種風景區及乙種風景區，減徵土地增值稅</w:t>
            </w:r>
            <w:r w:rsidRPr="006A75EE">
              <w:rPr>
                <w:rFonts w:ascii="Times New Roman"/>
                <w:sz w:val="24"/>
                <w:szCs w:val="24"/>
              </w:rPr>
              <w:t>40%</w:t>
            </w:r>
            <w:r w:rsidRPr="006A75EE">
              <w:rPr>
                <w:rFonts w:ascii="Times New Roman"/>
                <w:sz w:val="24"/>
                <w:szCs w:val="24"/>
              </w:rPr>
              <w:t>。</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101.1.2</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依經濟部所</w:t>
            </w:r>
            <w:proofErr w:type="gramStart"/>
            <w:r w:rsidRPr="006A75EE">
              <w:rPr>
                <w:rFonts w:ascii="Times New Roman"/>
                <w:sz w:val="24"/>
                <w:szCs w:val="24"/>
              </w:rPr>
              <w:t>提稅式</w:t>
            </w:r>
            <w:proofErr w:type="gramEnd"/>
            <w:r w:rsidRPr="006A75EE">
              <w:rPr>
                <w:rFonts w:ascii="Times New Roman"/>
                <w:sz w:val="24"/>
                <w:szCs w:val="24"/>
              </w:rPr>
              <w:t>支出報告，新北市政府同意自行吸收增列風景區所造成之稅收損失。</w:t>
            </w:r>
          </w:p>
        </w:tc>
        <w:tc>
          <w:tcPr>
            <w:tcW w:w="1068" w:type="dxa"/>
          </w:tcPr>
          <w:p w:rsidR="0051678B" w:rsidRPr="006A75EE" w:rsidRDefault="0051678B" w:rsidP="00044831">
            <w:pPr>
              <w:spacing w:line="320" w:lineRule="exact"/>
              <w:rPr>
                <w:spacing w:val="-20"/>
                <w:w w:val="90"/>
                <w:sz w:val="24"/>
                <w:szCs w:val="24"/>
              </w:rPr>
            </w:pPr>
            <w:r w:rsidRPr="006A75EE">
              <w:rPr>
                <w:spacing w:val="-20"/>
                <w:w w:val="90"/>
                <w:sz w:val="24"/>
                <w:szCs w:val="24"/>
              </w:rPr>
              <w:t>0.00215</w:t>
            </w:r>
          </w:p>
        </w:tc>
        <w:tc>
          <w:tcPr>
            <w:tcW w:w="855" w:type="dxa"/>
          </w:tcPr>
          <w:p w:rsidR="0051678B" w:rsidRPr="006A75EE" w:rsidRDefault="0051678B" w:rsidP="00044831">
            <w:pPr>
              <w:spacing w:line="320" w:lineRule="exact"/>
              <w:rPr>
                <w:spacing w:val="-20"/>
                <w:w w:val="90"/>
                <w:sz w:val="24"/>
                <w:szCs w:val="24"/>
              </w:rPr>
            </w:pPr>
            <w:r w:rsidRPr="006A75EE">
              <w:rPr>
                <w:spacing w:val="-20"/>
                <w:w w:val="90"/>
                <w:sz w:val="24"/>
                <w:szCs w:val="24"/>
              </w:rPr>
              <w:t>0.00215</w:t>
            </w:r>
          </w:p>
        </w:tc>
        <w:tc>
          <w:tcPr>
            <w:tcW w:w="996" w:type="dxa"/>
          </w:tcPr>
          <w:p w:rsidR="0051678B" w:rsidRPr="006A75EE" w:rsidRDefault="0051678B" w:rsidP="00044831">
            <w:pPr>
              <w:spacing w:line="320" w:lineRule="exact"/>
              <w:rPr>
                <w:spacing w:val="-20"/>
                <w:w w:val="90"/>
                <w:sz w:val="24"/>
                <w:szCs w:val="24"/>
              </w:rPr>
            </w:pPr>
            <w:r w:rsidRPr="006A75EE">
              <w:rPr>
                <w:spacing w:val="-20"/>
                <w:w w:val="90"/>
                <w:sz w:val="24"/>
                <w:szCs w:val="24"/>
              </w:rPr>
              <w:t>0.00215</w:t>
            </w:r>
          </w:p>
        </w:tc>
        <w:tc>
          <w:tcPr>
            <w:tcW w:w="860" w:type="dxa"/>
          </w:tcPr>
          <w:p w:rsidR="0051678B" w:rsidRPr="006A75EE" w:rsidRDefault="0051678B" w:rsidP="00044831">
            <w:pPr>
              <w:spacing w:line="320" w:lineRule="exact"/>
              <w:rPr>
                <w:spacing w:val="-20"/>
                <w:w w:val="90"/>
                <w:sz w:val="24"/>
                <w:szCs w:val="24"/>
              </w:rPr>
            </w:pPr>
            <w:r w:rsidRPr="006A75EE">
              <w:rPr>
                <w:spacing w:val="-20"/>
                <w:w w:val="90"/>
                <w:sz w:val="24"/>
                <w:szCs w:val="24"/>
              </w:rPr>
              <w:t>0.00215</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w:t>
            </w:r>
            <w:r w:rsidRPr="006A75EE">
              <w:rPr>
                <w:rFonts w:cs="標楷體" w:hint="eastAsia"/>
                <w:sz w:val="24"/>
                <w:szCs w:val="24"/>
              </w:rPr>
              <w:t>建議洽詢經濟部。</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贈與稅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修正水源特定區土地減免土地增值稅贈與稅及遺產稅標準第</w:t>
            </w:r>
            <w:r w:rsidRPr="006A75EE">
              <w:rPr>
                <w:rFonts w:ascii="Times New Roman"/>
                <w:sz w:val="24"/>
                <w:szCs w:val="24"/>
              </w:rPr>
              <w:t>3</w:t>
            </w:r>
            <w:r w:rsidRPr="006A75EE">
              <w:rPr>
                <w:rFonts w:ascii="Times New Roman"/>
                <w:sz w:val="24"/>
                <w:szCs w:val="24"/>
              </w:rPr>
              <w:t>條第</w:t>
            </w:r>
            <w:r w:rsidRPr="006A75EE">
              <w:rPr>
                <w:rFonts w:ascii="Times New Roman"/>
                <w:sz w:val="24"/>
                <w:szCs w:val="24"/>
              </w:rPr>
              <w:t>1</w:t>
            </w:r>
            <w:r w:rsidRPr="006A75EE">
              <w:rPr>
                <w:rFonts w:ascii="Times New Roman"/>
                <w:sz w:val="24"/>
                <w:szCs w:val="24"/>
              </w:rPr>
              <w:t>項第</w:t>
            </w:r>
            <w:r w:rsidRPr="006A75EE">
              <w:rPr>
                <w:rFonts w:ascii="Times New Roman"/>
                <w:sz w:val="24"/>
                <w:szCs w:val="24"/>
              </w:rPr>
              <w:t>2</w:t>
            </w:r>
            <w:r w:rsidRPr="006A75EE">
              <w:rPr>
                <w:rFonts w:ascii="Times New Roman"/>
                <w:sz w:val="24"/>
                <w:szCs w:val="24"/>
              </w:rPr>
              <w:t>款</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風景區、甲種風景區及乙種風景區，扣除該土地價值</w:t>
            </w:r>
            <w:r w:rsidRPr="006A75EE">
              <w:rPr>
                <w:rFonts w:ascii="Times New Roman"/>
                <w:sz w:val="24"/>
                <w:szCs w:val="24"/>
              </w:rPr>
              <w:t>40%</w:t>
            </w:r>
            <w:r w:rsidRPr="006A75EE">
              <w:rPr>
                <w:rFonts w:ascii="Times New Roman"/>
                <w:sz w:val="24"/>
                <w:szCs w:val="24"/>
              </w:rPr>
              <w:t>。</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101.1.2</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依經濟部所</w:t>
            </w:r>
            <w:proofErr w:type="gramStart"/>
            <w:r w:rsidRPr="006A75EE">
              <w:rPr>
                <w:rFonts w:ascii="Times New Roman"/>
                <w:sz w:val="24"/>
                <w:szCs w:val="24"/>
              </w:rPr>
              <w:t>提稅式</w:t>
            </w:r>
            <w:proofErr w:type="gramEnd"/>
            <w:r w:rsidRPr="006A75EE">
              <w:rPr>
                <w:rFonts w:ascii="Times New Roman"/>
                <w:sz w:val="24"/>
                <w:szCs w:val="24"/>
              </w:rPr>
              <w:t>支出報告，遺產稅部分無稅收損失，贈與稅每年僅約</w:t>
            </w:r>
            <w:r w:rsidRPr="006A75EE">
              <w:rPr>
                <w:rFonts w:ascii="Times New Roman"/>
                <w:sz w:val="24"/>
                <w:szCs w:val="24"/>
              </w:rPr>
              <w:t>7,500</w:t>
            </w:r>
            <w:r w:rsidRPr="006A75EE">
              <w:rPr>
                <w:rFonts w:ascii="Times New Roman"/>
                <w:sz w:val="24"/>
                <w:szCs w:val="24"/>
              </w:rPr>
              <w:t>元，尚不影響實質稅收。</w:t>
            </w:r>
          </w:p>
        </w:tc>
        <w:tc>
          <w:tcPr>
            <w:tcW w:w="1068" w:type="dxa"/>
          </w:tcPr>
          <w:p w:rsidR="0051678B" w:rsidRPr="006A75EE" w:rsidRDefault="0051678B" w:rsidP="00044831">
            <w:pPr>
              <w:spacing w:line="320" w:lineRule="exact"/>
              <w:rPr>
                <w:spacing w:val="-20"/>
                <w:w w:val="90"/>
                <w:sz w:val="24"/>
                <w:szCs w:val="24"/>
              </w:rPr>
            </w:pPr>
            <w:r w:rsidRPr="006A75EE">
              <w:rPr>
                <w:spacing w:val="-20"/>
                <w:w w:val="90"/>
                <w:sz w:val="24"/>
                <w:szCs w:val="24"/>
              </w:rPr>
              <w:t>0.000075</w:t>
            </w:r>
          </w:p>
        </w:tc>
        <w:tc>
          <w:tcPr>
            <w:tcW w:w="855" w:type="dxa"/>
          </w:tcPr>
          <w:p w:rsidR="0051678B" w:rsidRPr="006A75EE" w:rsidRDefault="0051678B" w:rsidP="00044831">
            <w:pPr>
              <w:spacing w:line="320" w:lineRule="exact"/>
              <w:rPr>
                <w:spacing w:val="-20"/>
                <w:w w:val="90"/>
                <w:sz w:val="24"/>
                <w:szCs w:val="24"/>
              </w:rPr>
            </w:pPr>
            <w:r w:rsidRPr="006A75EE">
              <w:rPr>
                <w:spacing w:val="-20"/>
                <w:w w:val="90"/>
                <w:sz w:val="24"/>
                <w:szCs w:val="24"/>
              </w:rPr>
              <w:t>0.000075</w:t>
            </w:r>
          </w:p>
        </w:tc>
        <w:tc>
          <w:tcPr>
            <w:tcW w:w="996" w:type="dxa"/>
          </w:tcPr>
          <w:p w:rsidR="0051678B" w:rsidRPr="006A75EE" w:rsidRDefault="0051678B" w:rsidP="00044831">
            <w:pPr>
              <w:spacing w:line="320" w:lineRule="exact"/>
              <w:rPr>
                <w:spacing w:val="-20"/>
                <w:w w:val="90"/>
                <w:sz w:val="24"/>
                <w:szCs w:val="24"/>
              </w:rPr>
            </w:pPr>
            <w:r w:rsidRPr="006A75EE">
              <w:rPr>
                <w:spacing w:val="-20"/>
                <w:w w:val="90"/>
                <w:sz w:val="24"/>
                <w:szCs w:val="24"/>
              </w:rPr>
              <w:t>0.000075</w:t>
            </w:r>
          </w:p>
        </w:tc>
        <w:tc>
          <w:tcPr>
            <w:tcW w:w="860" w:type="dxa"/>
          </w:tcPr>
          <w:p w:rsidR="0051678B" w:rsidRPr="006A75EE" w:rsidRDefault="0051678B" w:rsidP="00044831">
            <w:pPr>
              <w:spacing w:line="320" w:lineRule="exact"/>
              <w:rPr>
                <w:spacing w:val="-20"/>
                <w:w w:val="90"/>
                <w:sz w:val="24"/>
                <w:szCs w:val="24"/>
              </w:rPr>
            </w:pPr>
            <w:r w:rsidRPr="006A75EE">
              <w:rPr>
                <w:spacing w:val="-20"/>
                <w:w w:val="90"/>
                <w:sz w:val="24"/>
                <w:szCs w:val="24"/>
              </w:rPr>
              <w:t>0.000075</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w:t>
            </w:r>
            <w:r w:rsidRPr="006A75EE">
              <w:rPr>
                <w:rFonts w:cs="標楷體" w:hint="eastAsia"/>
                <w:sz w:val="24"/>
                <w:szCs w:val="24"/>
              </w:rPr>
              <w:t>建議洽詢經濟部。</w:t>
            </w: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使用牌照稅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修正使用牌照稅法第</w:t>
            </w:r>
            <w:r w:rsidRPr="006A75EE">
              <w:rPr>
                <w:rFonts w:ascii="Times New Roman"/>
                <w:sz w:val="24"/>
                <w:szCs w:val="24"/>
              </w:rPr>
              <w:t>5</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直轄市及縣</w:t>
            </w:r>
            <w:r w:rsidRPr="006A75EE">
              <w:rPr>
                <w:rFonts w:ascii="Times New Roman"/>
                <w:sz w:val="24"/>
                <w:szCs w:val="24"/>
              </w:rPr>
              <w:t>(</w:t>
            </w:r>
            <w:r w:rsidRPr="006A75EE">
              <w:rPr>
                <w:rFonts w:ascii="Times New Roman"/>
                <w:sz w:val="24"/>
                <w:szCs w:val="24"/>
              </w:rPr>
              <w:t>市</w:t>
            </w:r>
            <w:r w:rsidRPr="006A75EE">
              <w:rPr>
                <w:rFonts w:ascii="Times New Roman"/>
                <w:sz w:val="24"/>
                <w:szCs w:val="24"/>
              </w:rPr>
              <w:t>)</w:t>
            </w:r>
            <w:r w:rsidRPr="006A75EE">
              <w:rPr>
                <w:rFonts w:ascii="Times New Roman"/>
                <w:sz w:val="24"/>
                <w:szCs w:val="24"/>
              </w:rPr>
              <w:t>政府於</w:t>
            </w:r>
            <w:r w:rsidRPr="006A75EE">
              <w:rPr>
                <w:rFonts w:ascii="Times New Roman"/>
                <w:sz w:val="24"/>
                <w:szCs w:val="24"/>
              </w:rPr>
              <w:t>101.1.6</w:t>
            </w:r>
            <w:r w:rsidRPr="006A75EE">
              <w:rPr>
                <w:rFonts w:ascii="Times New Roman"/>
                <w:sz w:val="24"/>
                <w:szCs w:val="24"/>
              </w:rPr>
              <w:t>至</w:t>
            </w:r>
            <w:r w:rsidRPr="006A75EE">
              <w:rPr>
                <w:rFonts w:ascii="Times New Roman"/>
                <w:sz w:val="24"/>
                <w:szCs w:val="24"/>
              </w:rPr>
              <w:t>107.1.5</w:t>
            </w:r>
            <w:r w:rsidRPr="006A75EE">
              <w:rPr>
                <w:rFonts w:ascii="Times New Roman"/>
                <w:sz w:val="24"/>
                <w:szCs w:val="24"/>
              </w:rPr>
              <w:t>止</w:t>
            </w:r>
            <w:r w:rsidRPr="006A75EE">
              <w:rPr>
                <w:rFonts w:ascii="Times New Roman"/>
                <w:sz w:val="24"/>
                <w:szCs w:val="24"/>
              </w:rPr>
              <w:t>6</w:t>
            </w:r>
            <w:r w:rsidRPr="006A75EE">
              <w:rPr>
                <w:rFonts w:ascii="Times New Roman"/>
                <w:sz w:val="24"/>
                <w:szCs w:val="24"/>
              </w:rPr>
              <w:t>年內，得對完全以電能為動力之電動汽車免徵使用牌照稅，並報財政部備查。</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101.1.6</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該</w:t>
            </w:r>
            <w:r w:rsidRPr="006A75EE">
              <w:rPr>
                <w:rFonts w:ascii="Times New Roman"/>
                <w:sz w:val="24"/>
                <w:szCs w:val="24"/>
              </w:rPr>
              <w:t>規定授權直轄市及縣</w:t>
            </w:r>
            <w:r w:rsidRPr="006A75EE">
              <w:rPr>
                <w:rFonts w:ascii="Times New Roman"/>
                <w:sz w:val="24"/>
                <w:szCs w:val="24"/>
              </w:rPr>
              <w:t>(</w:t>
            </w:r>
            <w:r w:rsidRPr="006A75EE">
              <w:rPr>
                <w:rFonts w:ascii="Times New Roman"/>
                <w:sz w:val="24"/>
                <w:szCs w:val="24"/>
              </w:rPr>
              <w:t>市</w:t>
            </w:r>
            <w:r w:rsidRPr="006A75EE">
              <w:rPr>
                <w:rFonts w:ascii="Times New Roman"/>
                <w:sz w:val="24"/>
                <w:szCs w:val="24"/>
              </w:rPr>
              <w:t>)</w:t>
            </w:r>
            <w:r w:rsidRPr="006A75EE">
              <w:rPr>
                <w:rFonts w:ascii="Times New Roman"/>
                <w:sz w:val="24"/>
                <w:szCs w:val="24"/>
              </w:rPr>
              <w:t>政府得對完全以電能為動力之電動汽車免徵使用牌照稅。地方政府可視各該地方經濟發展及財政狀況決定上開車輛使用牌照稅之徵免，尚無涉及財源彌補問題。</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0.0</w:t>
            </w:r>
            <w:r w:rsidRPr="006A75EE">
              <w:rPr>
                <w:rFonts w:ascii="Times New Roman" w:hint="eastAsia"/>
                <w:sz w:val="24"/>
                <w:szCs w:val="24"/>
              </w:rPr>
              <w:t>2</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0.0</w:t>
            </w:r>
            <w:r w:rsidRPr="006A75EE">
              <w:rPr>
                <w:rFonts w:ascii="Times New Roman" w:hint="eastAsia"/>
                <w:sz w:val="24"/>
                <w:szCs w:val="24"/>
              </w:rPr>
              <w:t>3</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0.0</w:t>
            </w:r>
            <w:r w:rsidRPr="006A75EE">
              <w:rPr>
                <w:rFonts w:ascii="Times New Roman" w:hint="eastAsia"/>
                <w:sz w:val="24"/>
                <w:szCs w:val="24"/>
              </w:rPr>
              <w:t>4</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0.05</w:t>
            </w:r>
          </w:p>
        </w:tc>
        <w:tc>
          <w:tcPr>
            <w:tcW w:w="2824" w:type="dxa"/>
          </w:tcPr>
          <w:p w:rsidR="0051678B" w:rsidRPr="006A75EE" w:rsidRDefault="0051678B" w:rsidP="00044831">
            <w:pPr>
              <w:kinsoku w:val="0"/>
              <w:spacing w:line="320" w:lineRule="exact"/>
              <w:rPr>
                <w:rFonts w:ascii="Times New Roman"/>
                <w:sz w:val="24"/>
                <w:szCs w:val="24"/>
              </w:rPr>
            </w:pPr>
          </w:p>
        </w:tc>
      </w:tr>
      <w:tr w:rsidR="0051678B" w:rsidRPr="006A75EE" w:rsidTr="00044831">
        <w:tc>
          <w:tcPr>
            <w:tcW w:w="580" w:type="dxa"/>
          </w:tcPr>
          <w:p w:rsidR="0051678B" w:rsidRPr="006A75EE" w:rsidRDefault="0051678B" w:rsidP="00FF7DB4">
            <w:pPr>
              <w:numPr>
                <w:ilvl w:val="0"/>
                <w:numId w:val="16"/>
              </w:numPr>
              <w:kinsoku w:val="0"/>
              <w:spacing w:line="320" w:lineRule="exact"/>
              <w:ind w:leftChars="50" w:left="850" w:hanging="680"/>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地價稅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訂定商港法第</w:t>
            </w:r>
            <w:r w:rsidRPr="006A75EE">
              <w:rPr>
                <w:rFonts w:ascii="Times New Roman"/>
                <w:sz w:val="24"/>
                <w:szCs w:val="24"/>
              </w:rPr>
              <w:t>8</w:t>
            </w:r>
            <w:r w:rsidRPr="006A75EE">
              <w:rPr>
                <w:rFonts w:ascii="Times New Roman"/>
                <w:sz w:val="24"/>
                <w:szCs w:val="24"/>
              </w:rPr>
              <w:t>條第</w:t>
            </w:r>
            <w:r w:rsidRPr="006A75EE">
              <w:rPr>
                <w:rFonts w:ascii="Times New Roman"/>
                <w:sz w:val="24"/>
                <w:szCs w:val="24"/>
              </w:rPr>
              <w:t>1</w:t>
            </w:r>
            <w:r w:rsidRPr="006A75EE">
              <w:rPr>
                <w:rFonts w:ascii="Times New Roman"/>
                <w:sz w:val="24"/>
                <w:szCs w:val="24"/>
              </w:rPr>
              <w:t>項、第</w:t>
            </w:r>
            <w:r w:rsidRPr="006A75EE">
              <w:rPr>
                <w:rFonts w:ascii="Times New Roman"/>
                <w:sz w:val="24"/>
                <w:szCs w:val="24"/>
              </w:rPr>
              <w:t>2</w:t>
            </w:r>
            <w:r w:rsidRPr="006A75EE">
              <w:rPr>
                <w:rFonts w:ascii="Times New Roman"/>
                <w:sz w:val="24"/>
                <w:szCs w:val="24"/>
              </w:rPr>
              <w:t>項</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商港經營事業機構、航港局或指定機關應無償提供</w:t>
            </w:r>
            <w:r w:rsidRPr="006A75EE">
              <w:rPr>
                <w:rFonts w:ascii="Times New Roman"/>
                <w:sz w:val="24"/>
                <w:szCs w:val="24"/>
              </w:rPr>
              <w:lastRenderedPageBreak/>
              <w:t>海關、移民、檢疫及安檢等行使公權力機關作業所需之旅客、貨物通關及行李檢查所需之場地，其場地免納地價稅。</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商港區域內商港經營事業機構取得之土地，其地價稅率為</w:t>
            </w:r>
            <w:r w:rsidRPr="006A75EE">
              <w:rPr>
                <w:rFonts w:ascii="Times New Roman"/>
                <w:sz w:val="24"/>
                <w:szCs w:val="24"/>
              </w:rPr>
              <w:t>10‰</w:t>
            </w:r>
            <w:r w:rsidRPr="006A75EE">
              <w:rPr>
                <w:rFonts w:ascii="Times New Roman"/>
                <w:sz w:val="24"/>
                <w:szCs w:val="24"/>
              </w:rPr>
              <w:t>。</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101.3.1</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依交通部所</w:t>
            </w:r>
            <w:proofErr w:type="gramStart"/>
            <w:r w:rsidRPr="006A75EE">
              <w:rPr>
                <w:rFonts w:ascii="Times New Roman"/>
                <w:sz w:val="24"/>
                <w:szCs w:val="24"/>
              </w:rPr>
              <w:t>提稅式</w:t>
            </w:r>
            <w:proofErr w:type="gramEnd"/>
            <w:r w:rsidRPr="006A75EE">
              <w:rPr>
                <w:rFonts w:ascii="Times New Roman"/>
                <w:sz w:val="24"/>
                <w:szCs w:val="24"/>
              </w:rPr>
              <w:t>支出報告，就商港區域內土地分別以修正前後估算其稅收差額，地價稅稅收維持不變。</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0</w:t>
            </w:r>
          </w:p>
        </w:tc>
        <w:tc>
          <w:tcPr>
            <w:tcW w:w="2824" w:type="dxa"/>
          </w:tcPr>
          <w:p w:rsidR="0051678B" w:rsidRPr="006A75EE" w:rsidRDefault="0051678B" w:rsidP="00044831">
            <w:pPr>
              <w:rPr>
                <w:rFonts w:ascii="Times New Roman"/>
                <w:sz w:val="24"/>
                <w:szCs w:val="24"/>
              </w:rPr>
            </w:pPr>
            <w:r w:rsidRPr="006A75EE">
              <w:rPr>
                <w:rFonts w:ascii="Times New Roman" w:hint="eastAsia"/>
                <w:sz w:val="24"/>
                <w:szCs w:val="24"/>
              </w:rPr>
              <w:t>財政部建議洽詢交通部。</w:t>
            </w: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w:t>
            </w:r>
            <w:r w:rsidRPr="006A75EE">
              <w:rPr>
                <w:rFonts w:ascii="Times New Roman" w:hint="eastAsia"/>
                <w:sz w:val="24"/>
                <w:szCs w:val="24"/>
              </w:rPr>
              <w:t>5</w:t>
            </w: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修正自由貿易港區設置管理條例第</w:t>
            </w:r>
            <w:r w:rsidRPr="006A75EE">
              <w:rPr>
                <w:rFonts w:ascii="Times New Roman"/>
                <w:sz w:val="24"/>
                <w:szCs w:val="24"/>
              </w:rPr>
              <w:t>29</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外國、大陸地區及香港、澳門營利事業銷售國際期貨金屬商品之所得，免徵所得稅及免申報。</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101.12.28</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依交通部所</w:t>
            </w:r>
            <w:proofErr w:type="gramStart"/>
            <w:r w:rsidRPr="006A75EE">
              <w:rPr>
                <w:rFonts w:ascii="Times New Roman"/>
                <w:sz w:val="24"/>
                <w:szCs w:val="24"/>
              </w:rPr>
              <w:t>提稅式</w:t>
            </w:r>
            <w:proofErr w:type="gramEnd"/>
            <w:r w:rsidRPr="006A75EE">
              <w:rPr>
                <w:rFonts w:ascii="Times New Roman"/>
                <w:sz w:val="24"/>
                <w:szCs w:val="24"/>
              </w:rPr>
              <w:t>支出報告，增加政府財源</w:t>
            </w:r>
            <w:r w:rsidRPr="006A75EE">
              <w:rPr>
                <w:rFonts w:ascii="Times New Roman"/>
                <w:sz w:val="24"/>
                <w:szCs w:val="24"/>
              </w:rPr>
              <w:t>4,756</w:t>
            </w:r>
            <w:r w:rsidRPr="006A75EE">
              <w:rPr>
                <w:rFonts w:ascii="Times New Roman"/>
                <w:sz w:val="24"/>
                <w:szCs w:val="24"/>
              </w:rPr>
              <w:t>萬元可彌補減收之稅額，</w:t>
            </w:r>
            <w:proofErr w:type="gramStart"/>
            <w:r w:rsidRPr="006A75EE">
              <w:rPr>
                <w:rFonts w:ascii="Times New Roman"/>
                <w:sz w:val="24"/>
                <w:szCs w:val="24"/>
              </w:rPr>
              <w:t>故國庫淨收入</w:t>
            </w:r>
            <w:proofErr w:type="gramEnd"/>
            <w:r w:rsidRPr="006A75EE">
              <w:rPr>
                <w:rFonts w:ascii="Times New Roman"/>
                <w:sz w:val="24"/>
                <w:szCs w:val="24"/>
              </w:rPr>
              <w:t>2,106</w:t>
            </w:r>
            <w:r w:rsidRPr="006A75EE">
              <w:rPr>
                <w:rFonts w:ascii="Times New Roman"/>
                <w:sz w:val="24"/>
                <w:szCs w:val="24"/>
              </w:rPr>
              <w:t>萬元。</w:t>
            </w:r>
          </w:p>
        </w:tc>
        <w:tc>
          <w:tcPr>
            <w:tcW w:w="1068" w:type="dxa"/>
          </w:tcPr>
          <w:p w:rsidR="0051678B" w:rsidRPr="006A75EE" w:rsidRDefault="0051678B" w:rsidP="00044831">
            <w:pPr>
              <w:spacing w:line="320" w:lineRule="exact"/>
              <w:jc w:val="center"/>
              <w:rPr>
                <w:rFonts w:ascii="Times New Roman"/>
                <w:sz w:val="24"/>
                <w:szCs w:val="24"/>
              </w:rPr>
            </w:pPr>
            <w:r w:rsidRPr="006A75EE">
              <w:rPr>
                <w:rFonts w:ascii="Times New Roman"/>
                <w:sz w:val="24"/>
                <w:szCs w:val="24"/>
              </w:rPr>
              <w:t>0.265</w:t>
            </w:r>
          </w:p>
        </w:tc>
        <w:tc>
          <w:tcPr>
            <w:tcW w:w="855" w:type="dxa"/>
          </w:tcPr>
          <w:p w:rsidR="0051678B" w:rsidRPr="006A75EE" w:rsidRDefault="0051678B" w:rsidP="00044831">
            <w:pPr>
              <w:spacing w:line="320" w:lineRule="exact"/>
              <w:jc w:val="center"/>
              <w:rPr>
                <w:rFonts w:ascii="Times New Roman"/>
                <w:sz w:val="24"/>
                <w:szCs w:val="24"/>
              </w:rPr>
            </w:pPr>
            <w:r w:rsidRPr="006A75EE">
              <w:rPr>
                <w:rFonts w:ascii="Times New Roman"/>
                <w:sz w:val="24"/>
                <w:szCs w:val="24"/>
              </w:rPr>
              <w:t>0.265</w:t>
            </w:r>
          </w:p>
        </w:tc>
        <w:tc>
          <w:tcPr>
            <w:tcW w:w="996" w:type="dxa"/>
          </w:tcPr>
          <w:p w:rsidR="0051678B" w:rsidRPr="006A75EE" w:rsidRDefault="0051678B" w:rsidP="00044831">
            <w:pPr>
              <w:spacing w:line="320" w:lineRule="exact"/>
              <w:jc w:val="center"/>
              <w:rPr>
                <w:rFonts w:ascii="Times New Roman"/>
                <w:sz w:val="24"/>
                <w:szCs w:val="24"/>
              </w:rPr>
            </w:pPr>
            <w:r w:rsidRPr="006A75EE">
              <w:rPr>
                <w:rFonts w:ascii="Times New Roman"/>
                <w:sz w:val="24"/>
                <w:szCs w:val="24"/>
              </w:rPr>
              <w:t>0.265</w:t>
            </w:r>
          </w:p>
        </w:tc>
        <w:tc>
          <w:tcPr>
            <w:tcW w:w="860" w:type="dxa"/>
          </w:tcPr>
          <w:p w:rsidR="0051678B" w:rsidRPr="006A75EE" w:rsidRDefault="0051678B" w:rsidP="00044831">
            <w:pPr>
              <w:spacing w:line="320" w:lineRule="exact"/>
              <w:jc w:val="center"/>
              <w:rPr>
                <w:rFonts w:ascii="Times New Roman"/>
                <w:sz w:val="24"/>
                <w:szCs w:val="24"/>
              </w:rPr>
            </w:pPr>
            <w:r w:rsidRPr="006A75EE">
              <w:rPr>
                <w:rFonts w:ascii="Times New Roman"/>
                <w:sz w:val="24"/>
                <w:szCs w:val="24"/>
              </w:rPr>
              <w:t>0.265</w:t>
            </w:r>
          </w:p>
        </w:tc>
        <w:tc>
          <w:tcPr>
            <w:tcW w:w="2824" w:type="dxa"/>
          </w:tcPr>
          <w:p w:rsidR="0051678B" w:rsidRPr="006A75EE" w:rsidRDefault="0051678B" w:rsidP="00044831">
            <w:pPr>
              <w:rPr>
                <w:rFonts w:ascii="Times New Roman"/>
                <w:sz w:val="24"/>
                <w:szCs w:val="24"/>
              </w:rPr>
            </w:pPr>
            <w:r w:rsidRPr="006A75EE">
              <w:rPr>
                <w:rFonts w:ascii="Times New Roman" w:hint="eastAsia"/>
                <w:sz w:val="24"/>
                <w:szCs w:val="24"/>
              </w:rPr>
              <w:t>財政部建議洽詢交通部。</w:t>
            </w: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w:t>
            </w:r>
            <w:r w:rsidRPr="006A75EE">
              <w:rPr>
                <w:rFonts w:ascii="Times New Roman" w:hint="eastAsia"/>
                <w:sz w:val="24"/>
                <w:szCs w:val="24"/>
              </w:rPr>
              <w:t>6</w:t>
            </w: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地價稅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修正住宅法第</w:t>
            </w:r>
            <w:r w:rsidRPr="006A75EE">
              <w:rPr>
                <w:rFonts w:ascii="Times New Roman"/>
                <w:sz w:val="24"/>
                <w:szCs w:val="24"/>
              </w:rPr>
              <w:t>20</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民間興辦之社會住宅於興建或營運</w:t>
            </w:r>
            <w:proofErr w:type="gramStart"/>
            <w:r w:rsidRPr="006A75EE">
              <w:rPr>
                <w:rFonts w:ascii="Times New Roman"/>
                <w:sz w:val="24"/>
                <w:szCs w:val="24"/>
              </w:rPr>
              <w:t>期間，</w:t>
            </w:r>
            <w:proofErr w:type="gramEnd"/>
            <w:r w:rsidRPr="006A75EE">
              <w:rPr>
                <w:rFonts w:ascii="Times New Roman" w:hint="eastAsia"/>
                <w:sz w:val="24"/>
                <w:szCs w:val="24"/>
              </w:rPr>
              <w:t>市縣</w:t>
            </w:r>
            <w:r w:rsidRPr="006A75EE">
              <w:rPr>
                <w:rFonts w:ascii="Times New Roman"/>
                <w:sz w:val="24"/>
                <w:szCs w:val="24"/>
              </w:rPr>
              <w:t>政府應課徵之地價稅，得予適當減</w:t>
            </w:r>
            <w:proofErr w:type="gramStart"/>
            <w:r w:rsidRPr="006A75EE">
              <w:rPr>
                <w:rFonts w:ascii="Times New Roman"/>
                <w:sz w:val="24"/>
                <w:szCs w:val="24"/>
              </w:rPr>
              <w:t>徵</w:t>
            </w:r>
            <w:proofErr w:type="gramEnd"/>
            <w:r w:rsidRPr="006A75EE">
              <w:rPr>
                <w:rFonts w:ascii="Times New Roman"/>
                <w:sz w:val="24"/>
                <w:szCs w:val="24"/>
              </w:rPr>
              <w:t>。</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101.12.30</w:t>
            </w:r>
          </w:p>
          <w:p w:rsidR="0051678B" w:rsidRPr="006A75EE" w:rsidRDefault="0051678B" w:rsidP="00044831">
            <w:pPr>
              <w:kinsoku w:val="0"/>
              <w:spacing w:line="320" w:lineRule="exact"/>
              <w:jc w:val="center"/>
              <w:rPr>
                <w:rFonts w:ascii="Times New Roman"/>
                <w:sz w:val="24"/>
                <w:szCs w:val="24"/>
              </w:rPr>
            </w:pP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依內政部所</w:t>
            </w:r>
            <w:proofErr w:type="gramStart"/>
            <w:r w:rsidRPr="006A75EE">
              <w:rPr>
                <w:rFonts w:ascii="Times New Roman"/>
                <w:sz w:val="24"/>
                <w:szCs w:val="24"/>
              </w:rPr>
              <w:t>提稅式</w:t>
            </w:r>
            <w:proofErr w:type="gramEnd"/>
            <w:r w:rsidRPr="006A75EE">
              <w:rPr>
                <w:rFonts w:ascii="Times New Roman"/>
                <w:sz w:val="24"/>
                <w:szCs w:val="24"/>
              </w:rPr>
              <w:t>支出報告，增加之房屋稅稅收可彌補減收之稅額。</w:t>
            </w:r>
          </w:p>
        </w:tc>
        <w:tc>
          <w:tcPr>
            <w:tcW w:w="1068" w:type="dxa"/>
          </w:tcPr>
          <w:p w:rsidR="0051678B" w:rsidRPr="006A75EE" w:rsidRDefault="0051678B" w:rsidP="00044831">
            <w:pPr>
              <w:rPr>
                <w:rFonts w:ascii="Times New Roman"/>
                <w:sz w:val="24"/>
                <w:szCs w:val="24"/>
              </w:rPr>
            </w:pPr>
            <w:r w:rsidRPr="006A75EE">
              <w:rPr>
                <w:rFonts w:ascii="Times New Roman"/>
                <w:sz w:val="24"/>
                <w:szCs w:val="24"/>
              </w:rPr>
              <w:t>0.</w:t>
            </w:r>
            <w:r w:rsidRPr="006A75EE">
              <w:rPr>
                <w:rFonts w:ascii="Times New Roman" w:hint="eastAsia"/>
                <w:sz w:val="24"/>
                <w:szCs w:val="24"/>
              </w:rPr>
              <w:t>50</w:t>
            </w:r>
            <w:r w:rsidRPr="006A75EE">
              <w:rPr>
                <w:rFonts w:ascii="Times New Roman"/>
                <w:sz w:val="24"/>
                <w:szCs w:val="24"/>
              </w:rPr>
              <w:t>~ 0.</w:t>
            </w:r>
            <w:r w:rsidRPr="006A75EE">
              <w:rPr>
                <w:rFonts w:ascii="Times New Roman" w:hint="eastAsia"/>
                <w:sz w:val="24"/>
                <w:szCs w:val="24"/>
              </w:rPr>
              <w:t>60</w:t>
            </w:r>
          </w:p>
        </w:tc>
        <w:tc>
          <w:tcPr>
            <w:tcW w:w="855" w:type="dxa"/>
          </w:tcPr>
          <w:p w:rsidR="0051678B" w:rsidRPr="006A75EE" w:rsidRDefault="0051678B" w:rsidP="00044831">
            <w:r w:rsidRPr="006A75EE">
              <w:rPr>
                <w:rFonts w:ascii="Times New Roman"/>
                <w:sz w:val="24"/>
                <w:szCs w:val="24"/>
              </w:rPr>
              <w:t>0.</w:t>
            </w:r>
            <w:r w:rsidRPr="006A75EE">
              <w:rPr>
                <w:rFonts w:ascii="Times New Roman" w:hint="eastAsia"/>
                <w:sz w:val="24"/>
                <w:szCs w:val="24"/>
              </w:rPr>
              <w:t>50</w:t>
            </w:r>
            <w:r w:rsidRPr="006A75EE">
              <w:rPr>
                <w:rFonts w:ascii="Times New Roman"/>
                <w:sz w:val="24"/>
                <w:szCs w:val="24"/>
              </w:rPr>
              <w:t>~ 0.</w:t>
            </w:r>
            <w:r w:rsidRPr="006A75EE">
              <w:rPr>
                <w:rFonts w:ascii="Times New Roman" w:hint="eastAsia"/>
                <w:sz w:val="24"/>
                <w:szCs w:val="24"/>
              </w:rPr>
              <w:t>60</w:t>
            </w:r>
          </w:p>
        </w:tc>
        <w:tc>
          <w:tcPr>
            <w:tcW w:w="996" w:type="dxa"/>
          </w:tcPr>
          <w:p w:rsidR="0051678B" w:rsidRPr="006A75EE" w:rsidRDefault="0051678B" w:rsidP="00044831">
            <w:r w:rsidRPr="006A75EE">
              <w:rPr>
                <w:rFonts w:ascii="Times New Roman"/>
                <w:sz w:val="24"/>
                <w:szCs w:val="24"/>
              </w:rPr>
              <w:t>0.</w:t>
            </w:r>
            <w:r w:rsidRPr="006A75EE">
              <w:rPr>
                <w:rFonts w:ascii="Times New Roman" w:hint="eastAsia"/>
                <w:sz w:val="24"/>
                <w:szCs w:val="24"/>
              </w:rPr>
              <w:t>50</w:t>
            </w:r>
            <w:r w:rsidRPr="006A75EE">
              <w:rPr>
                <w:rFonts w:ascii="Times New Roman"/>
                <w:sz w:val="24"/>
                <w:szCs w:val="24"/>
              </w:rPr>
              <w:t>~ 0.</w:t>
            </w:r>
            <w:r w:rsidRPr="006A75EE">
              <w:rPr>
                <w:rFonts w:ascii="Times New Roman" w:hint="eastAsia"/>
                <w:sz w:val="24"/>
                <w:szCs w:val="24"/>
              </w:rPr>
              <w:t>60</w:t>
            </w:r>
          </w:p>
        </w:tc>
        <w:tc>
          <w:tcPr>
            <w:tcW w:w="860" w:type="dxa"/>
          </w:tcPr>
          <w:p w:rsidR="0051678B" w:rsidRPr="006A75EE" w:rsidRDefault="0051678B" w:rsidP="00044831">
            <w:r w:rsidRPr="006A75EE">
              <w:rPr>
                <w:rFonts w:ascii="Times New Roman"/>
                <w:sz w:val="24"/>
                <w:szCs w:val="24"/>
              </w:rPr>
              <w:t>0.</w:t>
            </w:r>
            <w:r w:rsidRPr="006A75EE">
              <w:rPr>
                <w:rFonts w:ascii="Times New Roman" w:hint="eastAsia"/>
                <w:sz w:val="24"/>
                <w:szCs w:val="24"/>
              </w:rPr>
              <w:t>50</w:t>
            </w:r>
            <w:r w:rsidRPr="006A75EE">
              <w:rPr>
                <w:rFonts w:ascii="Times New Roman"/>
                <w:sz w:val="24"/>
                <w:szCs w:val="24"/>
              </w:rPr>
              <w:t>~ 0.</w:t>
            </w:r>
            <w:r w:rsidRPr="006A75EE">
              <w:rPr>
                <w:rFonts w:ascii="Times New Roman" w:hint="eastAsia"/>
                <w:sz w:val="24"/>
                <w:szCs w:val="24"/>
              </w:rPr>
              <w:t>60</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財政部建議洽詢內政部。</w:t>
            </w: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w:t>
            </w:r>
            <w:r w:rsidRPr="006A75EE">
              <w:rPr>
                <w:rFonts w:ascii="Times New Roman" w:hint="eastAsia"/>
                <w:sz w:val="24"/>
                <w:szCs w:val="24"/>
              </w:rPr>
              <w:t>7</w:t>
            </w: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修正「中小企業發展條例」部分條文</w:t>
            </w:r>
            <w:r w:rsidRPr="006A75EE">
              <w:rPr>
                <w:rFonts w:ascii="Times New Roman"/>
                <w:sz w:val="24"/>
                <w:szCs w:val="24"/>
              </w:rPr>
              <w:t>(</w:t>
            </w:r>
            <w:r w:rsidRPr="006A75EE">
              <w:rPr>
                <w:rFonts w:ascii="Times New Roman"/>
                <w:sz w:val="24"/>
                <w:szCs w:val="24"/>
              </w:rPr>
              <w:t>第</w:t>
            </w:r>
            <w:r w:rsidRPr="006A75EE">
              <w:rPr>
                <w:rFonts w:ascii="Times New Roman"/>
                <w:sz w:val="24"/>
                <w:szCs w:val="24"/>
              </w:rPr>
              <w:t>35</w:t>
            </w:r>
            <w:r w:rsidRPr="006A75EE">
              <w:rPr>
                <w:rFonts w:ascii="Times New Roman"/>
                <w:sz w:val="24"/>
                <w:szCs w:val="24"/>
              </w:rPr>
              <w:t>條、第</w:t>
            </w:r>
            <w:r w:rsidRPr="006A75EE">
              <w:rPr>
                <w:rFonts w:ascii="Times New Roman"/>
                <w:sz w:val="24"/>
                <w:szCs w:val="24"/>
              </w:rPr>
              <w:t>35</w:t>
            </w:r>
            <w:r w:rsidRPr="006A75EE">
              <w:rPr>
                <w:rFonts w:ascii="Times New Roman"/>
                <w:sz w:val="24"/>
                <w:szCs w:val="24"/>
              </w:rPr>
              <w:t>條之</w:t>
            </w:r>
            <w:r w:rsidRPr="006A75EE">
              <w:rPr>
                <w:rFonts w:ascii="Times New Roman"/>
                <w:sz w:val="24"/>
                <w:szCs w:val="24"/>
              </w:rPr>
              <w:t>1</w:t>
            </w:r>
            <w:r w:rsidRPr="006A75EE">
              <w:rPr>
                <w:rFonts w:ascii="Times New Roman"/>
                <w:sz w:val="24"/>
                <w:szCs w:val="24"/>
              </w:rPr>
              <w:t>及第</w:t>
            </w:r>
            <w:r w:rsidRPr="006A75EE">
              <w:rPr>
                <w:rFonts w:ascii="Times New Roman"/>
                <w:sz w:val="24"/>
                <w:szCs w:val="24"/>
              </w:rPr>
              <w:t>36</w:t>
            </w:r>
            <w:r w:rsidRPr="006A75EE">
              <w:rPr>
                <w:rFonts w:ascii="Times New Roman"/>
                <w:sz w:val="24"/>
                <w:szCs w:val="24"/>
              </w:rPr>
              <w:t>條之</w:t>
            </w:r>
            <w:r w:rsidRPr="006A75EE">
              <w:rPr>
                <w:rFonts w:ascii="Times New Roman"/>
                <w:sz w:val="24"/>
                <w:szCs w:val="24"/>
              </w:rPr>
              <w:t>2)</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研究發展支出投資抵減、智慧財產作價取得緩課所得稅及增僱員工薪資</w:t>
            </w:r>
            <w:proofErr w:type="gramStart"/>
            <w:r w:rsidRPr="006A75EE">
              <w:rPr>
                <w:rFonts w:ascii="Times New Roman"/>
                <w:sz w:val="24"/>
                <w:szCs w:val="24"/>
              </w:rPr>
              <w:t>加成減除</w:t>
            </w:r>
            <w:proofErr w:type="gramEnd"/>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103.6.4</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尚待經濟部提出稅式支出評估報告，</w:t>
            </w:r>
            <w:proofErr w:type="gramStart"/>
            <w:r w:rsidRPr="006A75EE">
              <w:rPr>
                <w:rFonts w:ascii="Times New Roman"/>
                <w:sz w:val="24"/>
                <w:szCs w:val="24"/>
              </w:rPr>
              <w:t>俾</w:t>
            </w:r>
            <w:proofErr w:type="gramEnd"/>
            <w:r w:rsidRPr="006A75EE">
              <w:rPr>
                <w:rFonts w:ascii="Times New Roman"/>
                <w:sz w:val="24"/>
                <w:szCs w:val="24"/>
              </w:rPr>
              <w:t>進行稅收效益與損失之合理估算。</w:t>
            </w:r>
          </w:p>
        </w:tc>
        <w:tc>
          <w:tcPr>
            <w:tcW w:w="3779" w:type="dxa"/>
            <w:gridSpan w:val="4"/>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經濟部分別以</w:t>
            </w:r>
            <w:r w:rsidRPr="006A75EE">
              <w:rPr>
                <w:rFonts w:ascii="Times New Roman" w:hint="eastAsia"/>
                <w:sz w:val="24"/>
                <w:szCs w:val="24"/>
              </w:rPr>
              <w:t>103</w:t>
            </w:r>
            <w:r w:rsidRPr="006A75EE">
              <w:rPr>
                <w:rFonts w:ascii="Times New Roman" w:hint="eastAsia"/>
                <w:sz w:val="24"/>
                <w:szCs w:val="24"/>
              </w:rPr>
              <w:t>年</w:t>
            </w:r>
            <w:r w:rsidRPr="006A75EE">
              <w:rPr>
                <w:rFonts w:ascii="Times New Roman" w:hint="eastAsia"/>
                <w:sz w:val="24"/>
                <w:szCs w:val="24"/>
              </w:rPr>
              <w:t>8</w:t>
            </w:r>
            <w:r w:rsidRPr="006A75EE">
              <w:rPr>
                <w:rFonts w:ascii="Times New Roman" w:hint="eastAsia"/>
                <w:sz w:val="24"/>
                <w:szCs w:val="24"/>
              </w:rPr>
              <w:t>月</w:t>
            </w:r>
            <w:r w:rsidRPr="006A75EE">
              <w:rPr>
                <w:rFonts w:ascii="Times New Roman" w:hint="eastAsia"/>
                <w:sz w:val="24"/>
                <w:szCs w:val="24"/>
              </w:rPr>
              <w:t>29</w:t>
            </w:r>
            <w:r w:rsidRPr="006A75EE">
              <w:rPr>
                <w:rFonts w:ascii="Times New Roman" w:hint="eastAsia"/>
                <w:sz w:val="24"/>
                <w:szCs w:val="24"/>
              </w:rPr>
              <w:t>日、同年</w:t>
            </w:r>
            <w:r w:rsidRPr="006A75EE">
              <w:rPr>
                <w:rFonts w:ascii="Times New Roman" w:hint="eastAsia"/>
                <w:sz w:val="24"/>
                <w:szCs w:val="24"/>
              </w:rPr>
              <w:t>12</w:t>
            </w:r>
            <w:r w:rsidRPr="006A75EE">
              <w:rPr>
                <w:rFonts w:ascii="Times New Roman" w:hint="eastAsia"/>
                <w:sz w:val="24"/>
                <w:szCs w:val="24"/>
              </w:rPr>
              <w:t>月</w:t>
            </w:r>
            <w:r w:rsidRPr="006A75EE">
              <w:rPr>
                <w:rFonts w:ascii="Times New Roman" w:hint="eastAsia"/>
                <w:sz w:val="24"/>
                <w:szCs w:val="24"/>
              </w:rPr>
              <w:t>1</w:t>
            </w:r>
            <w:r w:rsidRPr="006A75EE">
              <w:rPr>
                <w:rFonts w:ascii="Times New Roman" w:hint="eastAsia"/>
                <w:sz w:val="24"/>
                <w:szCs w:val="24"/>
              </w:rPr>
              <w:t>日及</w:t>
            </w:r>
            <w:r w:rsidRPr="006A75EE">
              <w:rPr>
                <w:rFonts w:ascii="Times New Roman" w:hint="eastAsia"/>
                <w:sz w:val="24"/>
                <w:szCs w:val="24"/>
              </w:rPr>
              <w:t>104</w:t>
            </w:r>
            <w:r w:rsidRPr="006A75EE">
              <w:rPr>
                <w:rFonts w:ascii="Times New Roman" w:hint="eastAsia"/>
                <w:sz w:val="24"/>
                <w:szCs w:val="24"/>
              </w:rPr>
              <w:t>年</w:t>
            </w:r>
            <w:r w:rsidRPr="006A75EE">
              <w:rPr>
                <w:rFonts w:ascii="Times New Roman" w:hint="eastAsia"/>
                <w:sz w:val="24"/>
                <w:szCs w:val="24"/>
              </w:rPr>
              <w:t>8</w:t>
            </w:r>
            <w:r w:rsidRPr="006A75EE">
              <w:rPr>
                <w:rFonts w:ascii="Times New Roman" w:hint="eastAsia"/>
                <w:sz w:val="24"/>
                <w:szCs w:val="24"/>
              </w:rPr>
              <w:t>月</w:t>
            </w:r>
            <w:r w:rsidRPr="006A75EE">
              <w:rPr>
                <w:rFonts w:ascii="Times New Roman" w:hint="eastAsia"/>
                <w:sz w:val="24"/>
                <w:szCs w:val="24"/>
              </w:rPr>
              <w:t>3</w:t>
            </w:r>
            <w:r w:rsidRPr="006A75EE">
              <w:rPr>
                <w:rFonts w:ascii="Times New Roman" w:hint="eastAsia"/>
                <w:sz w:val="24"/>
                <w:szCs w:val="24"/>
              </w:rPr>
              <w:t>日函</w:t>
            </w:r>
            <w:proofErr w:type="gramStart"/>
            <w:r w:rsidRPr="006A75EE">
              <w:rPr>
                <w:rFonts w:ascii="Times New Roman" w:hint="eastAsia"/>
                <w:sz w:val="24"/>
                <w:szCs w:val="24"/>
              </w:rPr>
              <w:t>送稅式</w:t>
            </w:r>
            <w:proofErr w:type="gramEnd"/>
            <w:r w:rsidRPr="006A75EE">
              <w:rPr>
                <w:rFonts w:ascii="Times New Roman" w:hint="eastAsia"/>
                <w:sz w:val="24"/>
                <w:szCs w:val="24"/>
              </w:rPr>
              <w:t>支出評估報告洽請財政部</w:t>
            </w:r>
            <w:proofErr w:type="gramStart"/>
            <w:r w:rsidRPr="006A75EE">
              <w:rPr>
                <w:rFonts w:ascii="Times New Roman" w:hint="eastAsia"/>
                <w:sz w:val="24"/>
                <w:szCs w:val="24"/>
              </w:rPr>
              <w:t>複</w:t>
            </w:r>
            <w:proofErr w:type="gramEnd"/>
            <w:r w:rsidRPr="006A75EE">
              <w:rPr>
                <w:rFonts w:ascii="Times New Roman" w:hint="eastAsia"/>
                <w:sz w:val="24"/>
                <w:szCs w:val="24"/>
              </w:rPr>
              <w:t>評；惟因部分評估指標及財源籌措尚有疑義待</w:t>
            </w:r>
            <w:proofErr w:type="gramStart"/>
            <w:r w:rsidRPr="006A75EE">
              <w:rPr>
                <w:rFonts w:ascii="Times New Roman" w:hint="eastAsia"/>
                <w:sz w:val="24"/>
                <w:szCs w:val="24"/>
              </w:rPr>
              <w:t>釐</w:t>
            </w:r>
            <w:proofErr w:type="gramEnd"/>
            <w:r w:rsidRPr="006A75EE">
              <w:rPr>
                <w:rFonts w:ascii="Times New Roman" w:hint="eastAsia"/>
                <w:sz w:val="24"/>
                <w:szCs w:val="24"/>
              </w:rPr>
              <w:t>清，財政部</w:t>
            </w:r>
            <w:proofErr w:type="gramStart"/>
            <w:r w:rsidRPr="006A75EE">
              <w:rPr>
                <w:rFonts w:ascii="Times New Roman" w:hint="eastAsia"/>
                <w:sz w:val="24"/>
                <w:szCs w:val="24"/>
              </w:rPr>
              <w:t>爰</w:t>
            </w:r>
            <w:proofErr w:type="gramEnd"/>
            <w:r w:rsidRPr="006A75EE">
              <w:rPr>
                <w:rFonts w:ascii="Times New Roman" w:hint="eastAsia"/>
                <w:sz w:val="24"/>
                <w:szCs w:val="24"/>
              </w:rPr>
              <w:t>以</w:t>
            </w:r>
            <w:r w:rsidRPr="006A75EE">
              <w:rPr>
                <w:rFonts w:ascii="Times New Roman" w:hint="eastAsia"/>
                <w:sz w:val="24"/>
                <w:szCs w:val="24"/>
              </w:rPr>
              <w:t>103</w:t>
            </w:r>
            <w:r w:rsidRPr="006A75EE">
              <w:rPr>
                <w:rFonts w:ascii="Times New Roman" w:hint="eastAsia"/>
                <w:sz w:val="24"/>
                <w:szCs w:val="24"/>
              </w:rPr>
              <w:t>年</w:t>
            </w:r>
            <w:r w:rsidRPr="006A75EE">
              <w:rPr>
                <w:rFonts w:ascii="Times New Roman" w:hint="eastAsia"/>
                <w:sz w:val="24"/>
                <w:szCs w:val="24"/>
              </w:rPr>
              <w:t>10</w:t>
            </w:r>
            <w:r w:rsidRPr="006A75EE">
              <w:rPr>
                <w:rFonts w:ascii="Times New Roman" w:hint="eastAsia"/>
                <w:sz w:val="24"/>
                <w:szCs w:val="24"/>
              </w:rPr>
              <w:t>月</w:t>
            </w:r>
            <w:r w:rsidRPr="006A75EE">
              <w:rPr>
                <w:rFonts w:ascii="Times New Roman" w:hint="eastAsia"/>
                <w:sz w:val="24"/>
                <w:szCs w:val="24"/>
              </w:rPr>
              <w:t>9</w:t>
            </w:r>
            <w:r w:rsidRPr="006A75EE">
              <w:rPr>
                <w:rFonts w:ascii="Times New Roman" w:hint="eastAsia"/>
                <w:sz w:val="24"/>
                <w:szCs w:val="24"/>
              </w:rPr>
              <w:t>日、</w:t>
            </w:r>
            <w:proofErr w:type="gramStart"/>
            <w:r w:rsidRPr="006A75EE">
              <w:rPr>
                <w:rFonts w:ascii="Times New Roman" w:hint="eastAsia"/>
                <w:sz w:val="24"/>
                <w:szCs w:val="24"/>
              </w:rPr>
              <w:t>104</w:t>
            </w:r>
            <w:proofErr w:type="gramEnd"/>
            <w:r w:rsidRPr="006A75EE">
              <w:rPr>
                <w:rFonts w:ascii="Times New Roman" w:hint="eastAsia"/>
                <w:sz w:val="24"/>
                <w:szCs w:val="24"/>
              </w:rPr>
              <w:t>月</w:t>
            </w:r>
            <w:r w:rsidRPr="006A75EE">
              <w:rPr>
                <w:rFonts w:ascii="Times New Roman" w:hint="eastAsia"/>
                <w:sz w:val="24"/>
                <w:szCs w:val="24"/>
              </w:rPr>
              <w:t>4</w:t>
            </w:r>
            <w:r w:rsidRPr="006A75EE">
              <w:rPr>
                <w:rFonts w:ascii="Times New Roman" w:hint="eastAsia"/>
                <w:sz w:val="24"/>
                <w:szCs w:val="24"/>
              </w:rPr>
              <w:t>月</w:t>
            </w:r>
            <w:r w:rsidRPr="006A75EE">
              <w:rPr>
                <w:rFonts w:ascii="Times New Roman" w:hint="eastAsia"/>
                <w:sz w:val="24"/>
                <w:szCs w:val="24"/>
              </w:rPr>
              <w:t>29</w:t>
            </w:r>
            <w:r w:rsidRPr="006A75EE">
              <w:rPr>
                <w:rFonts w:ascii="Times New Roman" w:hint="eastAsia"/>
                <w:sz w:val="24"/>
                <w:szCs w:val="24"/>
              </w:rPr>
              <w:t>日及同年</w:t>
            </w:r>
            <w:r w:rsidRPr="006A75EE">
              <w:rPr>
                <w:rFonts w:ascii="Times New Roman" w:hint="eastAsia"/>
                <w:sz w:val="24"/>
                <w:szCs w:val="24"/>
              </w:rPr>
              <w:t>12</w:t>
            </w:r>
            <w:r w:rsidRPr="006A75EE">
              <w:rPr>
                <w:rFonts w:ascii="Times New Roman" w:hint="eastAsia"/>
                <w:sz w:val="24"/>
                <w:szCs w:val="24"/>
              </w:rPr>
              <w:t>月</w:t>
            </w:r>
            <w:r w:rsidRPr="006A75EE">
              <w:rPr>
                <w:rFonts w:ascii="Times New Roman" w:hint="eastAsia"/>
                <w:sz w:val="24"/>
                <w:szCs w:val="24"/>
              </w:rPr>
              <w:t>14</w:t>
            </w:r>
            <w:r w:rsidRPr="006A75EE">
              <w:rPr>
                <w:rFonts w:ascii="Times New Roman" w:hint="eastAsia"/>
                <w:sz w:val="24"/>
                <w:szCs w:val="24"/>
              </w:rPr>
              <w:t>日函送</w:t>
            </w:r>
            <w:proofErr w:type="gramStart"/>
            <w:r w:rsidRPr="006A75EE">
              <w:rPr>
                <w:rFonts w:ascii="Times New Roman" w:hint="eastAsia"/>
                <w:sz w:val="24"/>
                <w:szCs w:val="24"/>
              </w:rPr>
              <w:t>複</w:t>
            </w:r>
            <w:proofErr w:type="gramEnd"/>
            <w:r w:rsidRPr="006A75EE">
              <w:rPr>
                <w:rFonts w:ascii="Times New Roman" w:hint="eastAsia"/>
                <w:sz w:val="24"/>
                <w:szCs w:val="24"/>
              </w:rPr>
              <w:t>評意見洽請經濟部再予評估，刻由該部修正稅式支出評估報告中。</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財政部建議洽詢經濟部。</w:t>
            </w: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w:t>
            </w:r>
            <w:r w:rsidRPr="006A75EE">
              <w:rPr>
                <w:rFonts w:ascii="Times New Roman" w:hint="eastAsia"/>
                <w:sz w:val="24"/>
                <w:szCs w:val="24"/>
              </w:rPr>
              <w:t>8</w:t>
            </w:r>
          </w:p>
        </w:tc>
        <w:tc>
          <w:tcPr>
            <w:tcW w:w="972" w:type="dxa"/>
            <w:tcBorders>
              <w:bottom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Borders>
              <w:bottom w:val="single" w:sz="4" w:space="0" w:color="000000"/>
            </w:tcBorders>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修正所得稅法部分條文</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lastRenderedPageBreak/>
              <w:t>調增標準扣除額、薪資所得扣除額及身心障礙特別扣除額</w:t>
            </w:r>
            <w:r w:rsidRPr="006A75EE">
              <w:rPr>
                <w:rFonts w:ascii="Times New Roman"/>
                <w:sz w:val="24"/>
                <w:szCs w:val="24"/>
              </w:rPr>
              <w:t>(</w:t>
            </w:r>
            <w:r w:rsidRPr="006A75EE">
              <w:rPr>
                <w:rFonts w:ascii="Times New Roman"/>
                <w:sz w:val="24"/>
                <w:szCs w:val="24"/>
              </w:rPr>
              <w:t>回饋稅制</w:t>
            </w:r>
            <w:r w:rsidRPr="006A75EE">
              <w:rPr>
                <w:rFonts w:ascii="Times New Roman"/>
                <w:sz w:val="24"/>
                <w:szCs w:val="24"/>
              </w:rPr>
              <w:t>)</w:t>
            </w:r>
          </w:p>
        </w:tc>
        <w:tc>
          <w:tcPr>
            <w:tcW w:w="1126" w:type="dxa"/>
            <w:tcBorders>
              <w:bottom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104.1.1</w:t>
            </w:r>
          </w:p>
        </w:tc>
        <w:tc>
          <w:tcPr>
            <w:tcW w:w="3193" w:type="dxa"/>
          </w:tcPr>
          <w:p w:rsidR="0051678B" w:rsidRPr="006A75EE" w:rsidRDefault="0051678B" w:rsidP="00FF7DB4">
            <w:pPr>
              <w:pStyle w:val="af8"/>
              <w:numPr>
                <w:ilvl w:val="0"/>
                <w:numId w:val="17"/>
              </w:numPr>
              <w:kinsoku w:val="0"/>
              <w:spacing w:line="320" w:lineRule="exact"/>
              <w:ind w:leftChars="0" w:left="520" w:hanging="520"/>
              <w:rPr>
                <w:rFonts w:ascii="Times New Roman"/>
                <w:sz w:val="24"/>
                <w:szCs w:val="24"/>
              </w:rPr>
            </w:pPr>
            <w:r w:rsidRPr="006A75EE">
              <w:rPr>
                <w:rFonts w:ascii="Times New Roman"/>
                <w:sz w:val="24"/>
                <w:szCs w:val="24"/>
              </w:rPr>
              <w:t>修正兩稅合一「完全設</w:t>
            </w:r>
            <w:r w:rsidRPr="006A75EE">
              <w:rPr>
                <w:rFonts w:ascii="Times New Roman"/>
                <w:sz w:val="24"/>
                <w:szCs w:val="24"/>
              </w:rPr>
              <w:lastRenderedPageBreak/>
              <w:t>算扣抵制」為「部分設算扣抵制」，預估每年增加稅收</w:t>
            </w:r>
            <w:r w:rsidRPr="006A75EE">
              <w:rPr>
                <w:rFonts w:ascii="Times New Roman"/>
                <w:sz w:val="24"/>
                <w:szCs w:val="24"/>
              </w:rPr>
              <w:t>505</w:t>
            </w:r>
            <w:r w:rsidRPr="006A75EE">
              <w:rPr>
                <w:rFonts w:ascii="Times New Roman"/>
                <w:sz w:val="24"/>
                <w:szCs w:val="24"/>
              </w:rPr>
              <w:t>億元。</w:t>
            </w:r>
          </w:p>
          <w:p w:rsidR="0051678B" w:rsidRPr="006A75EE" w:rsidRDefault="0051678B" w:rsidP="00FF7DB4">
            <w:pPr>
              <w:pStyle w:val="af8"/>
              <w:numPr>
                <w:ilvl w:val="0"/>
                <w:numId w:val="17"/>
              </w:numPr>
              <w:kinsoku w:val="0"/>
              <w:spacing w:line="320" w:lineRule="exact"/>
              <w:ind w:leftChars="0" w:left="520" w:hanging="520"/>
              <w:rPr>
                <w:rFonts w:ascii="Times New Roman"/>
                <w:sz w:val="24"/>
                <w:szCs w:val="24"/>
              </w:rPr>
            </w:pPr>
            <w:r w:rsidRPr="006A75EE">
              <w:rPr>
                <w:rFonts w:ascii="Times New Roman"/>
                <w:sz w:val="24"/>
                <w:szCs w:val="24"/>
              </w:rPr>
              <w:t>綜合所得稅增加所得淨額超過</w:t>
            </w:r>
            <w:r w:rsidRPr="006A75EE">
              <w:rPr>
                <w:rFonts w:ascii="Times New Roman"/>
                <w:sz w:val="24"/>
                <w:szCs w:val="24"/>
              </w:rPr>
              <w:t>1,000</w:t>
            </w:r>
            <w:r w:rsidRPr="006A75EE">
              <w:rPr>
                <w:rFonts w:ascii="Times New Roman"/>
                <w:sz w:val="24"/>
                <w:szCs w:val="24"/>
              </w:rPr>
              <w:t>萬元部分，適用</w:t>
            </w:r>
            <w:r w:rsidRPr="006A75EE">
              <w:rPr>
                <w:rFonts w:ascii="Times New Roman"/>
                <w:sz w:val="24"/>
                <w:szCs w:val="24"/>
              </w:rPr>
              <w:t>45%</w:t>
            </w:r>
            <w:r w:rsidRPr="006A75EE">
              <w:rPr>
                <w:rFonts w:ascii="Times New Roman"/>
                <w:sz w:val="24"/>
                <w:szCs w:val="24"/>
              </w:rPr>
              <w:t>稅率，預估每年增加稅收</w:t>
            </w:r>
            <w:r w:rsidRPr="006A75EE">
              <w:rPr>
                <w:rFonts w:ascii="Times New Roman"/>
                <w:sz w:val="24"/>
                <w:szCs w:val="24"/>
              </w:rPr>
              <w:t>99</w:t>
            </w:r>
            <w:r w:rsidRPr="006A75EE">
              <w:rPr>
                <w:rFonts w:ascii="Times New Roman"/>
                <w:sz w:val="24"/>
                <w:szCs w:val="24"/>
              </w:rPr>
              <w:t>億元。</w:t>
            </w:r>
          </w:p>
          <w:p w:rsidR="0051678B" w:rsidRPr="006A75EE" w:rsidRDefault="0051678B" w:rsidP="00FF7DB4">
            <w:pPr>
              <w:pStyle w:val="af8"/>
              <w:numPr>
                <w:ilvl w:val="0"/>
                <w:numId w:val="17"/>
              </w:numPr>
              <w:kinsoku w:val="0"/>
              <w:spacing w:line="320" w:lineRule="exact"/>
              <w:ind w:leftChars="0" w:left="520" w:hanging="520"/>
              <w:rPr>
                <w:rFonts w:ascii="Times New Roman"/>
                <w:sz w:val="24"/>
                <w:szCs w:val="24"/>
              </w:rPr>
            </w:pPr>
            <w:r w:rsidRPr="006A75EE">
              <w:rPr>
                <w:rFonts w:ascii="Times New Roman"/>
                <w:sz w:val="24"/>
                <w:szCs w:val="24"/>
              </w:rPr>
              <w:t>銀行及保險本業營業稅率恢復為</w:t>
            </w:r>
            <w:r w:rsidRPr="006A75EE">
              <w:rPr>
                <w:rFonts w:ascii="Times New Roman"/>
                <w:sz w:val="24"/>
                <w:szCs w:val="24"/>
              </w:rPr>
              <w:t>5%</w:t>
            </w:r>
            <w:r w:rsidRPr="006A75EE">
              <w:rPr>
                <w:rFonts w:ascii="Times New Roman"/>
                <w:sz w:val="24"/>
                <w:szCs w:val="24"/>
              </w:rPr>
              <w:t>，預估每年增加稅收</w:t>
            </w:r>
            <w:r w:rsidRPr="006A75EE">
              <w:rPr>
                <w:rFonts w:ascii="Times New Roman"/>
                <w:sz w:val="24"/>
                <w:szCs w:val="24"/>
              </w:rPr>
              <w:t>189</w:t>
            </w:r>
            <w:r w:rsidRPr="006A75EE">
              <w:rPr>
                <w:rFonts w:ascii="Times New Roman"/>
                <w:sz w:val="24"/>
                <w:szCs w:val="24"/>
              </w:rPr>
              <w:t>億元。</w:t>
            </w:r>
          </w:p>
          <w:p w:rsidR="0051678B" w:rsidRPr="006A75EE" w:rsidRDefault="0051678B" w:rsidP="00FF7DB4">
            <w:pPr>
              <w:pStyle w:val="af8"/>
              <w:numPr>
                <w:ilvl w:val="0"/>
                <w:numId w:val="17"/>
              </w:numPr>
              <w:kinsoku w:val="0"/>
              <w:spacing w:line="320" w:lineRule="exact"/>
              <w:ind w:leftChars="0" w:left="520" w:hanging="520"/>
              <w:rPr>
                <w:rFonts w:ascii="Times New Roman"/>
                <w:sz w:val="24"/>
                <w:szCs w:val="24"/>
              </w:rPr>
            </w:pPr>
            <w:r w:rsidRPr="006A75EE">
              <w:rPr>
                <w:rFonts w:ascii="Times New Roman"/>
                <w:sz w:val="24"/>
                <w:szCs w:val="24"/>
              </w:rPr>
              <w:t>上開增加之稅收部分用於提高標準、薪資所得及身心障礙扣除額</w:t>
            </w:r>
            <w:r w:rsidRPr="006A75EE">
              <w:rPr>
                <w:rFonts w:ascii="Times New Roman"/>
                <w:sz w:val="24"/>
                <w:szCs w:val="24"/>
              </w:rPr>
              <w:t xml:space="preserve"> (106</w:t>
            </w:r>
            <w:r w:rsidRPr="006A75EE">
              <w:rPr>
                <w:rFonts w:ascii="Times New Roman"/>
                <w:sz w:val="24"/>
                <w:szCs w:val="24"/>
              </w:rPr>
              <w:t>億元</w:t>
            </w:r>
            <w:r w:rsidRPr="006A75EE">
              <w:rPr>
                <w:rFonts w:ascii="Times New Roman"/>
                <w:sz w:val="24"/>
                <w:szCs w:val="24"/>
              </w:rPr>
              <w:t>)</w:t>
            </w:r>
            <w:r w:rsidRPr="006A75EE">
              <w:rPr>
                <w:rFonts w:ascii="Times New Roman"/>
                <w:sz w:val="24"/>
                <w:szCs w:val="24"/>
              </w:rPr>
              <w:t>、中小企業增</w:t>
            </w:r>
            <w:proofErr w:type="gramStart"/>
            <w:r w:rsidRPr="006A75EE">
              <w:rPr>
                <w:rFonts w:ascii="Times New Roman"/>
                <w:sz w:val="24"/>
                <w:szCs w:val="24"/>
              </w:rPr>
              <w:t>僱</w:t>
            </w:r>
            <w:proofErr w:type="gramEnd"/>
            <w:r w:rsidRPr="006A75EE">
              <w:rPr>
                <w:rFonts w:ascii="Times New Roman"/>
                <w:sz w:val="24"/>
                <w:szCs w:val="24"/>
              </w:rPr>
              <w:t>薪資費用加</w:t>
            </w:r>
            <w:proofErr w:type="gramStart"/>
            <w:r w:rsidRPr="006A75EE">
              <w:rPr>
                <w:rFonts w:ascii="Times New Roman"/>
                <w:sz w:val="24"/>
                <w:szCs w:val="24"/>
              </w:rPr>
              <w:t>3</w:t>
            </w:r>
            <w:r w:rsidRPr="006A75EE">
              <w:rPr>
                <w:rFonts w:ascii="Times New Roman"/>
                <w:sz w:val="24"/>
                <w:szCs w:val="24"/>
              </w:rPr>
              <w:t>成</w:t>
            </w:r>
            <w:proofErr w:type="gramEnd"/>
            <w:r w:rsidRPr="006A75EE">
              <w:rPr>
                <w:rFonts w:ascii="Times New Roman"/>
                <w:sz w:val="24"/>
                <w:szCs w:val="24"/>
              </w:rPr>
              <w:t>減除</w:t>
            </w:r>
            <w:r w:rsidRPr="006A75EE">
              <w:rPr>
                <w:rFonts w:ascii="Times New Roman"/>
                <w:sz w:val="24"/>
                <w:szCs w:val="24"/>
              </w:rPr>
              <w:t>(6</w:t>
            </w:r>
            <w:r w:rsidRPr="006A75EE">
              <w:rPr>
                <w:rFonts w:ascii="Times New Roman"/>
                <w:sz w:val="24"/>
                <w:szCs w:val="24"/>
              </w:rPr>
              <w:t>億元</w:t>
            </w:r>
            <w:r w:rsidRPr="006A75EE">
              <w:rPr>
                <w:rFonts w:ascii="Times New Roman"/>
                <w:sz w:val="24"/>
                <w:szCs w:val="24"/>
              </w:rPr>
              <w:t>)</w:t>
            </w:r>
            <w:r w:rsidRPr="006A75EE">
              <w:rPr>
                <w:rFonts w:ascii="Times New Roman"/>
                <w:sz w:val="24"/>
                <w:szCs w:val="24"/>
              </w:rPr>
              <w:t>及放寬研發投資抵減</w:t>
            </w:r>
            <w:r w:rsidRPr="006A75EE">
              <w:rPr>
                <w:rFonts w:ascii="Times New Roman"/>
                <w:sz w:val="24"/>
                <w:szCs w:val="24"/>
              </w:rPr>
              <w:t>(42</w:t>
            </w:r>
            <w:r w:rsidRPr="006A75EE">
              <w:rPr>
                <w:rFonts w:ascii="Times New Roman"/>
                <w:sz w:val="24"/>
                <w:szCs w:val="24"/>
              </w:rPr>
              <w:t>億元</w:t>
            </w:r>
            <w:r w:rsidRPr="006A75EE">
              <w:rPr>
                <w:rFonts w:ascii="Times New Roman"/>
                <w:sz w:val="24"/>
                <w:szCs w:val="24"/>
              </w:rPr>
              <w:t>)</w:t>
            </w:r>
            <w:r w:rsidRPr="006A75EE">
              <w:rPr>
                <w:rFonts w:ascii="Times New Roman"/>
                <w:sz w:val="24"/>
                <w:szCs w:val="24"/>
              </w:rPr>
              <w:t>。</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106</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106</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106</w:t>
            </w:r>
          </w:p>
        </w:tc>
        <w:tc>
          <w:tcPr>
            <w:tcW w:w="860" w:type="dxa"/>
            <w:tcBorders>
              <w:bottom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106</w:t>
            </w:r>
          </w:p>
        </w:tc>
        <w:tc>
          <w:tcPr>
            <w:tcW w:w="2824" w:type="dxa"/>
            <w:tcBorders>
              <w:bottom w:val="single" w:sz="4" w:space="0" w:color="000000"/>
            </w:tcBorders>
          </w:tcPr>
          <w:p w:rsidR="0051678B" w:rsidRPr="006A75EE" w:rsidRDefault="0051678B" w:rsidP="00FF7DB4">
            <w:pPr>
              <w:numPr>
                <w:ilvl w:val="0"/>
                <w:numId w:val="15"/>
              </w:numPr>
              <w:kinsoku w:val="0"/>
              <w:spacing w:line="320" w:lineRule="exact"/>
              <w:ind w:left="334" w:hanging="284"/>
              <w:rPr>
                <w:rFonts w:ascii="Times New Roman"/>
                <w:sz w:val="24"/>
                <w:szCs w:val="24"/>
              </w:rPr>
            </w:pPr>
            <w:r w:rsidRPr="006A75EE">
              <w:rPr>
                <w:rFonts w:ascii="Times New Roman"/>
                <w:sz w:val="24"/>
                <w:szCs w:val="24"/>
              </w:rPr>
              <w:t>增進租稅公平及穩健</w:t>
            </w:r>
            <w:r w:rsidRPr="006A75EE">
              <w:rPr>
                <w:rFonts w:ascii="Times New Roman"/>
                <w:sz w:val="24"/>
                <w:szCs w:val="24"/>
              </w:rPr>
              <w:lastRenderedPageBreak/>
              <w:t>政府財政。</w:t>
            </w:r>
          </w:p>
          <w:p w:rsidR="0051678B" w:rsidRPr="006A75EE" w:rsidRDefault="0051678B" w:rsidP="00FF7DB4">
            <w:pPr>
              <w:numPr>
                <w:ilvl w:val="0"/>
                <w:numId w:val="15"/>
              </w:numPr>
              <w:kinsoku w:val="0"/>
              <w:spacing w:line="320" w:lineRule="exact"/>
              <w:ind w:left="334" w:hanging="284"/>
              <w:rPr>
                <w:rFonts w:ascii="Times New Roman"/>
                <w:sz w:val="24"/>
                <w:szCs w:val="24"/>
              </w:rPr>
            </w:pPr>
            <w:r w:rsidRPr="006A75EE">
              <w:rPr>
                <w:rFonts w:ascii="Times New Roman"/>
                <w:sz w:val="24"/>
                <w:szCs w:val="24"/>
              </w:rPr>
              <w:t>適度減輕勤勞所得者及身心障礙者之租稅負擔。</w:t>
            </w:r>
          </w:p>
        </w:tc>
      </w:tr>
      <w:tr w:rsidR="0051678B" w:rsidRPr="006A75EE" w:rsidTr="00044831">
        <w:tc>
          <w:tcPr>
            <w:tcW w:w="580" w:type="dxa"/>
            <w:vMerge w:val="restart"/>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w:t>
            </w:r>
            <w:r w:rsidRPr="006A75EE">
              <w:rPr>
                <w:rFonts w:ascii="Times New Roman" w:hint="eastAsia"/>
                <w:sz w:val="24"/>
                <w:szCs w:val="24"/>
              </w:rPr>
              <w:t>9</w:t>
            </w:r>
          </w:p>
        </w:tc>
        <w:tc>
          <w:tcPr>
            <w:tcW w:w="972" w:type="dxa"/>
            <w:tcBorders>
              <w:bottom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p w:rsidR="0051678B" w:rsidRPr="006A75EE" w:rsidRDefault="0051678B" w:rsidP="00044831">
            <w:pPr>
              <w:kinsoku w:val="0"/>
              <w:spacing w:line="320" w:lineRule="exact"/>
              <w:jc w:val="center"/>
              <w:rPr>
                <w:rFonts w:ascii="Times New Roman"/>
                <w:sz w:val="24"/>
                <w:szCs w:val="24"/>
              </w:rPr>
            </w:pPr>
          </w:p>
        </w:tc>
        <w:tc>
          <w:tcPr>
            <w:tcW w:w="3031" w:type="dxa"/>
            <w:vMerge w:val="restart"/>
            <w:tcBorders>
              <w:bottom w:val="single" w:sz="4" w:space="0" w:color="000000"/>
            </w:tcBorders>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lastRenderedPageBreak/>
              <w:t>增訂國際金融業務條例第</w:t>
            </w:r>
            <w:r w:rsidRPr="006A75EE">
              <w:rPr>
                <w:rFonts w:ascii="Times New Roman"/>
                <w:sz w:val="24"/>
                <w:szCs w:val="24"/>
              </w:rPr>
              <w:t>22</w:t>
            </w:r>
            <w:r w:rsidRPr="006A75EE">
              <w:rPr>
                <w:rFonts w:ascii="Times New Roman"/>
                <w:sz w:val="24"/>
                <w:szCs w:val="24"/>
              </w:rPr>
              <w:t>條之</w:t>
            </w:r>
            <w:r w:rsidRPr="006A75EE">
              <w:rPr>
                <w:rFonts w:ascii="Times New Roman"/>
                <w:sz w:val="24"/>
                <w:szCs w:val="24"/>
              </w:rPr>
              <w:t>16</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國際保險業務分公司（</w:t>
            </w:r>
            <w:r w:rsidRPr="006A75EE">
              <w:rPr>
                <w:rFonts w:ascii="Times New Roman"/>
                <w:sz w:val="24"/>
                <w:szCs w:val="24"/>
              </w:rPr>
              <w:t>Offshore Insurance Unit, OIU</w:t>
            </w:r>
            <w:r w:rsidRPr="006A75EE">
              <w:rPr>
                <w:rFonts w:ascii="Times New Roman"/>
                <w:sz w:val="24"/>
                <w:szCs w:val="24"/>
              </w:rPr>
              <w:t>）經營國際保險業務，提供</w:t>
            </w:r>
            <w:r w:rsidRPr="006A75EE">
              <w:rPr>
                <w:rFonts w:ascii="Times New Roman"/>
                <w:sz w:val="24"/>
                <w:szCs w:val="24"/>
              </w:rPr>
              <w:t>10</w:t>
            </w:r>
            <w:r w:rsidRPr="006A75EE">
              <w:rPr>
                <w:rFonts w:ascii="Times New Roman"/>
                <w:sz w:val="24"/>
                <w:szCs w:val="24"/>
              </w:rPr>
              <w:t>年免徵營利事業所得稅、營業稅、印花稅及免扣繳等租稅優惠</w:t>
            </w:r>
            <w:r w:rsidRPr="006A75EE">
              <w:rPr>
                <w:rFonts w:ascii="Times New Roman"/>
                <w:sz w:val="24"/>
                <w:szCs w:val="24"/>
              </w:rPr>
              <w:t>(</w:t>
            </w:r>
            <w:r w:rsidRPr="006A75EE">
              <w:rPr>
                <w:rFonts w:ascii="Times New Roman"/>
                <w:sz w:val="24"/>
                <w:szCs w:val="24"/>
              </w:rPr>
              <w:t>如屬於</w:t>
            </w:r>
            <w:r w:rsidRPr="006A75EE">
              <w:rPr>
                <w:rFonts w:ascii="Times New Roman"/>
                <w:sz w:val="24"/>
                <w:szCs w:val="24"/>
              </w:rPr>
              <w:t>10</w:t>
            </w:r>
            <w:r w:rsidRPr="006A75EE">
              <w:rPr>
                <w:rFonts w:ascii="Times New Roman"/>
                <w:sz w:val="24"/>
                <w:szCs w:val="24"/>
              </w:rPr>
              <w:t>年內簽</w:t>
            </w:r>
            <w:r w:rsidRPr="006A75EE">
              <w:rPr>
                <w:rFonts w:ascii="Times New Roman" w:hint="eastAsia"/>
                <w:sz w:val="24"/>
                <w:szCs w:val="24"/>
              </w:rPr>
              <w:t>定</w:t>
            </w:r>
            <w:r w:rsidRPr="006A75EE">
              <w:rPr>
                <w:rFonts w:ascii="Times New Roman"/>
                <w:sz w:val="24"/>
                <w:szCs w:val="24"/>
              </w:rPr>
              <w:t>之保險契約，其租稅優惠適用期限則延長至保險契約有效期間屆滿之日止，且不得超過</w:t>
            </w:r>
            <w:r w:rsidRPr="006A75EE">
              <w:rPr>
                <w:rFonts w:ascii="Times New Roman"/>
                <w:sz w:val="24"/>
                <w:szCs w:val="24"/>
              </w:rPr>
              <w:t>30</w:t>
            </w:r>
            <w:r w:rsidRPr="006A75EE">
              <w:rPr>
                <w:rFonts w:ascii="Times New Roman"/>
                <w:sz w:val="24"/>
                <w:szCs w:val="24"/>
              </w:rPr>
              <w:lastRenderedPageBreak/>
              <w:t>年</w:t>
            </w:r>
            <w:r w:rsidRPr="006A75EE">
              <w:rPr>
                <w:rFonts w:ascii="Times New Roman"/>
                <w:sz w:val="24"/>
                <w:szCs w:val="24"/>
              </w:rPr>
              <w:t>)</w:t>
            </w:r>
            <w:r w:rsidRPr="006A75EE">
              <w:rPr>
                <w:rFonts w:ascii="Times New Roman"/>
                <w:sz w:val="24"/>
                <w:szCs w:val="24"/>
              </w:rPr>
              <w:t>。</w:t>
            </w:r>
          </w:p>
        </w:tc>
        <w:tc>
          <w:tcPr>
            <w:tcW w:w="1126" w:type="dxa"/>
            <w:vMerge w:val="restart"/>
            <w:tcBorders>
              <w:bottom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lastRenderedPageBreak/>
              <w:t>104.2.4</w:t>
            </w:r>
          </w:p>
        </w:tc>
        <w:tc>
          <w:tcPr>
            <w:tcW w:w="3193" w:type="dxa"/>
            <w:vMerge w:val="restart"/>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依金融監督管理委員會編製之稅式支出報告，其財源彌補方式來源有二：</w:t>
            </w:r>
            <w:r w:rsidRPr="006A75EE">
              <w:rPr>
                <w:rFonts w:ascii="Times New Roman"/>
                <w:sz w:val="24"/>
                <w:szCs w:val="24"/>
              </w:rPr>
              <w:t xml:space="preserve"> </w:t>
            </w:r>
          </w:p>
          <w:p w:rsidR="0051678B" w:rsidRPr="006A75EE" w:rsidRDefault="0051678B" w:rsidP="00FF7DB4">
            <w:pPr>
              <w:pStyle w:val="af8"/>
              <w:numPr>
                <w:ilvl w:val="0"/>
                <w:numId w:val="18"/>
              </w:numPr>
              <w:kinsoku w:val="0"/>
              <w:spacing w:line="320" w:lineRule="exact"/>
              <w:ind w:leftChars="0"/>
              <w:rPr>
                <w:rFonts w:ascii="Times New Roman"/>
                <w:sz w:val="24"/>
                <w:szCs w:val="24"/>
              </w:rPr>
            </w:pPr>
            <w:r w:rsidRPr="006A75EE">
              <w:rPr>
                <w:rFonts w:ascii="Times New Roman"/>
                <w:sz w:val="24"/>
                <w:szCs w:val="24"/>
              </w:rPr>
              <w:t>因開放國際保險業務，新增雇從業人員之個人綜合所得稅稅收。</w:t>
            </w:r>
          </w:p>
          <w:p w:rsidR="0051678B" w:rsidRPr="006A75EE" w:rsidRDefault="0051678B" w:rsidP="00FF7DB4">
            <w:pPr>
              <w:pStyle w:val="af8"/>
              <w:numPr>
                <w:ilvl w:val="0"/>
                <w:numId w:val="18"/>
              </w:numPr>
              <w:kinsoku w:val="0"/>
              <w:spacing w:line="320" w:lineRule="exact"/>
              <w:ind w:leftChars="0"/>
              <w:rPr>
                <w:rFonts w:ascii="Times New Roman"/>
                <w:sz w:val="24"/>
                <w:szCs w:val="24"/>
              </w:rPr>
            </w:pPr>
            <w:r w:rsidRPr="006A75EE">
              <w:rPr>
                <w:rFonts w:ascii="Times New Roman"/>
                <w:sz w:val="24"/>
                <w:szCs w:val="24"/>
              </w:rPr>
              <w:t>保險業經營國際保險業務衍生之可運用資金於契約有效期間內投資國內資本市場衍生之利息所得稅稅收。</w:t>
            </w:r>
          </w:p>
          <w:p w:rsidR="0051678B" w:rsidRPr="006A75EE" w:rsidRDefault="0051678B" w:rsidP="00044831">
            <w:pPr>
              <w:kinsoku w:val="0"/>
              <w:spacing w:line="320" w:lineRule="exact"/>
              <w:rPr>
                <w:rFonts w:ascii="Times New Roman"/>
                <w:sz w:val="24"/>
                <w:szCs w:val="24"/>
              </w:rPr>
            </w:pPr>
            <w:proofErr w:type="gramStart"/>
            <w:r w:rsidRPr="006A75EE">
              <w:rPr>
                <w:rFonts w:ascii="Times New Roman"/>
                <w:kern w:val="0"/>
                <w:sz w:val="24"/>
                <w:szCs w:val="24"/>
              </w:rPr>
              <w:t>依金管</w:t>
            </w:r>
            <w:proofErr w:type="gramEnd"/>
            <w:r w:rsidRPr="006A75EE">
              <w:rPr>
                <w:rFonts w:ascii="Times New Roman"/>
                <w:kern w:val="0"/>
                <w:sz w:val="24"/>
                <w:szCs w:val="24"/>
              </w:rPr>
              <w:t>會報告，上開財源彌</w:t>
            </w:r>
            <w:r w:rsidRPr="006A75EE">
              <w:rPr>
                <w:rFonts w:ascii="Times New Roman"/>
                <w:kern w:val="0"/>
                <w:sz w:val="24"/>
                <w:szCs w:val="24"/>
              </w:rPr>
              <w:lastRenderedPageBreak/>
              <w:t>補方案足以支應租稅優惠稅收損失，</w:t>
            </w:r>
            <w:r w:rsidRPr="006A75EE">
              <w:rPr>
                <w:rFonts w:ascii="Times New Roman" w:hint="eastAsia"/>
                <w:kern w:val="0"/>
                <w:sz w:val="24"/>
                <w:szCs w:val="24"/>
              </w:rPr>
              <w:t>該</w:t>
            </w:r>
            <w:r w:rsidRPr="006A75EE">
              <w:rPr>
                <w:rFonts w:ascii="Times New Roman"/>
                <w:kern w:val="0"/>
                <w:sz w:val="24"/>
                <w:szCs w:val="24"/>
              </w:rPr>
              <w:t>案整體而言並無稅收損失。</w:t>
            </w:r>
          </w:p>
        </w:tc>
        <w:tc>
          <w:tcPr>
            <w:tcW w:w="1068" w:type="dxa"/>
          </w:tcPr>
          <w:p w:rsidR="0051678B" w:rsidRPr="006A75EE" w:rsidRDefault="0051678B" w:rsidP="00044831">
            <w:pPr>
              <w:jc w:val="center"/>
              <w:rPr>
                <w:rFonts w:ascii="Times New Roman"/>
                <w:sz w:val="24"/>
                <w:szCs w:val="24"/>
              </w:rPr>
            </w:pPr>
            <w:r w:rsidRPr="006A75EE">
              <w:rPr>
                <w:rFonts w:ascii="Times New Roman"/>
                <w:sz w:val="24"/>
                <w:szCs w:val="24"/>
              </w:rPr>
              <w:lastRenderedPageBreak/>
              <w:t>0.1</w:t>
            </w:r>
            <w:r w:rsidRPr="006A75EE">
              <w:rPr>
                <w:rFonts w:ascii="Times New Roman" w:hint="eastAsia"/>
                <w:sz w:val="24"/>
                <w:szCs w:val="24"/>
              </w:rPr>
              <w:t>6</w:t>
            </w:r>
          </w:p>
        </w:tc>
        <w:tc>
          <w:tcPr>
            <w:tcW w:w="855" w:type="dxa"/>
          </w:tcPr>
          <w:p w:rsidR="0051678B" w:rsidRPr="006A75EE" w:rsidRDefault="0051678B" w:rsidP="00044831">
            <w:pPr>
              <w:jc w:val="center"/>
              <w:rPr>
                <w:rFonts w:ascii="Times New Roman"/>
                <w:sz w:val="24"/>
                <w:szCs w:val="24"/>
              </w:rPr>
            </w:pPr>
            <w:r w:rsidRPr="006A75EE">
              <w:rPr>
                <w:rFonts w:ascii="Times New Roman"/>
                <w:sz w:val="24"/>
                <w:szCs w:val="24"/>
              </w:rPr>
              <w:t>0.14</w:t>
            </w:r>
          </w:p>
        </w:tc>
        <w:tc>
          <w:tcPr>
            <w:tcW w:w="996" w:type="dxa"/>
          </w:tcPr>
          <w:p w:rsidR="0051678B" w:rsidRPr="006A75EE" w:rsidRDefault="0051678B" w:rsidP="00044831">
            <w:pPr>
              <w:jc w:val="center"/>
              <w:rPr>
                <w:rFonts w:ascii="Times New Roman"/>
                <w:sz w:val="24"/>
                <w:szCs w:val="24"/>
              </w:rPr>
            </w:pPr>
            <w:r w:rsidRPr="006A75EE">
              <w:rPr>
                <w:rFonts w:ascii="Times New Roman"/>
                <w:sz w:val="24"/>
                <w:szCs w:val="24"/>
              </w:rPr>
              <w:t>0.1</w:t>
            </w:r>
            <w:r w:rsidRPr="006A75EE">
              <w:rPr>
                <w:rFonts w:ascii="Times New Roman" w:hint="eastAsia"/>
                <w:sz w:val="24"/>
                <w:szCs w:val="24"/>
              </w:rPr>
              <w:t>3</w:t>
            </w:r>
          </w:p>
        </w:tc>
        <w:tc>
          <w:tcPr>
            <w:tcW w:w="860" w:type="dxa"/>
            <w:tcBorders>
              <w:bottom w:val="single" w:sz="4" w:space="0" w:color="000000"/>
            </w:tcBorders>
          </w:tcPr>
          <w:p w:rsidR="0051678B" w:rsidRPr="006A75EE" w:rsidRDefault="0051678B" w:rsidP="00044831">
            <w:pPr>
              <w:jc w:val="center"/>
              <w:rPr>
                <w:rFonts w:ascii="Times New Roman"/>
                <w:sz w:val="24"/>
                <w:szCs w:val="24"/>
              </w:rPr>
            </w:pPr>
            <w:r w:rsidRPr="006A75EE">
              <w:rPr>
                <w:rFonts w:ascii="Times New Roman"/>
                <w:sz w:val="24"/>
                <w:szCs w:val="24"/>
              </w:rPr>
              <w:t>0.13</w:t>
            </w:r>
          </w:p>
        </w:tc>
        <w:tc>
          <w:tcPr>
            <w:tcW w:w="2824" w:type="dxa"/>
            <w:tcBorders>
              <w:bottom w:val="single" w:sz="4" w:space="0" w:color="000000"/>
            </w:tcBorders>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財政部建議洽詢金融監督管理委員會。</w:t>
            </w:r>
          </w:p>
        </w:tc>
      </w:tr>
      <w:tr w:rsidR="0051678B" w:rsidRPr="006A75EE" w:rsidTr="00044831">
        <w:trPr>
          <w:trHeight w:val="510"/>
        </w:trPr>
        <w:tc>
          <w:tcPr>
            <w:tcW w:w="580" w:type="dxa"/>
            <w:vMerge/>
          </w:tcPr>
          <w:p w:rsidR="0051678B" w:rsidRPr="006A75EE" w:rsidRDefault="0051678B" w:rsidP="00044831">
            <w:pPr>
              <w:kinsoku w:val="0"/>
              <w:spacing w:line="320" w:lineRule="exact"/>
              <w:jc w:val="center"/>
              <w:rPr>
                <w:rFonts w:ascii="Times New Roman"/>
                <w:sz w:val="24"/>
                <w:szCs w:val="24"/>
              </w:rPr>
            </w:pPr>
          </w:p>
        </w:tc>
        <w:tc>
          <w:tcPr>
            <w:tcW w:w="972" w:type="dxa"/>
            <w:tcBorders>
              <w:top w:val="single" w:sz="4" w:space="0" w:color="000000"/>
            </w:tcBorders>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營業稅</w:t>
            </w:r>
          </w:p>
        </w:tc>
        <w:tc>
          <w:tcPr>
            <w:tcW w:w="3031" w:type="dxa"/>
            <w:vMerge/>
            <w:tcBorders>
              <w:top w:val="single" w:sz="4" w:space="0" w:color="000000"/>
              <w:bottom w:val="nil"/>
            </w:tcBorders>
          </w:tcPr>
          <w:p w:rsidR="0051678B" w:rsidRPr="006A75EE" w:rsidRDefault="0051678B" w:rsidP="00044831">
            <w:pPr>
              <w:kinsoku w:val="0"/>
              <w:spacing w:line="320" w:lineRule="exact"/>
              <w:rPr>
                <w:rFonts w:ascii="Times New Roman"/>
                <w:sz w:val="24"/>
                <w:szCs w:val="24"/>
              </w:rPr>
            </w:pPr>
          </w:p>
        </w:tc>
        <w:tc>
          <w:tcPr>
            <w:tcW w:w="1126" w:type="dxa"/>
            <w:vMerge/>
            <w:tcBorders>
              <w:top w:val="single" w:sz="4" w:space="0" w:color="000000"/>
            </w:tcBorders>
          </w:tcPr>
          <w:p w:rsidR="0051678B" w:rsidRPr="006A75EE" w:rsidRDefault="0051678B" w:rsidP="00044831">
            <w:pPr>
              <w:kinsoku w:val="0"/>
              <w:spacing w:line="320" w:lineRule="exact"/>
              <w:jc w:val="center"/>
              <w:rPr>
                <w:rFonts w:ascii="Times New Roman"/>
                <w:sz w:val="24"/>
                <w:szCs w:val="24"/>
              </w:rPr>
            </w:pPr>
          </w:p>
        </w:tc>
        <w:tc>
          <w:tcPr>
            <w:tcW w:w="3193" w:type="dxa"/>
            <w:vMerge/>
          </w:tcPr>
          <w:p w:rsidR="0051678B" w:rsidRPr="006A75EE" w:rsidRDefault="0051678B" w:rsidP="00044831">
            <w:pPr>
              <w:kinsoku w:val="0"/>
              <w:spacing w:line="320" w:lineRule="exact"/>
              <w:rPr>
                <w:rFonts w:ascii="Times New Roman"/>
                <w:sz w:val="24"/>
                <w:szCs w:val="24"/>
              </w:rPr>
            </w:pPr>
          </w:p>
        </w:tc>
        <w:tc>
          <w:tcPr>
            <w:tcW w:w="1068" w:type="dxa"/>
          </w:tcPr>
          <w:p w:rsidR="0051678B" w:rsidRPr="006A75EE" w:rsidRDefault="0051678B" w:rsidP="00044831">
            <w:pPr>
              <w:jc w:val="center"/>
              <w:rPr>
                <w:rFonts w:ascii="Times New Roman"/>
                <w:sz w:val="24"/>
                <w:szCs w:val="24"/>
              </w:rPr>
            </w:pPr>
            <w:r w:rsidRPr="006A75EE">
              <w:rPr>
                <w:rFonts w:ascii="Times New Roman"/>
                <w:sz w:val="24"/>
                <w:szCs w:val="24"/>
              </w:rPr>
              <w:t>0.2</w:t>
            </w:r>
            <w:r w:rsidRPr="006A75EE">
              <w:rPr>
                <w:rFonts w:ascii="Times New Roman" w:hint="eastAsia"/>
                <w:sz w:val="24"/>
                <w:szCs w:val="24"/>
              </w:rPr>
              <w:t>2</w:t>
            </w:r>
          </w:p>
        </w:tc>
        <w:tc>
          <w:tcPr>
            <w:tcW w:w="855" w:type="dxa"/>
          </w:tcPr>
          <w:p w:rsidR="0051678B" w:rsidRPr="006A75EE" w:rsidRDefault="0051678B" w:rsidP="00044831">
            <w:pPr>
              <w:jc w:val="center"/>
              <w:rPr>
                <w:rFonts w:ascii="Times New Roman"/>
                <w:sz w:val="24"/>
                <w:szCs w:val="24"/>
              </w:rPr>
            </w:pPr>
            <w:r w:rsidRPr="006A75EE">
              <w:rPr>
                <w:rFonts w:ascii="Times New Roman"/>
                <w:sz w:val="24"/>
                <w:szCs w:val="24"/>
              </w:rPr>
              <w:t>0.20</w:t>
            </w:r>
            <w:r w:rsidRPr="006A75EE">
              <w:rPr>
                <w:rFonts w:ascii="Times New Roman" w:hint="eastAsia"/>
                <w:sz w:val="24"/>
                <w:szCs w:val="24"/>
              </w:rPr>
              <w:t>2</w:t>
            </w:r>
          </w:p>
        </w:tc>
        <w:tc>
          <w:tcPr>
            <w:tcW w:w="996" w:type="dxa"/>
          </w:tcPr>
          <w:p w:rsidR="0051678B" w:rsidRPr="006A75EE" w:rsidRDefault="0051678B" w:rsidP="00044831">
            <w:pPr>
              <w:jc w:val="center"/>
              <w:rPr>
                <w:rFonts w:ascii="Times New Roman"/>
                <w:sz w:val="24"/>
                <w:szCs w:val="24"/>
              </w:rPr>
            </w:pPr>
            <w:r w:rsidRPr="006A75EE">
              <w:rPr>
                <w:rFonts w:ascii="Times New Roman"/>
                <w:sz w:val="24"/>
                <w:szCs w:val="24"/>
              </w:rPr>
              <w:t>0.1</w:t>
            </w:r>
            <w:r w:rsidRPr="006A75EE">
              <w:rPr>
                <w:rFonts w:ascii="Times New Roman" w:hint="eastAsia"/>
                <w:sz w:val="24"/>
                <w:szCs w:val="24"/>
              </w:rPr>
              <w:t>9</w:t>
            </w:r>
          </w:p>
        </w:tc>
        <w:tc>
          <w:tcPr>
            <w:tcW w:w="860" w:type="dxa"/>
            <w:tcBorders>
              <w:top w:val="single" w:sz="4" w:space="0" w:color="000000"/>
            </w:tcBorders>
          </w:tcPr>
          <w:p w:rsidR="0051678B" w:rsidRPr="006A75EE" w:rsidRDefault="0051678B" w:rsidP="00044831">
            <w:pPr>
              <w:jc w:val="center"/>
              <w:rPr>
                <w:rFonts w:ascii="Times New Roman"/>
                <w:sz w:val="24"/>
                <w:szCs w:val="24"/>
              </w:rPr>
            </w:pPr>
            <w:r w:rsidRPr="006A75EE">
              <w:rPr>
                <w:rFonts w:ascii="Times New Roman"/>
                <w:sz w:val="24"/>
                <w:szCs w:val="24"/>
              </w:rPr>
              <w:t>0.20</w:t>
            </w:r>
          </w:p>
        </w:tc>
        <w:tc>
          <w:tcPr>
            <w:tcW w:w="2824" w:type="dxa"/>
            <w:tcBorders>
              <w:top w:val="single" w:sz="4" w:space="0" w:color="000000"/>
              <w:bottom w:val="nil"/>
            </w:tcBorders>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 xml:space="preserve"> </w:t>
            </w:r>
          </w:p>
        </w:tc>
      </w:tr>
      <w:tr w:rsidR="0051678B" w:rsidRPr="006A75EE" w:rsidTr="00044831">
        <w:trPr>
          <w:trHeight w:val="510"/>
        </w:trPr>
        <w:tc>
          <w:tcPr>
            <w:tcW w:w="580" w:type="dxa"/>
            <w:vMerge/>
          </w:tcPr>
          <w:p w:rsidR="0051678B" w:rsidRPr="006A75EE" w:rsidRDefault="0051678B" w:rsidP="00044831">
            <w:pPr>
              <w:kinsoku w:val="0"/>
              <w:spacing w:line="320" w:lineRule="exact"/>
              <w:jc w:val="center"/>
              <w:rPr>
                <w:rFonts w:ascii="Times New Roman"/>
                <w:sz w:val="24"/>
                <w:szCs w:val="24"/>
              </w:rPr>
            </w:pP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印花稅</w:t>
            </w:r>
          </w:p>
        </w:tc>
        <w:tc>
          <w:tcPr>
            <w:tcW w:w="3031" w:type="dxa"/>
            <w:vMerge/>
            <w:tcBorders>
              <w:top w:val="nil"/>
            </w:tcBorders>
          </w:tcPr>
          <w:p w:rsidR="0051678B" w:rsidRPr="006A75EE" w:rsidRDefault="0051678B" w:rsidP="00044831">
            <w:pPr>
              <w:kinsoku w:val="0"/>
              <w:spacing w:line="320" w:lineRule="exact"/>
              <w:rPr>
                <w:rFonts w:ascii="Times New Roman"/>
                <w:sz w:val="24"/>
                <w:szCs w:val="24"/>
              </w:rPr>
            </w:pPr>
          </w:p>
        </w:tc>
        <w:tc>
          <w:tcPr>
            <w:tcW w:w="1126" w:type="dxa"/>
            <w:vMerge/>
          </w:tcPr>
          <w:p w:rsidR="0051678B" w:rsidRPr="006A75EE" w:rsidRDefault="0051678B" w:rsidP="00044831">
            <w:pPr>
              <w:kinsoku w:val="0"/>
              <w:spacing w:line="320" w:lineRule="exact"/>
              <w:jc w:val="center"/>
              <w:rPr>
                <w:rFonts w:ascii="Times New Roman"/>
                <w:sz w:val="24"/>
                <w:szCs w:val="24"/>
              </w:rPr>
            </w:pPr>
          </w:p>
        </w:tc>
        <w:tc>
          <w:tcPr>
            <w:tcW w:w="3193" w:type="dxa"/>
            <w:vMerge/>
          </w:tcPr>
          <w:p w:rsidR="0051678B" w:rsidRPr="006A75EE" w:rsidRDefault="0051678B" w:rsidP="00044831">
            <w:pPr>
              <w:kinsoku w:val="0"/>
              <w:spacing w:line="320" w:lineRule="exact"/>
              <w:rPr>
                <w:rFonts w:ascii="Times New Roman"/>
                <w:sz w:val="24"/>
                <w:szCs w:val="24"/>
              </w:rPr>
            </w:pPr>
          </w:p>
        </w:tc>
        <w:tc>
          <w:tcPr>
            <w:tcW w:w="1068" w:type="dxa"/>
          </w:tcPr>
          <w:p w:rsidR="0051678B" w:rsidRPr="006A75EE" w:rsidRDefault="0051678B" w:rsidP="00044831">
            <w:pPr>
              <w:jc w:val="center"/>
              <w:rPr>
                <w:rFonts w:ascii="Times New Roman"/>
                <w:sz w:val="24"/>
                <w:szCs w:val="24"/>
              </w:rPr>
            </w:pPr>
            <w:r w:rsidRPr="006A75EE">
              <w:rPr>
                <w:rFonts w:ascii="Times New Roman"/>
                <w:sz w:val="24"/>
                <w:szCs w:val="24"/>
              </w:rPr>
              <w:t>0.0</w:t>
            </w:r>
            <w:r w:rsidRPr="006A75EE">
              <w:rPr>
                <w:rFonts w:ascii="Times New Roman" w:hint="eastAsia"/>
                <w:sz w:val="24"/>
                <w:szCs w:val="24"/>
              </w:rPr>
              <w:t>3</w:t>
            </w:r>
          </w:p>
        </w:tc>
        <w:tc>
          <w:tcPr>
            <w:tcW w:w="855" w:type="dxa"/>
          </w:tcPr>
          <w:p w:rsidR="0051678B" w:rsidRPr="006A75EE" w:rsidRDefault="0051678B" w:rsidP="00044831">
            <w:pPr>
              <w:jc w:val="center"/>
              <w:rPr>
                <w:rFonts w:ascii="Times New Roman"/>
                <w:sz w:val="24"/>
                <w:szCs w:val="24"/>
              </w:rPr>
            </w:pPr>
            <w:r w:rsidRPr="006A75EE">
              <w:rPr>
                <w:rFonts w:ascii="Times New Roman"/>
                <w:sz w:val="24"/>
                <w:szCs w:val="24"/>
              </w:rPr>
              <w:t>0.0</w:t>
            </w:r>
            <w:r w:rsidRPr="006A75EE">
              <w:rPr>
                <w:rFonts w:ascii="Times New Roman" w:hint="eastAsia"/>
                <w:sz w:val="24"/>
                <w:szCs w:val="24"/>
              </w:rPr>
              <w:t>3</w:t>
            </w:r>
          </w:p>
        </w:tc>
        <w:tc>
          <w:tcPr>
            <w:tcW w:w="996" w:type="dxa"/>
          </w:tcPr>
          <w:p w:rsidR="0051678B" w:rsidRPr="006A75EE" w:rsidRDefault="0051678B" w:rsidP="00044831">
            <w:pPr>
              <w:jc w:val="center"/>
              <w:rPr>
                <w:rFonts w:ascii="Times New Roman"/>
                <w:sz w:val="24"/>
                <w:szCs w:val="24"/>
              </w:rPr>
            </w:pPr>
            <w:r w:rsidRPr="006A75EE">
              <w:rPr>
                <w:rFonts w:ascii="Times New Roman"/>
                <w:sz w:val="24"/>
                <w:szCs w:val="24"/>
              </w:rPr>
              <w:t>0.0</w:t>
            </w:r>
            <w:r w:rsidRPr="006A75EE">
              <w:rPr>
                <w:rFonts w:ascii="Times New Roman" w:hint="eastAsia"/>
                <w:sz w:val="24"/>
                <w:szCs w:val="24"/>
              </w:rPr>
              <w:t>3</w:t>
            </w:r>
          </w:p>
        </w:tc>
        <w:tc>
          <w:tcPr>
            <w:tcW w:w="860" w:type="dxa"/>
          </w:tcPr>
          <w:p w:rsidR="0051678B" w:rsidRPr="006A75EE" w:rsidRDefault="0051678B" w:rsidP="00044831">
            <w:pPr>
              <w:jc w:val="center"/>
              <w:rPr>
                <w:rFonts w:ascii="Times New Roman"/>
                <w:sz w:val="24"/>
                <w:szCs w:val="24"/>
              </w:rPr>
            </w:pPr>
            <w:r w:rsidRPr="006A75EE">
              <w:rPr>
                <w:rFonts w:ascii="Times New Roman"/>
                <w:sz w:val="24"/>
                <w:szCs w:val="24"/>
              </w:rPr>
              <w:t>0.0</w:t>
            </w:r>
            <w:r w:rsidRPr="006A75EE">
              <w:rPr>
                <w:rFonts w:ascii="Times New Roman" w:hint="eastAsia"/>
                <w:sz w:val="24"/>
                <w:szCs w:val="24"/>
              </w:rPr>
              <w:t>3</w:t>
            </w:r>
          </w:p>
        </w:tc>
        <w:tc>
          <w:tcPr>
            <w:tcW w:w="2824" w:type="dxa"/>
            <w:tcBorders>
              <w:top w:val="nil"/>
            </w:tcBorders>
          </w:tcPr>
          <w:p w:rsidR="0051678B" w:rsidRPr="006A75EE" w:rsidRDefault="0051678B" w:rsidP="00044831">
            <w:pPr>
              <w:kinsoku w:val="0"/>
              <w:spacing w:line="320" w:lineRule="exact"/>
              <w:rPr>
                <w:rFonts w:ascii="Times New Roman"/>
                <w:sz w:val="24"/>
                <w:szCs w:val="24"/>
              </w:rPr>
            </w:pP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20</w:t>
            </w: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貨物稅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修正貨物稅條例第</w:t>
            </w:r>
            <w:r w:rsidRPr="006A75EE">
              <w:rPr>
                <w:rFonts w:ascii="Times New Roman"/>
                <w:sz w:val="24"/>
                <w:szCs w:val="24"/>
              </w:rPr>
              <w:t>12</w:t>
            </w:r>
            <w:r w:rsidRPr="006A75EE">
              <w:rPr>
                <w:rFonts w:ascii="Times New Roman"/>
                <w:sz w:val="24"/>
                <w:szCs w:val="24"/>
              </w:rPr>
              <w:t>條</w:t>
            </w:r>
          </w:p>
          <w:p w:rsidR="0051678B" w:rsidRPr="006A75EE" w:rsidRDefault="0051678B" w:rsidP="00044831">
            <w:pPr>
              <w:kinsoku w:val="0"/>
              <w:spacing w:line="320" w:lineRule="exact"/>
              <w:ind w:left="187" w:hangingChars="72" w:hanging="187"/>
              <w:rPr>
                <w:rFonts w:ascii="Times New Roman"/>
                <w:sz w:val="24"/>
                <w:szCs w:val="24"/>
              </w:rPr>
            </w:pPr>
            <w:r w:rsidRPr="006A75EE">
              <w:rPr>
                <w:rFonts w:ascii="Times New Roman"/>
                <w:sz w:val="24"/>
                <w:szCs w:val="24"/>
              </w:rPr>
              <w:t>1.104</w:t>
            </w:r>
            <w:r w:rsidRPr="006A75EE">
              <w:rPr>
                <w:rFonts w:ascii="Times New Roman"/>
                <w:sz w:val="24"/>
                <w:szCs w:val="24"/>
              </w:rPr>
              <w:t>年</w:t>
            </w:r>
            <w:r w:rsidRPr="006A75EE">
              <w:rPr>
                <w:rFonts w:ascii="Times New Roman"/>
                <w:sz w:val="24"/>
                <w:szCs w:val="24"/>
              </w:rPr>
              <w:t>1</w:t>
            </w:r>
            <w:r w:rsidRPr="006A75EE">
              <w:rPr>
                <w:rFonts w:ascii="Times New Roman"/>
                <w:sz w:val="24"/>
                <w:szCs w:val="24"/>
              </w:rPr>
              <w:t>月</w:t>
            </w:r>
            <w:r w:rsidRPr="006A75EE">
              <w:rPr>
                <w:rFonts w:ascii="Times New Roman"/>
                <w:sz w:val="24"/>
                <w:szCs w:val="24"/>
              </w:rPr>
              <w:t>22</w:t>
            </w:r>
            <w:r w:rsidRPr="006A75EE">
              <w:rPr>
                <w:rFonts w:ascii="Times New Roman"/>
                <w:sz w:val="24"/>
                <w:szCs w:val="24"/>
              </w:rPr>
              <w:t>日起</w:t>
            </w:r>
            <w:r w:rsidRPr="006A75EE">
              <w:rPr>
                <w:rFonts w:ascii="Times New Roman"/>
                <w:sz w:val="24"/>
                <w:szCs w:val="24"/>
              </w:rPr>
              <w:t>5</w:t>
            </w:r>
            <w:r w:rsidRPr="006A75EE">
              <w:rPr>
                <w:rFonts w:ascii="Times New Roman"/>
                <w:sz w:val="24"/>
                <w:szCs w:val="24"/>
              </w:rPr>
              <w:t>年內購買符合載運輪椅使用者車輛規定安全檢測基準之車輛，免徵貨物稅；</w:t>
            </w:r>
          </w:p>
          <w:p w:rsidR="0051678B" w:rsidRPr="006A75EE" w:rsidRDefault="0051678B" w:rsidP="00044831">
            <w:pPr>
              <w:kinsoku w:val="0"/>
              <w:spacing w:line="320" w:lineRule="exact"/>
              <w:ind w:left="187" w:hangingChars="72" w:hanging="187"/>
              <w:rPr>
                <w:rFonts w:ascii="Times New Roman"/>
                <w:sz w:val="24"/>
                <w:szCs w:val="24"/>
              </w:rPr>
            </w:pPr>
            <w:r w:rsidRPr="006A75EE">
              <w:rPr>
                <w:rFonts w:ascii="Times New Roman"/>
                <w:sz w:val="24"/>
                <w:szCs w:val="24"/>
              </w:rPr>
              <w:t>2.</w:t>
            </w:r>
            <w:r w:rsidRPr="006A75EE">
              <w:rPr>
                <w:rFonts w:ascii="Times New Roman"/>
                <w:sz w:val="24"/>
                <w:szCs w:val="24"/>
              </w:rPr>
              <w:t>自</w:t>
            </w:r>
            <w:r w:rsidRPr="006A75EE">
              <w:rPr>
                <w:rFonts w:ascii="Times New Roman"/>
                <w:sz w:val="24"/>
                <w:szCs w:val="24"/>
              </w:rPr>
              <w:t>103</w:t>
            </w:r>
            <w:r w:rsidRPr="006A75EE">
              <w:rPr>
                <w:rFonts w:ascii="Times New Roman"/>
                <w:sz w:val="24"/>
                <w:szCs w:val="24"/>
              </w:rPr>
              <w:t>年</w:t>
            </w:r>
            <w:r w:rsidRPr="006A75EE">
              <w:rPr>
                <w:rFonts w:ascii="Times New Roman"/>
                <w:sz w:val="24"/>
                <w:szCs w:val="24"/>
              </w:rPr>
              <w:t>6</w:t>
            </w:r>
            <w:r w:rsidRPr="006A75EE">
              <w:rPr>
                <w:rFonts w:ascii="Times New Roman"/>
                <w:sz w:val="24"/>
                <w:szCs w:val="24"/>
              </w:rPr>
              <w:t>月</w:t>
            </w:r>
            <w:r w:rsidRPr="006A75EE">
              <w:rPr>
                <w:rFonts w:ascii="Times New Roman"/>
                <w:sz w:val="24"/>
                <w:szCs w:val="24"/>
              </w:rPr>
              <w:t>5</w:t>
            </w:r>
            <w:r w:rsidRPr="006A75EE">
              <w:rPr>
                <w:rFonts w:ascii="Times New Roman"/>
                <w:sz w:val="24"/>
                <w:szCs w:val="24"/>
              </w:rPr>
              <w:t>日起</w:t>
            </w:r>
            <w:r w:rsidRPr="006A75EE">
              <w:rPr>
                <w:rFonts w:ascii="Times New Roman"/>
                <w:sz w:val="24"/>
                <w:szCs w:val="24"/>
              </w:rPr>
              <w:t>5</w:t>
            </w:r>
            <w:r w:rsidRPr="006A75EE">
              <w:rPr>
                <w:rFonts w:ascii="Times New Roman"/>
                <w:sz w:val="24"/>
                <w:szCs w:val="24"/>
              </w:rPr>
              <w:t>年內購買低底盤公共汽車、天然氣公共汽車、油電混合動力公共汽車、電動公共汽車、身心障礙者復康巴士並完成登記者，免徵該等汽車應徵之貨物稅。</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104.2.6</w:t>
            </w:r>
          </w:p>
        </w:tc>
        <w:tc>
          <w:tcPr>
            <w:tcW w:w="3193" w:type="dxa"/>
          </w:tcPr>
          <w:p w:rsidR="0051678B" w:rsidRPr="006A75EE" w:rsidRDefault="0051678B" w:rsidP="00FF7DB4">
            <w:pPr>
              <w:pStyle w:val="af8"/>
              <w:numPr>
                <w:ilvl w:val="0"/>
                <w:numId w:val="19"/>
              </w:numPr>
              <w:kinsoku w:val="0"/>
              <w:spacing w:line="320" w:lineRule="exact"/>
              <w:ind w:leftChars="0"/>
              <w:rPr>
                <w:rFonts w:ascii="Times New Roman"/>
                <w:sz w:val="24"/>
                <w:szCs w:val="24"/>
              </w:rPr>
            </w:pPr>
            <w:r w:rsidRPr="006A75EE">
              <w:rPr>
                <w:rFonts w:ascii="Times New Roman"/>
                <w:sz w:val="24"/>
                <w:szCs w:val="24"/>
              </w:rPr>
              <w:t>載運使用者車輛及低底盤公車等公共汽車稅式支出</w:t>
            </w:r>
            <w:proofErr w:type="gramStart"/>
            <w:r w:rsidRPr="006A75EE">
              <w:rPr>
                <w:rFonts w:ascii="Times New Roman"/>
                <w:sz w:val="24"/>
                <w:szCs w:val="24"/>
              </w:rPr>
              <w:t>複</w:t>
            </w:r>
            <w:proofErr w:type="gramEnd"/>
            <w:r w:rsidRPr="006A75EE">
              <w:rPr>
                <w:rFonts w:ascii="Times New Roman"/>
                <w:sz w:val="24"/>
                <w:szCs w:val="24"/>
              </w:rPr>
              <w:t>評意見，</w:t>
            </w:r>
            <w:proofErr w:type="gramStart"/>
            <w:r w:rsidRPr="006A75EE">
              <w:rPr>
                <w:rFonts w:ascii="Times New Roman"/>
                <w:sz w:val="24"/>
                <w:szCs w:val="24"/>
              </w:rPr>
              <w:t>衛福部及</w:t>
            </w:r>
            <w:proofErr w:type="gramEnd"/>
            <w:r w:rsidRPr="006A75EE">
              <w:rPr>
                <w:rFonts w:ascii="Times New Roman"/>
                <w:sz w:val="24"/>
                <w:szCs w:val="24"/>
              </w:rPr>
              <w:t>交通部刻修正中，尚無財源彌補方式。</w:t>
            </w:r>
          </w:p>
          <w:p w:rsidR="0051678B" w:rsidRPr="006A75EE" w:rsidRDefault="0051678B" w:rsidP="00FF7DB4">
            <w:pPr>
              <w:pStyle w:val="af8"/>
              <w:numPr>
                <w:ilvl w:val="0"/>
                <w:numId w:val="19"/>
              </w:numPr>
              <w:kinsoku w:val="0"/>
              <w:spacing w:line="320" w:lineRule="exact"/>
              <w:ind w:leftChars="0"/>
              <w:rPr>
                <w:rFonts w:ascii="Times New Roman"/>
                <w:sz w:val="24"/>
                <w:szCs w:val="24"/>
              </w:rPr>
            </w:pPr>
            <w:proofErr w:type="gramStart"/>
            <w:r w:rsidRPr="006A75EE">
              <w:rPr>
                <w:rFonts w:ascii="Times New Roman"/>
                <w:sz w:val="24"/>
                <w:szCs w:val="24"/>
              </w:rPr>
              <w:t>依衛福部稅式</w:t>
            </w:r>
            <w:proofErr w:type="gramEnd"/>
            <w:r w:rsidRPr="006A75EE">
              <w:rPr>
                <w:rFonts w:ascii="Times New Roman"/>
                <w:sz w:val="24"/>
                <w:szCs w:val="24"/>
              </w:rPr>
              <w:t>支出評估報告，身心障礙者復康巴士減徵貨物稅之稅收損失，調高「復康巴士收費標準」做為替代財源。</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8.2</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8.3</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8.3</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8.3</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w:t>
            </w:r>
            <w:proofErr w:type="gramStart"/>
            <w:r w:rsidRPr="006A75EE">
              <w:rPr>
                <w:rFonts w:ascii="Times New Roman" w:hint="eastAsia"/>
                <w:sz w:val="24"/>
                <w:szCs w:val="24"/>
              </w:rPr>
              <w:t>衛福部及</w:t>
            </w:r>
            <w:proofErr w:type="gramEnd"/>
            <w:r w:rsidRPr="006A75EE">
              <w:rPr>
                <w:rFonts w:ascii="Times New Roman" w:hint="eastAsia"/>
                <w:sz w:val="24"/>
                <w:szCs w:val="24"/>
              </w:rPr>
              <w:t>交通部。</w:t>
            </w:r>
          </w:p>
        </w:tc>
      </w:tr>
      <w:tr w:rsidR="0051678B" w:rsidRPr="006A75EE" w:rsidTr="00044831">
        <w:tc>
          <w:tcPr>
            <w:tcW w:w="58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21</w:t>
            </w:r>
          </w:p>
        </w:tc>
        <w:tc>
          <w:tcPr>
            <w:tcW w:w="972"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所得稅</w:t>
            </w:r>
          </w:p>
        </w:tc>
        <w:tc>
          <w:tcPr>
            <w:tcW w:w="3031" w:type="dxa"/>
          </w:tcPr>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修正電影法第</w:t>
            </w:r>
            <w:r w:rsidRPr="006A75EE">
              <w:rPr>
                <w:rFonts w:ascii="Times New Roman"/>
                <w:sz w:val="24"/>
                <w:szCs w:val="24"/>
              </w:rPr>
              <w:t>7</w:t>
            </w:r>
            <w:r w:rsidRPr="006A75EE">
              <w:rPr>
                <w:rFonts w:ascii="Times New Roman"/>
                <w:sz w:val="24"/>
                <w:szCs w:val="24"/>
              </w:rPr>
              <w:t>條</w:t>
            </w:r>
          </w:p>
          <w:p w:rsidR="0051678B" w:rsidRPr="006A75EE" w:rsidRDefault="0051678B" w:rsidP="00044831">
            <w:pPr>
              <w:kinsoku w:val="0"/>
              <w:spacing w:line="320" w:lineRule="exact"/>
              <w:rPr>
                <w:rFonts w:ascii="Times New Roman"/>
                <w:sz w:val="24"/>
                <w:szCs w:val="24"/>
              </w:rPr>
            </w:pPr>
            <w:r w:rsidRPr="006A75EE">
              <w:rPr>
                <w:rFonts w:ascii="Times New Roman"/>
                <w:sz w:val="24"/>
                <w:szCs w:val="24"/>
              </w:rPr>
              <w:t>增訂原始認股或應募達一定規模從事國產電影片製作之事業因創立或擴充而發行之記名股票，持有期間</w:t>
            </w:r>
            <w:r w:rsidRPr="006A75EE">
              <w:rPr>
                <w:rFonts w:ascii="Times New Roman"/>
                <w:sz w:val="24"/>
                <w:szCs w:val="24"/>
              </w:rPr>
              <w:t>3</w:t>
            </w:r>
            <w:r w:rsidRPr="006A75EE">
              <w:rPr>
                <w:rFonts w:ascii="Times New Roman"/>
                <w:sz w:val="24"/>
                <w:szCs w:val="24"/>
              </w:rPr>
              <w:t>年以上者，得選擇下列方式之</w:t>
            </w:r>
            <w:proofErr w:type="gramStart"/>
            <w:r w:rsidRPr="006A75EE">
              <w:rPr>
                <w:rFonts w:ascii="Times New Roman"/>
                <w:sz w:val="24"/>
                <w:szCs w:val="24"/>
              </w:rPr>
              <w:t>ㄧ</w:t>
            </w:r>
            <w:proofErr w:type="gramEnd"/>
            <w:r w:rsidRPr="006A75EE">
              <w:rPr>
                <w:rFonts w:ascii="Times New Roman"/>
                <w:sz w:val="24"/>
                <w:szCs w:val="24"/>
              </w:rPr>
              <w:t>抵減營所稅：</w:t>
            </w:r>
            <w:r w:rsidRPr="006A75EE">
              <w:rPr>
                <w:rFonts w:ascii="Times New Roman"/>
                <w:sz w:val="24"/>
                <w:szCs w:val="24"/>
              </w:rPr>
              <w:t>(1)</w:t>
            </w:r>
            <w:r w:rsidRPr="006A75EE">
              <w:rPr>
                <w:rFonts w:ascii="Times New Roman"/>
                <w:sz w:val="24"/>
                <w:szCs w:val="24"/>
              </w:rPr>
              <w:t>抵減率</w:t>
            </w:r>
            <w:r w:rsidRPr="006A75EE">
              <w:rPr>
                <w:rFonts w:ascii="Times New Roman"/>
                <w:sz w:val="24"/>
                <w:szCs w:val="24"/>
              </w:rPr>
              <w:t>15%</w:t>
            </w:r>
            <w:r w:rsidRPr="006A75EE">
              <w:rPr>
                <w:rFonts w:ascii="Times New Roman"/>
                <w:sz w:val="24"/>
                <w:szCs w:val="24"/>
              </w:rPr>
              <w:t>；抵減年限</w:t>
            </w:r>
            <w:r w:rsidRPr="006A75EE">
              <w:rPr>
                <w:rFonts w:ascii="Times New Roman"/>
                <w:sz w:val="24"/>
                <w:szCs w:val="24"/>
              </w:rPr>
              <w:t>1</w:t>
            </w:r>
            <w:r w:rsidRPr="006A75EE">
              <w:rPr>
                <w:rFonts w:ascii="Times New Roman"/>
                <w:sz w:val="24"/>
                <w:szCs w:val="24"/>
              </w:rPr>
              <w:t>年，</w:t>
            </w:r>
            <w:r w:rsidRPr="006A75EE">
              <w:rPr>
                <w:rFonts w:ascii="Times New Roman"/>
                <w:sz w:val="24"/>
                <w:szCs w:val="24"/>
              </w:rPr>
              <w:t>(2)</w:t>
            </w:r>
            <w:r w:rsidRPr="006A75EE">
              <w:rPr>
                <w:rFonts w:ascii="Times New Roman"/>
                <w:sz w:val="24"/>
                <w:szCs w:val="24"/>
              </w:rPr>
              <w:t>抵減率</w:t>
            </w:r>
            <w:r w:rsidRPr="006A75EE">
              <w:rPr>
                <w:rFonts w:ascii="Times New Roman"/>
                <w:sz w:val="24"/>
                <w:szCs w:val="24"/>
              </w:rPr>
              <w:t>10%</w:t>
            </w:r>
            <w:r w:rsidRPr="006A75EE">
              <w:rPr>
                <w:rFonts w:ascii="Times New Roman"/>
                <w:sz w:val="24"/>
                <w:szCs w:val="24"/>
              </w:rPr>
              <w:t>，抵減年限</w:t>
            </w:r>
            <w:r w:rsidRPr="006A75EE">
              <w:rPr>
                <w:rFonts w:ascii="Times New Roman"/>
                <w:sz w:val="24"/>
                <w:szCs w:val="24"/>
              </w:rPr>
              <w:t>3</w:t>
            </w:r>
            <w:r w:rsidRPr="006A75EE">
              <w:rPr>
                <w:rFonts w:ascii="Times New Roman"/>
                <w:sz w:val="24"/>
                <w:szCs w:val="24"/>
              </w:rPr>
              <w:t>年。</w:t>
            </w:r>
          </w:p>
        </w:tc>
        <w:tc>
          <w:tcPr>
            <w:tcW w:w="112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sz w:val="24"/>
                <w:szCs w:val="24"/>
              </w:rPr>
              <w:t>104.6.10</w:t>
            </w:r>
          </w:p>
        </w:tc>
        <w:tc>
          <w:tcPr>
            <w:tcW w:w="3193"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依文化</w:t>
            </w:r>
            <w:proofErr w:type="gramStart"/>
            <w:r w:rsidRPr="006A75EE">
              <w:rPr>
                <w:rFonts w:ascii="Times New Roman" w:hint="eastAsia"/>
                <w:sz w:val="24"/>
                <w:szCs w:val="24"/>
              </w:rPr>
              <w:t>部所提稅式</w:t>
            </w:r>
            <w:proofErr w:type="gramEnd"/>
            <w:r w:rsidRPr="006A75EE">
              <w:rPr>
                <w:rFonts w:ascii="Times New Roman" w:hint="eastAsia"/>
                <w:sz w:val="24"/>
                <w:szCs w:val="24"/>
              </w:rPr>
              <w:t>支出報告，尚無稅收損失。</w:t>
            </w:r>
          </w:p>
        </w:tc>
        <w:tc>
          <w:tcPr>
            <w:tcW w:w="1068"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0</w:t>
            </w:r>
          </w:p>
        </w:tc>
        <w:tc>
          <w:tcPr>
            <w:tcW w:w="855"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0</w:t>
            </w:r>
          </w:p>
        </w:tc>
        <w:tc>
          <w:tcPr>
            <w:tcW w:w="996"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0</w:t>
            </w:r>
          </w:p>
        </w:tc>
        <w:tc>
          <w:tcPr>
            <w:tcW w:w="860" w:type="dxa"/>
          </w:tcPr>
          <w:p w:rsidR="0051678B" w:rsidRPr="006A75EE" w:rsidRDefault="0051678B" w:rsidP="00044831">
            <w:pPr>
              <w:kinsoku w:val="0"/>
              <w:spacing w:line="320" w:lineRule="exact"/>
              <w:jc w:val="center"/>
              <w:rPr>
                <w:rFonts w:ascii="Times New Roman"/>
                <w:sz w:val="24"/>
                <w:szCs w:val="24"/>
              </w:rPr>
            </w:pPr>
            <w:r w:rsidRPr="006A75EE">
              <w:rPr>
                <w:rFonts w:ascii="Times New Roman" w:hint="eastAsia"/>
                <w:sz w:val="24"/>
                <w:szCs w:val="24"/>
              </w:rPr>
              <w:t>0</w:t>
            </w:r>
          </w:p>
        </w:tc>
        <w:tc>
          <w:tcPr>
            <w:tcW w:w="2824" w:type="dxa"/>
          </w:tcPr>
          <w:p w:rsidR="0051678B" w:rsidRPr="006A75EE" w:rsidRDefault="0051678B" w:rsidP="00044831">
            <w:pPr>
              <w:kinsoku w:val="0"/>
              <w:spacing w:line="320" w:lineRule="exact"/>
              <w:rPr>
                <w:rFonts w:ascii="Times New Roman"/>
                <w:sz w:val="24"/>
                <w:szCs w:val="24"/>
              </w:rPr>
            </w:pPr>
            <w:r w:rsidRPr="006A75EE">
              <w:rPr>
                <w:rFonts w:ascii="Times New Roman" w:hint="eastAsia"/>
                <w:sz w:val="24"/>
                <w:szCs w:val="24"/>
              </w:rPr>
              <w:t>財政部建議洽詢文化部。</w:t>
            </w:r>
          </w:p>
        </w:tc>
      </w:tr>
    </w:tbl>
    <w:p w:rsidR="0051678B" w:rsidRPr="006A75EE" w:rsidRDefault="0051678B" w:rsidP="00FF7DB4">
      <w:pPr>
        <w:pStyle w:val="af1"/>
        <w:kinsoku/>
        <w:autoSpaceDE w:val="0"/>
        <w:ind w:left="780" w:hanging="780"/>
        <w:rPr>
          <w:bCs/>
        </w:rPr>
      </w:pPr>
      <w:r w:rsidRPr="006A75EE">
        <w:rPr>
          <w:rFonts w:hAnsi="標楷體" w:cs="標楷體" w:hint="eastAsia"/>
          <w:sz w:val="24"/>
          <w:szCs w:val="24"/>
        </w:rPr>
        <w:t>資料來源：財政部</w:t>
      </w:r>
    </w:p>
    <w:p w:rsidR="0051678B" w:rsidRPr="006A75EE" w:rsidRDefault="0051678B" w:rsidP="00FF7DB4">
      <w:pPr>
        <w:pStyle w:val="af1"/>
        <w:kinsoku/>
        <w:autoSpaceDE w:val="0"/>
        <w:ind w:left="1020" w:hanging="1020"/>
        <w:rPr>
          <w:bCs/>
        </w:rPr>
      </w:pPr>
      <w:r w:rsidRPr="006A75EE">
        <w:rPr>
          <w:bCs/>
        </w:rPr>
        <w:br w:type="page"/>
      </w:r>
    </w:p>
    <w:bookmarkEnd w:id="313"/>
    <w:p w:rsidR="00FF7DB4" w:rsidRPr="006A75EE" w:rsidRDefault="00FF7DB4" w:rsidP="00FF7DB4">
      <w:pPr>
        <w:pStyle w:val="af8"/>
        <w:numPr>
          <w:ilvl w:val="0"/>
          <w:numId w:val="22"/>
        </w:numPr>
        <w:spacing w:line="200" w:lineRule="exact"/>
        <w:ind w:leftChars="0" w:left="426" w:hanging="426"/>
        <w:rPr>
          <w:rFonts w:hAnsi="標楷體"/>
          <w:sz w:val="20"/>
        </w:rPr>
        <w:sectPr w:rsidR="00FF7DB4" w:rsidRPr="006A75EE" w:rsidSect="00044831">
          <w:pgSz w:w="16840" w:h="11907" w:orient="landscape" w:code="9"/>
          <w:pgMar w:top="720" w:right="720" w:bottom="720" w:left="720" w:header="851" w:footer="851" w:gutter="227"/>
          <w:cols w:space="425"/>
          <w:docGrid w:type="linesAndChars" w:linePitch="457" w:charSpace="4127"/>
        </w:sectPr>
      </w:pPr>
    </w:p>
    <w:p w:rsidR="00FF7DB4" w:rsidRPr="006A75EE" w:rsidRDefault="0051678B" w:rsidP="0051678B">
      <w:pPr>
        <w:pStyle w:val="a1"/>
        <w:numPr>
          <w:ilvl w:val="0"/>
          <w:numId w:val="0"/>
        </w:numPr>
        <w:ind w:left="1418" w:hanging="1418"/>
        <w:rPr>
          <w:rFonts w:hAnsi="標楷體"/>
          <w:sz w:val="24"/>
          <w:szCs w:val="24"/>
        </w:rPr>
      </w:pPr>
      <w:bookmarkStart w:id="314" w:name="_Toc449101423"/>
      <w:bookmarkStart w:id="315" w:name="_Toc451364093"/>
      <w:bookmarkStart w:id="316" w:name="_Toc453158916"/>
      <w:bookmarkStart w:id="317" w:name="_Toc455056263"/>
      <w:r>
        <w:rPr>
          <w:rFonts w:hint="eastAsia"/>
          <w:bCs/>
        </w:rPr>
        <w:lastRenderedPageBreak/>
        <w:t>附表十一、</w:t>
      </w:r>
      <w:r w:rsidRPr="006A75EE">
        <w:rPr>
          <w:rFonts w:hint="eastAsia"/>
          <w:bCs/>
        </w:rPr>
        <w:t>近10年依據特別條例而排除於公共債務計算基礎之特別預算及其法令依據</w:t>
      </w:r>
      <w:bookmarkEnd w:id="314"/>
      <w:bookmarkEnd w:id="315"/>
      <w:bookmarkEnd w:id="316"/>
      <w:bookmarkEnd w:id="317"/>
    </w:p>
    <w:p w:rsidR="00FF7DB4" w:rsidRPr="006A75EE" w:rsidRDefault="00FF7DB4" w:rsidP="00FF7DB4">
      <w:pPr>
        <w:spacing w:line="240" w:lineRule="exact"/>
        <w:jc w:val="right"/>
        <w:rPr>
          <w:rFonts w:hAnsi="標楷體"/>
          <w:sz w:val="24"/>
          <w:szCs w:val="24"/>
        </w:rPr>
      </w:pPr>
      <w:r w:rsidRPr="006A75EE">
        <w:rPr>
          <w:rFonts w:hAnsi="標楷體"/>
          <w:sz w:val="24"/>
          <w:szCs w:val="24"/>
        </w:rPr>
        <w:t>單位：億元</w:t>
      </w:r>
    </w:p>
    <w:tbl>
      <w:tblPr>
        <w:tblW w:w="10206" w:type="dxa"/>
        <w:tblInd w:w="28" w:type="dxa"/>
        <w:tblLayout w:type="fixed"/>
        <w:tblCellMar>
          <w:left w:w="28" w:type="dxa"/>
          <w:right w:w="28" w:type="dxa"/>
        </w:tblCellMar>
        <w:tblLook w:val="04A0"/>
      </w:tblPr>
      <w:tblGrid>
        <w:gridCol w:w="2127"/>
        <w:gridCol w:w="1417"/>
        <w:gridCol w:w="567"/>
        <w:gridCol w:w="1134"/>
        <w:gridCol w:w="1276"/>
        <w:gridCol w:w="3685"/>
      </w:tblGrid>
      <w:tr w:rsidR="00EA1F96" w:rsidRPr="006A75EE" w:rsidTr="00044831">
        <w:trPr>
          <w:trHeight w:val="340"/>
          <w:tblHeader/>
        </w:trPr>
        <w:tc>
          <w:tcPr>
            <w:tcW w:w="2127"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特別預算名稱</w:t>
            </w:r>
          </w:p>
        </w:tc>
        <w:tc>
          <w:tcPr>
            <w:tcW w:w="8079" w:type="dxa"/>
            <w:gridSpan w:val="5"/>
            <w:tcBorders>
              <w:top w:val="single" w:sz="4" w:space="0" w:color="000000"/>
              <w:left w:val="nil"/>
              <w:bottom w:val="single" w:sz="4" w:space="0" w:color="auto"/>
              <w:right w:val="single" w:sz="4" w:space="0" w:color="000000"/>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法律依據</w:t>
            </w:r>
          </w:p>
        </w:tc>
      </w:tr>
      <w:tr w:rsidR="00EA1F96" w:rsidRPr="006A75EE" w:rsidTr="00044831">
        <w:trPr>
          <w:trHeight w:val="340"/>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條例名稱</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條次</w:t>
            </w:r>
          </w:p>
        </w:tc>
        <w:tc>
          <w:tcPr>
            <w:tcW w:w="2410" w:type="dxa"/>
            <w:gridSpan w:val="2"/>
            <w:tcBorders>
              <w:left w:val="nil"/>
              <w:right w:val="single" w:sz="4" w:space="0" w:color="000000"/>
            </w:tcBorders>
            <w:shd w:val="clear" w:color="auto" w:fill="auto"/>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歲出總額</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規定</w:t>
            </w:r>
          </w:p>
        </w:tc>
      </w:tr>
      <w:tr w:rsidR="00EA1F96" w:rsidRPr="006A75EE" w:rsidTr="00044831">
        <w:trPr>
          <w:trHeight w:val="340"/>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債務之舉借</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624"/>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中央政府95年度擴大公共建設投資計畫特別預算(95年度)</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擴大公共建設投資特別條例</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5</w:t>
            </w: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969.9</w:t>
            </w:r>
          </w:p>
        </w:tc>
        <w:tc>
          <w:tcPr>
            <w:tcW w:w="1276"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789.9</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依本條例支應擴大公共建設投資計畫所需經費上限為5,000億元，以特別預算方式編列，並依總預算籌編及審議方式分年辦理；其預算編製不受預算法第23條不得充經常支出及財政收支劃分法第30條、第37條補助地方事項及經費負擔規定之限制。本條例施行前已核定且執行經費超過30%之重大公共建設計畫繼續經費，不得依本條例提出特別預算。</w:t>
            </w:r>
            <w:r w:rsidRPr="006A75EE">
              <w:rPr>
                <w:rFonts w:hAnsi="標楷體" w:cs="新細明體" w:hint="eastAsia"/>
                <w:kern w:val="0"/>
                <w:sz w:val="20"/>
              </w:rPr>
              <w:br/>
              <w:t>前項所需經費來源，得以舉借債務或出售政府所持有事業股份方式辦理，不受公共債務法第4條第5項有關每年度舉債額度之限制。</w:t>
            </w:r>
            <w:r w:rsidRPr="006A75EE">
              <w:rPr>
                <w:rFonts w:hAnsi="標楷體" w:cs="新細明體" w:hint="eastAsia"/>
                <w:kern w:val="0"/>
                <w:sz w:val="20"/>
              </w:rPr>
              <w:br/>
              <w:t>前項以出售政府所持有事業股份收入為經費來源者，得於出售前，由中央政府債務基金舉借自償性公共債務支應。</w:t>
            </w:r>
          </w:p>
        </w:tc>
      </w:tr>
      <w:tr w:rsidR="00EA1F96" w:rsidRPr="006A75EE" w:rsidTr="00044831">
        <w:trPr>
          <w:trHeight w:val="624"/>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中央政府96年度擴大公共建設投資計畫特別預算(96年度)</w:t>
            </w: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758.9</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758.9</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624"/>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中央政府97年度擴大公共建設投資計畫特別預算(97年度)</w:t>
            </w: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1,300.0</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1,300.0</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10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中央政府易淹水地區水患治理計畫第1期特別預算(95年度至96年度)</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水患治理特別條例</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4</w:t>
            </w: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309.7</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309.7</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依本條例支應解決易淹水地區水患治理計畫所需經費上限為1,160億元，以特別預算方式編列，得分期辦理預算籌編及審議；其預算編製不受財政收支劃分法第30條、第37條補助地方事項及經費負擔規定之限制；其經費使用得在各該機關原列預算範圍內調整支應，不受預算法第62條及第63條規定之限制。</w:t>
            </w:r>
            <w:r w:rsidRPr="006A75EE">
              <w:rPr>
                <w:rFonts w:hAnsi="標楷體" w:cs="新細明體" w:hint="eastAsia"/>
                <w:kern w:val="0"/>
                <w:sz w:val="20"/>
              </w:rPr>
              <w:br/>
              <w:t>前項所需經費來源，其中580億元，得以舉借債務或出售政府所持有事業股份方式辦理，不受公共債務法第4條第5項有關每年度舉債額度之限制。其餘580億元經費，由擴大公共建設投資特別條例特別預算編列支應，其編製程序、支用方法、年限，依本條例辦理，不受擴大公共建設投資特別條例之限制。</w:t>
            </w:r>
          </w:p>
        </w:tc>
      </w:tr>
      <w:tr w:rsidR="00EA1F96" w:rsidRPr="006A75EE" w:rsidTr="00044831">
        <w:trPr>
          <w:trHeight w:val="10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中央政府易淹水地區水患治理計畫第2期特別預算(97年度至99年度)</w:t>
            </w: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445.0</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445.0</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10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中央政府易淹水地區水患治理計畫第3期特別預算(</w:t>
            </w:r>
            <w:proofErr w:type="gramStart"/>
            <w:r w:rsidRPr="006A75EE">
              <w:rPr>
                <w:rFonts w:hAnsi="標楷體" w:cs="新細明體" w:hint="eastAsia"/>
                <w:kern w:val="0"/>
                <w:sz w:val="20"/>
              </w:rPr>
              <w:t>100</w:t>
            </w:r>
            <w:proofErr w:type="gramEnd"/>
            <w:r w:rsidRPr="006A75EE">
              <w:rPr>
                <w:rFonts w:hAnsi="標楷體" w:cs="新細明體" w:hint="eastAsia"/>
                <w:kern w:val="0"/>
                <w:sz w:val="20"/>
              </w:rPr>
              <w:t>年度至</w:t>
            </w:r>
            <w:proofErr w:type="gramStart"/>
            <w:r w:rsidRPr="006A75EE">
              <w:rPr>
                <w:rFonts w:hAnsi="標楷體" w:cs="新細明體" w:hint="eastAsia"/>
                <w:kern w:val="0"/>
                <w:sz w:val="20"/>
              </w:rPr>
              <w:t>102</w:t>
            </w:r>
            <w:proofErr w:type="gramEnd"/>
            <w:r w:rsidRPr="006A75EE">
              <w:rPr>
                <w:rFonts w:hAnsi="標楷體" w:cs="新細明體" w:hint="eastAsia"/>
                <w:kern w:val="0"/>
                <w:sz w:val="20"/>
              </w:rPr>
              <w:t>年度)</w:t>
            </w: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404.6</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404.6</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中央政府石門水庫及其集水區整治計畫第1期特別預算(95年度至97年度)</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石門水庫及其集水區整治特別條例</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4</w:t>
            </w: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139.7</w:t>
            </w:r>
          </w:p>
        </w:tc>
        <w:tc>
          <w:tcPr>
            <w:tcW w:w="1276" w:type="dxa"/>
            <w:tcBorders>
              <w:top w:val="nil"/>
              <w:left w:val="nil"/>
              <w:bottom w:val="nil"/>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103.6</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中央政府依本條例支應前條所需經費上限為250億元，以特別預算方式編列。</w:t>
            </w:r>
            <w:r w:rsidRPr="006A75EE">
              <w:rPr>
                <w:rFonts w:hAnsi="標楷體" w:cs="新細明體" w:hint="eastAsia"/>
                <w:kern w:val="0"/>
                <w:sz w:val="20"/>
              </w:rPr>
              <w:br/>
              <w:t>前項預算編製，不受預算法第23條不得充經常支出使用之限制。</w:t>
            </w:r>
            <w:r w:rsidRPr="006A75EE">
              <w:rPr>
                <w:rFonts w:hAnsi="標楷體" w:cs="新細明體" w:hint="eastAsia"/>
                <w:kern w:val="0"/>
                <w:sz w:val="20"/>
              </w:rPr>
              <w:br/>
              <w:t>第1項經費來源，其中130億元，得以舉借債務或出售政府所持有事業股份方式辦理，不受公共債務法第4條第5項有關每年度舉債額度之限制。其餘120億元經費，由擴大公共建設投資特別條例特別預算編列支應，其編製程序、支用方法、年限，依本條例辦理，不受擴大公共建設投資特別條例之限制。</w:t>
            </w: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中央政府石門水庫及其集水區整治計畫第2期特別預算(98年度至</w:t>
            </w:r>
            <w:proofErr w:type="gramStart"/>
            <w:r w:rsidRPr="006A75EE">
              <w:rPr>
                <w:rFonts w:hAnsi="標楷體" w:cs="新細明體" w:hint="eastAsia"/>
                <w:kern w:val="0"/>
                <w:sz w:val="20"/>
              </w:rPr>
              <w:t>100</w:t>
            </w:r>
            <w:proofErr w:type="gramEnd"/>
            <w:r w:rsidRPr="006A75EE">
              <w:rPr>
                <w:rFonts w:hAnsi="標楷體" w:cs="新細明體" w:hint="eastAsia"/>
                <w:kern w:val="0"/>
                <w:sz w:val="20"/>
              </w:rPr>
              <w:t>年度)</w:t>
            </w:r>
          </w:p>
        </w:tc>
        <w:tc>
          <w:tcPr>
            <w:tcW w:w="141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110.3</w:t>
            </w:r>
          </w:p>
        </w:tc>
        <w:tc>
          <w:tcPr>
            <w:tcW w:w="1276"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110.3</w:t>
            </w:r>
          </w:p>
        </w:tc>
        <w:tc>
          <w:tcPr>
            <w:tcW w:w="3685"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lastRenderedPageBreak/>
              <w:t>中央政府振興經濟消費</w:t>
            </w:r>
            <w:proofErr w:type="gramStart"/>
            <w:r w:rsidRPr="006A75EE">
              <w:rPr>
                <w:rFonts w:hAnsi="標楷體" w:cs="新細明體" w:hint="eastAsia"/>
                <w:kern w:val="0"/>
                <w:sz w:val="20"/>
              </w:rPr>
              <w:t>券</w:t>
            </w:r>
            <w:proofErr w:type="gramEnd"/>
            <w:r w:rsidRPr="006A75EE">
              <w:rPr>
                <w:rFonts w:hAnsi="標楷體" w:cs="新細明體" w:hint="eastAsia"/>
                <w:kern w:val="0"/>
                <w:sz w:val="20"/>
              </w:rPr>
              <w:t>發放特別預算(98年度)</w:t>
            </w:r>
          </w:p>
        </w:tc>
        <w:tc>
          <w:tcPr>
            <w:tcW w:w="141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振興經濟消費</w:t>
            </w:r>
            <w:proofErr w:type="gramStart"/>
            <w:r w:rsidRPr="006A75EE">
              <w:rPr>
                <w:rFonts w:hAnsi="標楷體" w:cs="新細明體" w:hint="eastAsia"/>
                <w:kern w:val="0"/>
                <w:sz w:val="20"/>
              </w:rPr>
              <w:t>券</w:t>
            </w:r>
            <w:proofErr w:type="gramEnd"/>
            <w:r w:rsidRPr="006A75EE">
              <w:rPr>
                <w:rFonts w:hAnsi="標楷體" w:cs="新細明體" w:hint="eastAsia"/>
                <w:kern w:val="0"/>
                <w:sz w:val="20"/>
              </w:rPr>
              <w:t>發放特別條例</w:t>
            </w:r>
          </w:p>
        </w:tc>
        <w:tc>
          <w:tcPr>
            <w:tcW w:w="56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4</w:t>
            </w:r>
          </w:p>
        </w:tc>
        <w:tc>
          <w:tcPr>
            <w:tcW w:w="1134" w:type="dxa"/>
            <w:tcBorders>
              <w:top w:val="nil"/>
              <w:left w:val="single" w:sz="4" w:space="0" w:color="auto"/>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856.5</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856.5</w:t>
            </w:r>
          </w:p>
        </w:tc>
        <w:tc>
          <w:tcPr>
            <w:tcW w:w="3685" w:type="dxa"/>
            <w:tcBorders>
              <w:top w:val="nil"/>
              <w:left w:val="nil"/>
              <w:bottom w:val="single" w:sz="4" w:space="0" w:color="auto"/>
              <w:right w:val="single" w:sz="4" w:space="0" w:color="auto"/>
            </w:tcBorders>
            <w:shd w:val="clear" w:color="auto" w:fill="auto"/>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中央政府依本條例辦理發放消費</w:t>
            </w:r>
            <w:proofErr w:type="gramStart"/>
            <w:r w:rsidRPr="006A75EE">
              <w:rPr>
                <w:rFonts w:hAnsi="標楷體" w:cs="新細明體" w:hint="eastAsia"/>
                <w:kern w:val="0"/>
                <w:sz w:val="20"/>
              </w:rPr>
              <w:t>券</w:t>
            </w:r>
            <w:proofErr w:type="gramEnd"/>
            <w:r w:rsidRPr="006A75EE">
              <w:rPr>
                <w:rFonts w:hAnsi="標楷體" w:cs="新細明體" w:hint="eastAsia"/>
                <w:kern w:val="0"/>
                <w:sz w:val="20"/>
              </w:rPr>
              <w:t>所需經費以特別預算方式編列，預算編製不受預算法第23條不得充經常支出之限制。</w:t>
            </w:r>
            <w:r w:rsidRPr="006A75EE">
              <w:rPr>
                <w:rFonts w:hAnsi="標楷體" w:cs="新細明體" w:hint="eastAsia"/>
                <w:kern w:val="0"/>
                <w:sz w:val="20"/>
              </w:rPr>
              <w:br/>
              <w:t>前項所需經費來源，得以舉借債務方式辦理，不受公共債務法第4條第5項有關每年度舉債額度之限制。</w:t>
            </w: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中央政府振興經濟擴大公共建設特別預算(98年度)</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振興經濟擴大公共建設特別條例</w:t>
            </w:r>
          </w:p>
        </w:tc>
        <w:tc>
          <w:tcPr>
            <w:tcW w:w="567" w:type="dxa"/>
            <w:vMerge w:val="restart"/>
            <w:tcBorders>
              <w:top w:val="nil"/>
              <w:left w:val="single" w:sz="4" w:space="0" w:color="auto"/>
              <w:bottom w:val="nil"/>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5</w:t>
            </w: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1,491.6</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1,491.6</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本條例所需經費上限為5,000億元，以特別預算方式編列，並依總預算籌編及審議方式分年辦理；其預算編製不受預算法第23條不得充經常支出及財政收支劃分法第30條、第37條補助地方事項及經費負擔規定之限制，及不受地方制度法第76條代行程序及經費負擔之限制。</w:t>
            </w:r>
            <w:r w:rsidRPr="006A75EE">
              <w:rPr>
                <w:rFonts w:hAnsi="標楷體" w:cs="新細明體" w:hint="eastAsia"/>
                <w:kern w:val="0"/>
                <w:sz w:val="20"/>
              </w:rPr>
              <w:br w:type="page"/>
              <w:t>前項所需經費來源，得以舉借債務方式辦理，不受公共債務法第4條第5項有關每年度舉債額度之限制。</w:t>
            </w: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中央政府振興經濟擴大公共建設特別預算(99年度)</w:t>
            </w:r>
          </w:p>
        </w:tc>
        <w:tc>
          <w:tcPr>
            <w:tcW w:w="1417" w:type="dxa"/>
            <w:vMerge/>
            <w:tcBorders>
              <w:top w:val="nil"/>
              <w:left w:val="single" w:sz="4" w:space="0" w:color="auto"/>
              <w:bottom w:val="single" w:sz="4" w:space="0" w:color="auto"/>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nil"/>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1,910.9</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1,910.9</w:t>
            </w:r>
          </w:p>
        </w:tc>
        <w:tc>
          <w:tcPr>
            <w:tcW w:w="3685" w:type="dxa"/>
            <w:vMerge/>
            <w:tcBorders>
              <w:top w:val="nil"/>
              <w:left w:val="single" w:sz="4" w:space="0" w:color="auto"/>
              <w:bottom w:val="single" w:sz="4" w:space="0" w:color="auto"/>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260"/>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中央政府振興經濟擴大公共建設特別預算(</w:t>
            </w:r>
            <w:proofErr w:type="gramStart"/>
            <w:r w:rsidRPr="006A75EE">
              <w:rPr>
                <w:rFonts w:hAnsi="標楷體" w:cs="新細明體" w:hint="eastAsia"/>
                <w:kern w:val="0"/>
                <w:sz w:val="20"/>
              </w:rPr>
              <w:t>100</w:t>
            </w:r>
            <w:proofErr w:type="gramEnd"/>
            <w:r w:rsidRPr="006A75EE">
              <w:rPr>
                <w:rFonts w:hAnsi="標楷體" w:cs="新細明體" w:hint="eastAsia"/>
                <w:kern w:val="0"/>
                <w:sz w:val="20"/>
              </w:rPr>
              <w:t>年度)</w:t>
            </w:r>
          </w:p>
        </w:tc>
        <w:tc>
          <w:tcPr>
            <w:tcW w:w="1417" w:type="dxa"/>
            <w:vMerge/>
            <w:tcBorders>
              <w:top w:val="nil"/>
              <w:left w:val="single" w:sz="4" w:space="0" w:color="auto"/>
              <w:bottom w:val="single" w:sz="4" w:space="0" w:color="auto"/>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567" w:type="dxa"/>
            <w:vMerge/>
            <w:tcBorders>
              <w:top w:val="nil"/>
              <w:left w:val="single" w:sz="4" w:space="0" w:color="auto"/>
              <w:bottom w:val="nil"/>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1,589.4</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1,589.4</w:t>
            </w:r>
          </w:p>
        </w:tc>
        <w:tc>
          <w:tcPr>
            <w:tcW w:w="3685" w:type="dxa"/>
            <w:vMerge/>
            <w:tcBorders>
              <w:top w:val="nil"/>
              <w:left w:val="single" w:sz="4" w:space="0" w:color="auto"/>
              <w:bottom w:val="single" w:sz="4" w:space="0" w:color="auto"/>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r>
      <w:tr w:rsidR="00EA1F96" w:rsidRPr="006A75EE" w:rsidTr="00044831">
        <w:trPr>
          <w:trHeight w:val="20"/>
        </w:trPr>
        <w:tc>
          <w:tcPr>
            <w:tcW w:w="2127" w:type="dxa"/>
            <w:vMerge/>
            <w:tcBorders>
              <w:top w:val="nil"/>
              <w:left w:val="single" w:sz="4" w:space="0" w:color="auto"/>
              <w:bottom w:val="single" w:sz="4" w:space="0" w:color="000000"/>
              <w:right w:val="single" w:sz="4" w:space="0" w:color="auto"/>
            </w:tcBorders>
            <w:vAlign w:val="center"/>
            <w:hideMark/>
          </w:tcPr>
          <w:p w:rsidR="00FF7DB4" w:rsidRPr="006A75EE" w:rsidRDefault="00FF7DB4" w:rsidP="00044831">
            <w:pPr>
              <w:widowControl/>
              <w:overflowPunct/>
              <w:autoSpaceDE/>
              <w:autoSpaceDN/>
              <w:jc w:val="left"/>
              <w:rPr>
                <w:rFonts w:hAnsi="標楷體" w:cs="新細明體"/>
                <w:kern w:val="0"/>
                <w:sz w:val="20"/>
              </w:rPr>
            </w:pPr>
          </w:p>
        </w:tc>
        <w:tc>
          <w:tcPr>
            <w:tcW w:w="1417" w:type="dxa"/>
            <w:tcBorders>
              <w:top w:val="nil"/>
              <w:left w:val="nil"/>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曾文南化烏山頭水庫治理及穩定南部地區供水特別條例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5</w:t>
            </w:r>
          </w:p>
        </w:tc>
        <w:tc>
          <w:tcPr>
            <w:tcW w:w="1134" w:type="dxa"/>
            <w:vMerge/>
            <w:tcBorders>
              <w:top w:val="nil"/>
              <w:left w:val="single" w:sz="4" w:space="0" w:color="auto"/>
              <w:bottom w:val="single" w:sz="4" w:space="0" w:color="000000"/>
              <w:right w:val="single" w:sz="4" w:space="0" w:color="auto"/>
            </w:tcBorders>
            <w:vAlign w:val="center"/>
          </w:tcPr>
          <w:p w:rsidR="00FF7DB4" w:rsidRPr="006A75EE" w:rsidRDefault="00FF7DB4" w:rsidP="00044831">
            <w:pPr>
              <w:widowControl/>
              <w:overflowPunct/>
              <w:autoSpaceDE/>
              <w:autoSpaceDN/>
              <w:jc w:val="left"/>
              <w:rPr>
                <w:rFonts w:hAnsi="標楷體" w:cs="新細明體"/>
                <w:kern w:val="0"/>
                <w:sz w:val="20"/>
              </w:rPr>
            </w:pPr>
          </w:p>
        </w:tc>
        <w:tc>
          <w:tcPr>
            <w:tcW w:w="1276" w:type="dxa"/>
            <w:vMerge/>
            <w:tcBorders>
              <w:top w:val="nil"/>
              <w:left w:val="single" w:sz="4" w:space="0" w:color="auto"/>
              <w:bottom w:val="single" w:sz="4" w:space="0" w:color="000000"/>
              <w:right w:val="single" w:sz="4" w:space="0" w:color="auto"/>
            </w:tcBorders>
            <w:vAlign w:val="center"/>
          </w:tcPr>
          <w:p w:rsidR="00FF7DB4" w:rsidRPr="006A75EE" w:rsidRDefault="00FF7DB4" w:rsidP="00044831">
            <w:pPr>
              <w:widowControl/>
              <w:overflowPunct/>
              <w:autoSpaceDE/>
              <w:autoSpaceDN/>
              <w:jc w:val="left"/>
              <w:rPr>
                <w:rFonts w:hAnsi="標楷體" w:cs="新細明體"/>
                <w:kern w:val="0"/>
                <w:sz w:val="20"/>
              </w:rPr>
            </w:pPr>
          </w:p>
        </w:tc>
        <w:tc>
          <w:tcPr>
            <w:tcW w:w="3685" w:type="dxa"/>
            <w:tcBorders>
              <w:top w:val="nil"/>
              <w:left w:val="nil"/>
              <w:bottom w:val="single" w:sz="4" w:space="0" w:color="auto"/>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中央政府辦理本條例各項計畫所需經費以540億元為原則，依下列原則辦理：</w:t>
            </w:r>
            <w:r w:rsidRPr="006A75EE">
              <w:rPr>
                <w:rFonts w:hAnsi="標楷體" w:cs="新細明體" w:hint="eastAsia"/>
                <w:kern w:val="0"/>
                <w:sz w:val="20"/>
              </w:rPr>
              <w:br/>
              <w:t>一、由振興經濟擴大公共建設特別預算編列285億元，其中265億元撥充水資源作業基金，支應經濟部水利署辦理本條例各項計畫所需，其餘20億元支應行政院農業委員會辦理集水區保育計畫，前述</w:t>
            </w:r>
            <w:proofErr w:type="gramStart"/>
            <w:r w:rsidRPr="006A75EE">
              <w:rPr>
                <w:rFonts w:hAnsi="標楷體" w:cs="新細明體" w:hint="eastAsia"/>
                <w:kern w:val="0"/>
                <w:sz w:val="20"/>
              </w:rPr>
              <w:t>2項均不受</w:t>
            </w:r>
            <w:proofErr w:type="gramEnd"/>
            <w:r w:rsidRPr="006A75EE">
              <w:rPr>
                <w:rFonts w:hAnsi="標楷體" w:cs="新細明體" w:hint="eastAsia"/>
                <w:kern w:val="0"/>
                <w:sz w:val="20"/>
              </w:rPr>
              <w:t>振興經濟擴大公共建設特別條例支用方法、年限規定之限制及水利法第89條之1用途規定之限制。</w:t>
            </w:r>
            <w:r w:rsidRPr="006A75EE">
              <w:rPr>
                <w:rFonts w:hAnsi="標楷體" w:cs="新細明體" w:hint="eastAsia"/>
                <w:kern w:val="0"/>
                <w:sz w:val="20"/>
              </w:rPr>
              <w:br/>
              <w:t>二、由水資源作業基金支應100億元。</w:t>
            </w:r>
            <w:r w:rsidRPr="006A75EE">
              <w:rPr>
                <w:rFonts w:hAnsi="標楷體" w:cs="新細明體" w:hint="eastAsia"/>
                <w:kern w:val="0"/>
                <w:sz w:val="20"/>
              </w:rPr>
              <w:br/>
              <w:t>三、其餘所需經費由各中央執行機關及臺灣自來水股份有限公司原預算支應，</w:t>
            </w:r>
            <w:proofErr w:type="gramStart"/>
            <w:r w:rsidRPr="006A75EE">
              <w:rPr>
                <w:rFonts w:hAnsi="標楷體" w:cs="新細明體" w:hint="eastAsia"/>
                <w:kern w:val="0"/>
                <w:sz w:val="20"/>
              </w:rPr>
              <w:t>不敷時由</w:t>
            </w:r>
            <w:proofErr w:type="gramEnd"/>
            <w:r w:rsidRPr="006A75EE">
              <w:rPr>
                <w:rFonts w:hAnsi="標楷體" w:cs="新細明體" w:hint="eastAsia"/>
                <w:kern w:val="0"/>
                <w:sz w:val="20"/>
              </w:rPr>
              <w:t>總預算、相關基金或特別預算範圍內，本移緩濟急原則優先支應，不受預算法第23條、第62條及第63條規定之限制。</w:t>
            </w:r>
            <w:r w:rsidRPr="006A75EE">
              <w:rPr>
                <w:rFonts w:hAnsi="標楷體" w:cs="新細明體" w:hint="eastAsia"/>
                <w:kern w:val="0"/>
                <w:sz w:val="20"/>
              </w:rPr>
              <w:br/>
              <w:t>四、本條例施行期限屆滿後，未完成計畫部分所需經費，應循年度總預算辦理。</w:t>
            </w:r>
            <w:r w:rsidRPr="006A75EE">
              <w:rPr>
                <w:rFonts w:hAnsi="標楷體" w:cs="新細明體" w:hint="eastAsia"/>
                <w:kern w:val="0"/>
                <w:sz w:val="20"/>
              </w:rPr>
              <w:br/>
              <w:t>前項所編製特別預算不受財政收支劃分法第30條、第37條補助地方事項及經費負擔規定之限制，亦不受地方制度法第76條代行處理程序及經費負擔規定之限制。</w:t>
            </w: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proofErr w:type="gramStart"/>
            <w:r w:rsidRPr="006A75EE">
              <w:rPr>
                <w:rFonts w:hAnsi="標楷體" w:cs="新細明體" w:hint="eastAsia"/>
                <w:kern w:val="0"/>
                <w:sz w:val="20"/>
              </w:rPr>
              <w:t>中央政府莫拉克</w:t>
            </w:r>
            <w:proofErr w:type="gramEnd"/>
            <w:r w:rsidRPr="006A75EE">
              <w:rPr>
                <w:rFonts w:hAnsi="標楷體" w:cs="新細明體" w:hint="eastAsia"/>
                <w:kern w:val="0"/>
                <w:sz w:val="20"/>
              </w:rPr>
              <w:t>颱風災後重建特別預算(98年度至</w:t>
            </w:r>
            <w:proofErr w:type="gramStart"/>
            <w:r w:rsidRPr="006A75EE">
              <w:rPr>
                <w:rFonts w:hAnsi="標楷體" w:cs="新細明體" w:hint="eastAsia"/>
                <w:kern w:val="0"/>
                <w:sz w:val="20"/>
              </w:rPr>
              <w:t>101</w:t>
            </w:r>
            <w:proofErr w:type="gramEnd"/>
            <w:r w:rsidRPr="006A75EE">
              <w:rPr>
                <w:rFonts w:hAnsi="標楷體" w:cs="新細明體" w:hint="eastAsia"/>
                <w:kern w:val="0"/>
                <w:sz w:val="20"/>
              </w:rPr>
              <w:t>年度)</w:t>
            </w:r>
          </w:p>
        </w:tc>
        <w:tc>
          <w:tcPr>
            <w:tcW w:w="141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proofErr w:type="gramStart"/>
            <w:r w:rsidRPr="006A75EE">
              <w:rPr>
                <w:rFonts w:hAnsi="標楷體" w:cs="新細明體" w:hint="eastAsia"/>
                <w:kern w:val="0"/>
                <w:sz w:val="20"/>
              </w:rPr>
              <w:t>莫拉克</w:t>
            </w:r>
            <w:proofErr w:type="gramEnd"/>
            <w:r w:rsidRPr="006A75EE">
              <w:rPr>
                <w:rFonts w:hAnsi="標楷體" w:cs="新細明體" w:hint="eastAsia"/>
                <w:kern w:val="0"/>
                <w:sz w:val="20"/>
              </w:rPr>
              <w:t>颱風災後重建特別條例</w:t>
            </w:r>
          </w:p>
        </w:tc>
        <w:tc>
          <w:tcPr>
            <w:tcW w:w="56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1,165.1</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1,164.8</w:t>
            </w:r>
          </w:p>
        </w:tc>
        <w:tc>
          <w:tcPr>
            <w:tcW w:w="3685" w:type="dxa"/>
            <w:tcBorders>
              <w:top w:val="nil"/>
              <w:left w:val="nil"/>
              <w:bottom w:val="single" w:sz="4" w:space="0" w:color="auto"/>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中央政府為辦理本條例及災害防救法規定事項所需經費來源，應依下列原則辦理：</w:t>
            </w:r>
            <w:r w:rsidRPr="006A75EE">
              <w:rPr>
                <w:rFonts w:hAnsi="標楷體" w:cs="新細明體" w:hint="eastAsia"/>
                <w:kern w:val="0"/>
                <w:sz w:val="20"/>
              </w:rPr>
              <w:br/>
              <w:t>一、各機關應於總預算範圍內，本移緩濟急原則優先調整支應災民救助、緊急搶救及復建工作等各項支出，不受預算法第62條及第63條規定之限制。</w:t>
            </w:r>
            <w:r w:rsidRPr="006A75EE">
              <w:rPr>
                <w:rFonts w:hAnsi="標楷體" w:cs="新細明體" w:hint="eastAsia"/>
                <w:kern w:val="0"/>
                <w:sz w:val="20"/>
              </w:rPr>
              <w:br/>
              <w:t>二、在1,200億元限額內，以特別預</w:t>
            </w:r>
            <w:r w:rsidRPr="006A75EE">
              <w:rPr>
                <w:rFonts w:hAnsi="標楷體" w:cs="新細明體" w:hint="eastAsia"/>
                <w:kern w:val="0"/>
                <w:sz w:val="20"/>
              </w:rPr>
              <w:lastRenderedPageBreak/>
              <w:t>算方式編列；所需經費來源，得以舉借債務方式辦理，不受公共債務法第4條第5項有關每年度舉債額度之限制。</w:t>
            </w:r>
            <w:r w:rsidRPr="006A75EE">
              <w:rPr>
                <w:rFonts w:hAnsi="標楷體" w:cs="新細明體" w:hint="eastAsia"/>
                <w:kern w:val="0"/>
                <w:sz w:val="20"/>
              </w:rPr>
              <w:br/>
              <w:t>三、本條例施行期間屆滿，未完成計畫部分所需經費，應循年度總預算辦理。</w:t>
            </w:r>
            <w:r w:rsidRPr="006A75EE">
              <w:rPr>
                <w:rFonts w:hAnsi="標楷體" w:cs="新細明體" w:hint="eastAsia"/>
                <w:kern w:val="0"/>
                <w:sz w:val="20"/>
              </w:rPr>
              <w:br/>
              <w:t>依前項第2款所編製特別預算不受預算法第23條不得充經常支出與財政收支劃分法第30條、第37條補助地方事項及經費負擔規定之限制，亦不受地方制度法第76條代行處理程序及經費負擔規定之限制。</w:t>
            </w:r>
          </w:p>
        </w:tc>
      </w:tr>
      <w:tr w:rsidR="00EA1F96" w:rsidRPr="006A75EE" w:rsidTr="00044831">
        <w:trPr>
          <w:trHeight w:val="20"/>
        </w:trPr>
        <w:tc>
          <w:tcPr>
            <w:tcW w:w="2127" w:type="dxa"/>
            <w:tcBorders>
              <w:top w:val="nil"/>
              <w:left w:val="single" w:sz="4" w:space="0" w:color="auto"/>
              <w:bottom w:val="single" w:sz="4" w:space="0" w:color="auto"/>
              <w:right w:val="nil"/>
            </w:tcBorders>
            <w:shd w:val="clear" w:color="auto" w:fill="auto"/>
            <w:noWrap/>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lastRenderedPageBreak/>
              <w:t>中央政府流域綜合治理計畫第1期特別預算(</w:t>
            </w:r>
            <w:proofErr w:type="gramStart"/>
            <w:r w:rsidRPr="006A75EE">
              <w:rPr>
                <w:rFonts w:hAnsi="標楷體" w:cs="新細明體" w:hint="eastAsia"/>
                <w:kern w:val="0"/>
                <w:sz w:val="20"/>
              </w:rPr>
              <w:t>103</w:t>
            </w:r>
            <w:proofErr w:type="gramEnd"/>
            <w:r w:rsidRPr="006A75EE">
              <w:rPr>
                <w:rFonts w:hAnsi="標楷體" w:cs="新細明體" w:hint="eastAsia"/>
                <w:kern w:val="0"/>
                <w:sz w:val="20"/>
              </w:rPr>
              <w:t>年度至</w:t>
            </w:r>
            <w:proofErr w:type="gramStart"/>
            <w:r w:rsidRPr="006A75EE">
              <w:rPr>
                <w:rFonts w:hAnsi="標楷體" w:cs="新細明體" w:hint="eastAsia"/>
                <w:kern w:val="0"/>
                <w:sz w:val="20"/>
              </w:rPr>
              <w:t>104</w:t>
            </w:r>
            <w:proofErr w:type="gramEnd"/>
            <w:r w:rsidRPr="006A75EE">
              <w:rPr>
                <w:rFonts w:hAnsi="標楷體" w:cs="新細明體" w:hint="eastAsia"/>
                <w:kern w:val="0"/>
                <w:sz w:val="20"/>
              </w:rPr>
              <w:t>年度)</w:t>
            </w:r>
          </w:p>
        </w:tc>
        <w:tc>
          <w:tcPr>
            <w:tcW w:w="1417" w:type="dxa"/>
            <w:vMerge w:val="restart"/>
            <w:tcBorders>
              <w:top w:val="nil"/>
              <w:left w:val="single" w:sz="4" w:space="0" w:color="auto"/>
              <w:right w:val="single" w:sz="4" w:space="0" w:color="auto"/>
            </w:tcBorders>
            <w:shd w:val="clear" w:color="auto" w:fill="auto"/>
            <w:vAlign w:val="center"/>
            <w:hideMark/>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流域綜合治理特別條例</w:t>
            </w:r>
          </w:p>
        </w:tc>
        <w:tc>
          <w:tcPr>
            <w:tcW w:w="567" w:type="dxa"/>
            <w:vMerge w:val="restart"/>
            <w:tcBorders>
              <w:top w:val="nil"/>
              <w:left w:val="nil"/>
              <w:right w:val="single" w:sz="4" w:space="0" w:color="auto"/>
            </w:tcBorders>
            <w:shd w:val="clear" w:color="auto" w:fill="auto"/>
            <w:vAlign w:val="center"/>
            <w:hideMark/>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5</w:t>
            </w:r>
          </w:p>
        </w:tc>
        <w:tc>
          <w:tcPr>
            <w:tcW w:w="1134"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126.5</w:t>
            </w:r>
          </w:p>
        </w:tc>
        <w:tc>
          <w:tcPr>
            <w:tcW w:w="1276" w:type="dxa"/>
            <w:tcBorders>
              <w:top w:val="nil"/>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cs="新細明體"/>
                <w:sz w:val="20"/>
              </w:rPr>
            </w:pPr>
            <w:r w:rsidRPr="006A75EE">
              <w:rPr>
                <w:rFonts w:hAnsi="標楷體" w:hint="eastAsia"/>
                <w:sz w:val="20"/>
              </w:rPr>
              <w:t>126.5</w:t>
            </w:r>
          </w:p>
        </w:tc>
        <w:tc>
          <w:tcPr>
            <w:tcW w:w="3685" w:type="dxa"/>
            <w:vMerge w:val="restart"/>
            <w:tcBorders>
              <w:top w:val="nil"/>
              <w:left w:val="nil"/>
              <w:right w:val="single" w:sz="4" w:space="0" w:color="auto"/>
            </w:tcBorders>
            <w:shd w:val="clear" w:color="auto" w:fill="auto"/>
            <w:vAlign w:val="center"/>
            <w:hideMark/>
          </w:tcPr>
          <w:p w:rsidR="00FF7DB4" w:rsidRPr="006A75EE" w:rsidRDefault="00FF7DB4" w:rsidP="00617358">
            <w:pPr>
              <w:widowControl/>
              <w:overflowPunct/>
              <w:autoSpaceDE/>
              <w:autoSpaceDN/>
              <w:rPr>
                <w:rFonts w:hAnsi="標楷體" w:cs="新細明體"/>
                <w:kern w:val="0"/>
                <w:sz w:val="20"/>
              </w:rPr>
            </w:pPr>
            <w:r w:rsidRPr="006A75EE">
              <w:rPr>
                <w:rFonts w:hAnsi="標楷體" w:cs="新細明體" w:hint="eastAsia"/>
                <w:kern w:val="0"/>
                <w:sz w:val="20"/>
              </w:rPr>
              <w:t>中央政府依本條例支應改善適用範圍內流域綜合治理計畫所需經費上限為660億元，以特別預算方式編列，得分期辦理預算籌編及審議。</w:t>
            </w:r>
            <w:r w:rsidRPr="006A75EE">
              <w:rPr>
                <w:rFonts w:hAnsi="標楷體" w:cs="新細明體" w:hint="eastAsia"/>
                <w:kern w:val="0"/>
                <w:sz w:val="20"/>
              </w:rPr>
              <w:br w:type="page"/>
              <w:t>前項所需經費來源，得以舉借債務或出售政府所持有事業股份方式辦理，不受公共債務法第5條第7項有關每年度舉債額度規定之限制；其預算編製不受財政收支劃分法第30條、第37條補助地方事項及經費負擔規定之限制；其經費使用得在各該機關原列預算範圍內調整支應，不受預算法第62條及第63條規定之限制。</w:t>
            </w:r>
          </w:p>
        </w:tc>
      </w:tr>
      <w:tr w:rsidR="00EA1F96" w:rsidRPr="006A75EE" w:rsidTr="00044831">
        <w:trPr>
          <w:trHeight w:val="20"/>
        </w:trPr>
        <w:tc>
          <w:tcPr>
            <w:tcW w:w="2127" w:type="dxa"/>
            <w:tcBorders>
              <w:top w:val="single" w:sz="4" w:space="0" w:color="auto"/>
              <w:left w:val="single" w:sz="4" w:space="0" w:color="auto"/>
              <w:bottom w:val="single" w:sz="4" w:space="0" w:color="auto"/>
              <w:right w:val="nil"/>
            </w:tcBorders>
            <w:shd w:val="clear" w:color="auto" w:fill="auto"/>
            <w:noWrap/>
            <w:vAlign w:val="center"/>
          </w:tcPr>
          <w:p w:rsidR="00FF7DB4" w:rsidRPr="006A75EE" w:rsidRDefault="00FF7DB4" w:rsidP="00044831">
            <w:pPr>
              <w:widowControl/>
              <w:overflowPunct/>
              <w:autoSpaceDE/>
              <w:autoSpaceDN/>
              <w:rPr>
                <w:rFonts w:hAnsi="標楷體" w:cs="新細明體"/>
                <w:kern w:val="0"/>
                <w:sz w:val="20"/>
              </w:rPr>
            </w:pPr>
            <w:r w:rsidRPr="006A75EE">
              <w:rPr>
                <w:rFonts w:hAnsi="標楷體" w:cs="新細明體" w:hint="eastAsia"/>
                <w:kern w:val="0"/>
                <w:sz w:val="20"/>
              </w:rPr>
              <w:t>中央政府流域綜合治理計畫第2期特別預算(</w:t>
            </w:r>
            <w:proofErr w:type="gramStart"/>
            <w:r w:rsidRPr="006A75EE">
              <w:rPr>
                <w:rFonts w:hAnsi="標楷體" w:cs="新細明體" w:hint="eastAsia"/>
                <w:kern w:val="0"/>
                <w:sz w:val="20"/>
              </w:rPr>
              <w:t>105</w:t>
            </w:r>
            <w:proofErr w:type="gramEnd"/>
            <w:r w:rsidRPr="006A75EE">
              <w:rPr>
                <w:rFonts w:hAnsi="標楷體" w:cs="新細明體" w:hint="eastAsia"/>
                <w:kern w:val="0"/>
                <w:sz w:val="20"/>
              </w:rPr>
              <w:t>年度至</w:t>
            </w:r>
            <w:proofErr w:type="gramStart"/>
            <w:r w:rsidRPr="006A75EE">
              <w:rPr>
                <w:rFonts w:hAnsi="標楷體" w:cs="新細明體" w:hint="eastAsia"/>
                <w:kern w:val="0"/>
                <w:sz w:val="20"/>
              </w:rPr>
              <w:t>106</w:t>
            </w:r>
            <w:proofErr w:type="gramEnd"/>
            <w:r w:rsidRPr="006A75EE">
              <w:rPr>
                <w:rFonts w:hAnsi="標楷體" w:cs="新細明體" w:hint="eastAsia"/>
                <w:kern w:val="0"/>
                <w:sz w:val="20"/>
              </w:rPr>
              <w:t>年度)</w:t>
            </w:r>
          </w:p>
        </w:tc>
        <w:tc>
          <w:tcPr>
            <w:tcW w:w="1417" w:type="dxa"/>
            <w:vMerge/>
            <w:tcBorders>
              <w:left w:val="single" w:sz="4" w:space="0" w:color="auto"/>
              <w:bottom w:val="single" w:sz="4" w:space="0" w:color="auto"/>
              <w:right w:val="single" w:sz="4" w:space="0" w:color="auto"/>
            </w:tcBorders>
            <w:shd w:val="clear" w:color="auto" w:fill="auto"/>
            <w:vAlign w:val="center"/>
          </w:tcPr>
          <w:p w:rsidR="00FF7DB4" w:rsidRPr="006A75EE" w:rsidRDefault="00FF7DB4" w:rsidP="00044831">
            <w:pPr>
              <w:widowControl/>
              <w:overflowPunct/>
              <w:autoSpaceDE/>
              <w:autoSpaceDN/>
              <w:rPr>
                <w:rFonts w:hAnsi="標楷體" w:cs="新細明體"/>
                <w:kern w:val="0"/>
                <w:sz w:val="20"/>
              </w:rPr>
            </w:pPr>
          </w:p>
        </w:tc>
        <w:tc>
          <w:tcPr>
            <w:tcW w:w="567" w:type="dxa"/>
            <w:vMerge/>
            <w:tcBorders>
              <w:left w:val="nil"/>
              <w:bottom w:val="single" w:sz="4" w:space="0" w:color="auto"/>
              <w:right w:val="single" w:sz="4" w:space="0" w:color="auto"/>
            </w:tcBorders>
            <w:shd w:val="clear" w:color="auto" w:fill="auto"/>
            <w:vAlign w:val="center"/>
          </w:tcPr>
          <w:p w:rsidR="00FF7DB4" w:rsidRPr="006A75EE" w:rsidRDefault="00FF7DB4" w:rsidP="00044831">
            <w:pPr>
              <w:widowControl/>
              <w:overflowPunct/>
              <w:autoSpaceDE/>
              <w:autoSpaceDN/>
              <w:jc w:val="center"/>
              <w:rPr>
                <w:rFonts w:hAnsi="標楷體" w:cs="新細明體"/>
                <w:kern w:val="0"/>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sz w:val="20"/>
              </w:rPr>
            </w:pPr>
            <w:r w:rsidRPr="006A75EE">
              <w:rPr>
                <w:rFonts w:hAnsi="標楷體" w:hint="eastAsia"/>
                <w:sz w:val="20"/>
              </w:rPr>
              <w:t>298.2</w:t>
            </w:r>
          </w:p>
        </w:tc>
        <w:tc>
          <w:tcPr>
            <w:tcW w:w="1276"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sz w:val="20"/>
              </w:rPr>
            </w:pPr>
            <w:r w:rsidRPr="006A75EE">
              <w:rPr>
                <w:rFonts w:hAnsi="標楷體" w:hint="eastAsia"/>
                <w:sz w:val="20"/>
              </w:rPr>
              <w:t>99.7</w:t>
            </w:r>
          </w:p>
        </w:tc>
        <w:tc>
          <w:tcPr>
            <w:tcW w:w="3685" w:type="dxa"/>
            <w:vMerge/>
            <w:tcBorders>
              <w:left w:val="nil"/>
              <w:bottom w:val="single" w:sz="4" w:space="0" w:color="auto"/>
              <w:right w:val="single" w:sz="4" w:space="0" w:color="auto"/>
            </w:tcBorders>
            <w:shd w:val="clear" w:color="auto" w:fill="auto"/>
            <w:vAlign w:val="center"/>
          </w:tcPr>
          <w:p w:rsidR="00FF7DB4" w:rsidRPr="006A75EE" w:rsidRDefault="00FF7DB4" w:rsidP="00044831">
            <w:pPr>
              <w:widowControl/>
              <w:overflowPunct/>
              <w:autoSpaceDE/>
              <w:autoSpaceDN/>
              <w:rPr>
                <w:rFonts w:hAnsi="標楷體" w:cs="新細明體"/>
                <w:kern w:val="0"/>
                <w:sz w:val="20"/>
              </w:rPr>
            </w:pPr>
          </w:p>
        </w:tc>
      </w:tr>
      <w:tr w:rsidR="00EA1F96" w:rsidRPr="006A75EE" w:rsidTr="00044831">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F7DB4" w:rsidRPr="006A75EE" w:rsidRDefault="00FF7DB4" w:rsidP="00044831">
            <w:pPr>
              <w:widowControl/>
              <w:overflowPunct/>
              <w:autoSpaceDE/>
              <w:autoSpaceDN/>
              <w:jc w:val="center"/>
              <w:rPr>
                <w:rFonts w:hAnsi="標楷體" w:cs="新細明體"/>
                <w:b/>
                <w:kern w:val="0"/>
                <w:sz w:val="20"/>
              </w:rPr>
            </w:pPr>
            <w:r w:rsidRPr="006A75EE">
              <w:rPr>
                <w:rFonts w:hAnsi="標楷體" w:cs="新細明體" w:hint="eastAsia"/>
                <w:b/>
                <w:kern w:val="0"/>
                <w:sz w:val="20"/>
              </w:rPr>
              <w:t>合                 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b/>
                <w:sz w:val="20"/>
              </w:rPr>
            </w:pPr>
            <w:r w:rsidRPr="006A75EE">
              <w:rPr>
                <w:rFonts w:hAnsi="標楷體" w:hint="eastAsia"/>
                <w:b/>
                <w:sz w:val="20"/>
              </w:rPr>
              <w:t>11,876.3</w:t>
            </w:r>
          </w:p>
        </w:tc>
        <w:tc>
          <w:tcPr>
            <w:tcW w:w="1276"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jc w:val="center"/>
              <w:rPr>
                <w:rFonts w:hAnsi="標楷體"/>
                <w:b/>
                <w:sz w:val="20"/>
              </w:rPr>
            </w:pPr>
            <w:r w:rsidRPr="006A75EE">
              <w:rPr>
                <w:rFonts w:hAnsi="標楷體" w:hint="eastAsia"/>
                <w:b/>
                <w:sz w:val="20"/>
              </w:rPr>
              <w:t>11,461.4</w:t>
            </w:r>
          </w:p>
        </w:tc>
        <w:tc>
          <w:tcPr>
            <w:tcW w:w="3685" w:type="dxa"/>
            <w:tcBorders>
              <w:top w:val="single" w:sz="4" w:space="0" w:color="auto"/>
              <w:left w:val="nil"/>
              <w:bottom w:val="single" w:sz="4" w:space="0" w:color="auto"/>
              <w:right w:val="single" w:sz="4" w:space="0" w:color="auto"/>
            </w:tcBorders>
            <w:shd w:val="clear" w:color="auto" w:fill="auto"/>
            <w:vAlign w:val="center"/>
          </w:tcPr>
          <w:p w:rsidR="00FF7DB4" w:rsidRPr="006A75EE" w:rsidRDefault="00FF7DB4" w:rsidP="00044831">
            <w:pPr>
              <w:widowControl/>
              <w:overflowPunct/>
              <w:autoSpaceDE/>
              <w:autoSpaceDN/>
              <w:jc w:val="center"/>
              <w:rPr>
                <w:rFonts w:hAnsi="標楷體" w:cs="新細明體"/>
                <w:kern w:val="0"/>
                <w:sz w:val="20"/>
              </w:rPr>
            </w:pPr>
            <w:r w:rsidRPr="006A75EE">
              <w:rPr>
                <w:rFonts w:hAnsi="標楷體" w:cs="新細明體" w:hint="eastAsia"/>
                <w:kern w:val="0"/>
                <w:sz w:val="20"/>
              </w:rPr>
              <w:t>-</w:t>
            </w:r>
          </w:p>
        </w:tc>
      </w:tr>
    </w:tbl>
    <w:p w:rsidR="00FF7DB4" w:rsidRPr="0051678B" w:rsidRDefault="00820D49" w:rsidP="00FF7DB4">
      <w:pPr>
        <w:pStyle w:val="af6"/>
        <w:rPr>
          <w:sz w:val="24"/>
          <w:szCs w:val="24"/>
        </w:rPr>
        <w:sectPr w:rsidR="00FF7DB4" w:rsidRPr="0051678B" w:rsidSect="00044831">
          <w:pgSz w:w="11907" w:h="16840" w:code="9"/>
          <w:pgMar w:top="720" w:right="720" w:bottom="720" w:left="720" w:header="851" w:footer="851" w:gutter="227"/>
          <w:cols w:space="425"/>
          <w:docGrid w:type="linesAndChars" w:linePitch="457" w:charSpace="4127"/>
        </w:sectPr>
      </w:pPr>
      <w:r w:rsidRPr="006A75EE">
        <w:rPr>
          <w:rFonts w:hint="eastAsia"/>
          <w:sz w:val="24"/>
          <w:szCs w:val="24"/>
        </w:rPr>
        <w:t>資料來源：</w:t>
      </w:r>
      <w:r w:rsidR="00FF7DB4" w:rsidRPr="006A75EE">
        <w:rPr>
          <w:rFonts w:hint="eastAsia"/>
          <w:sz w:val="24"/>
          <w:szCs w:val="24"/>
        </w:rPr>
        <w:t>主計總處(更新至104年底)</w:t>
      </w:r>
    </w:p>
    <w:p w:rsidR="00B77D18" w:rsidRPr="0051678B" w:rsidRDefault="00B77D18" w:rsidP="0051678B">
      <w:pPr>
        <w:pStyle w:val="4"/>
        <w:numPr>
          <w:ilvl w:val="0"/>
          <w:numId w:val="0"/>
        </w:numPr>
      </w:pPr>
    </w:p>
    <w:sectPr w:rsidR="00B77D18" w:rsidRPr="0051678B" w:rsidSect="00FF7DB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61" w:rsidRDefault="00454B61">
      <w:r>
        <w:separator/>
      </w:r>
    </w:p>
  </w:endnote>
  <w:endnote w:type="continuationSeparator" w:id="0">
    <w:p w:rsidR="00454B61" w:rsidRDefault="00454B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61" w:rsidRDefault="0096761F">
    <w:pPr>
      <w:pStyle w:val="af4"/>
      <w:framePr w:wrap="around" w:vAnchor="text" w:hAnchor="margin" w:xAlign="center" w:y="1"/>
      <w:rPr>
        <w:rStyle w:val="ad"/>
        <w:sz w:val="24"/>
      </w:rPr>
    </w:pPr>
    <w:r>
      <w:rPr>
        <w:rStyle w:val="ad"/>
        <w:sz w:val="24"/>
      </w:rPr>
      <w:fldChar w:fldCharType="begin"/>
    </w:r>
    <w:r w:rsidR="00454B61">
      <w:rPr>
        <w:rStyle w:val="ad"/>
        <w:sz w:val="24"/>
      </w:rPr>
      <w:instrText xml:space="preserve">PAGE  </w:instrText>
    </w:r>
    <w:r>
      <w:rPr>
        <w:rStyle w:val="ad"/>
        <w:sz w:val="24"/>
      </w:rPr>
      <w:fldChar w:fldCharType="separate"/>
    </w:r>
    <w:r w:rsidR="00D74A61">
      <w:rPr>
        <w:rStyle w:val="ad"/>
        <w:noProof/>
        <w:sz w:val="24"/>
      </w:rPr>
      <w:t>47</w:t>
    </w:r>
    <w:r>
      <w:rPr>
        <w:rStyle w:val="ad"/>
        <w:sz w:val="24"/>
      </w:rPr>
      <w:fldChar w:fldCharType="end"/>
    </w:r>
  </w:p>
  <w:p w:rsidR="00454B61" w:rsidRDefault="00454B6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61" w:rsidRDefault="00454B61">
      <w:r>
        <w:separator/>
      </w:r>
    </w:p>
  </w:footnote>
  <w:footnote w:type="continuationSeparator" w:id="0">
    <w:p w:rsidR="00454B61" w:rsidRDefault="00454B61">
      <w:r>
        <w:continuationSeparator/>
      </w:r>
    </w:p>
  </w:footnote>
  <w:footnote w:id="1">
    <w:p w:rsidR="00454B61" w:rsidRPr="0029531D" w:rsidRDefault="00454B61" w:rsidP="0028740F">
      <w:pPr>
        <w:pStyle w:val="afb"/>
        <w:jc w:val="both"/>
      </w:pPr>
      <w:r>
        <w:rPr>
          <w:rStyle w:val="afd"/>
        </w:rPr>
        <w:footnoteRef/>
      </w:r>
      <w:r w:rsidRPr="0029531D">
        <w:rPr>
          <w:rFonts w:hint="eastAsia"/>
        </w:rPr>
        <w:t>1992年為建立歐洲經濟與貨幣同盟（甚至是未來的政治同盟）而簽訂的馬斯垂克條約（Maastricht Treaty，或稱歐洲聯盟條約），明白規定加入歐元區的會員國在財政赤字與公共債務方面必須符合兩項條件：（1）財政赤字占國內生產毛額（GDP）比率不得超過3%；（2）公共債務占GDP比率不得超過60%。</w:t>
      </w:r>
    </w:p>
  </w:footnote>
  <w:footnote w:id="2">
    <w:p w:rsidR="00454B61" w:rsidRDefault="00454B61" w:rsidP="0028740F">
      <w:pPr>
        <w:pStyle w:val="afb"/>
      </w:pPr>
      <w:r>
        <w:rPr>
          <w:rStyle w:val="afd"/>
        </w:rPr>
        <w:footnoteRef/>
      </w:r>
      <w:r>
        <w:t xml:space="preserve"> </w:t>
      </w:r>
      <w:r>
        <w:rPr>
          <w:rFonts w:hint="eastAsia"/>
        </w:rPr>
        <w:t>主計總處「中央政府總預算資源妥適配置之研究」,臺灣綜合研究院，92年12月，頁1。</w:t>
      </w:r>
    </w:p>
  </w:footnote>
  <w:footnote w:id="3">
    <w:p w:rsidR="00454B61" w:rsidRDefault="00454B61" w:rsidP="0028740F">
      <w:pPr>
        <w:pStyle w:val="afb"/>
        <w:ind w:left="709" w:right="680" w:hanging="680"/>
      </w:pPr>
      <w:r>
        <w:rPr>
          <w:rStyle w:val="afd"/>
        </w:rPr>
        <w:footnoteRef/>
      </w:r>
      <w:r>
        <w:t xml:space="preserve"> </w:t>
      </w:r>
      <w:r>
        <w:rPr>
          <w:rFonts w:hint="eastAsia"/>
        </w:rPr>
        <w:t>為100至103年人數</w:t>
      </w:r>
    </w:p>
  </w:footnote>
  <w:footnote w:id="4">
    <w:p w:rsidR="00454B61" w:rsidRPr="00BC237C" w:rsidRDefault="00454B61" w:rsidP="0028740F">
      <w:pPr>
        <w:pStyle w:val="afb"/>
        <w:ind w:left="709" w:right="680" w:hanging="680"/>
      </w:pPr>
      <w:r>
        <w:rPr>
          <w:rStyle w:val="afd"/>
        </w:rPr>
        <w:footnoteRef/>
      </w:r>
      <w:r>
        <w:rPr>
          <w:rFonts w:hint="eastAsia"/>
        </w:rPr>
        <w:t xml:space="preserve"> 為100至103年人數</w:t>
      </w:r>
    </w:p>
  </w:footnote>
  <w:footnote w:id="5">
    <w:p w:rsidR="00454B61" w:rsidRDefault="00454B61" w:rsidP="0028740F">
      <w:pPr>
        <w:pStyle w:val="afb"/>
      </w:pPr>
      <w:r>
        <w:rPr>
          <w:rStyle w:val="afd"/>
        </w:rPr>
        <w:footnoteRef/>
      </w:r>
      <w:r>
        <w:rPr>
          <w:rFonts w:hint="eastAsia"/>
        </w:rPr>
        <w:t>行政</w:t>
      </w:r>
      <w:r w:rsidRPr="00D943E4">
        <w:rPr>
          <w:rFonts w:hint="eastAsia"/>
        </w:rPr>
        <w:t>院秘書長</w:t>
      </w:r>
      <w:r w:rsidRPr="00264150">
        <w:rPr>
          <w:rFonts w:hint="eastAsia"/>
        </w:rPr>
        <w:t>101年8月14日院臺財字第1010045484號函說明二：「鑑於稅式支出法規實施成效之後續評估，涵蓋所欲獎勵投資行為或產業活動之誘發效果及對總體經濟發展與就業產生之效益、其直接或間接之稅收影響、業務主管機關之行政措施及法規鬆綁與租稅優惠措施相互配合之綜效等多項指標，故稅式支出法案之實施情形及具體成效，宜由各業務主管機關本諸職權，於稅式支出法規通過後，就原提供之稅式支出報告，逐年比較驗證其實施效益、稅收影響及財源籌措情形，並評估達成原政策目標之有效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6A6701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012184"/>
    <w:multiLevelType w:val="hybridMultilevel"/>
    <w:tmpl w:val="23107D1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3055AE"/>
    <w:multiLevelType w:val="hybridMultilevel"/>
    <w:tmpl w:val="0D943A32"/>
    <w:lvl w:ilvl="0" w:tplc="E092C5AE">
      <w:start w:val="1"/>
      <w:numFmt w:val="decimal"/>
      <w:lvlText w:val="%1."/>
      <w:lvlJc w:val="left"/>
      <w:pPr>
        <w:ind w:left="360" w:hanging="360"/>
      </w:pPr>
      <w:rPr>
        <w:rFonts w:hint="default"/>
      </w:rPr>
    </w:lvl>
    <w:lvl w:ilvl="1" w:tplc="F404C3B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87CAD4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157F6259"/>
    <w:multiLevelType w:val="hybridMultilevel"/>
    <w:tmpl w:val="9BF0F1BC"/>
    <w:lvl w:ilvl="0" w:tplc="936C0674">
      <w:start w:val="1"/>
      <w:numFmt w:val="decimal"/>
      <w:lvlText w:val="%1."/>
      <w:lvlJc w:val="left"/>
      <w:pPr>
        <w:ind w:left="1920" w:hanging="480"/>
      </w:pPr>
      <w:rPr>
        <w:sz w:val="24"/>
        <w:szCs w:val="24"/>
      </w:rPr>
    </w:lvl>
    <w:lvl w:ilvl="1" w:tplc="467800DC">
      <w:start w:val="1"/>
      <w:numFmt w:val="decimal"/>
      <w:lvlText w:val="(%2)"/>
      <w:lvlJc w:val="left"/>
      <w:pPr>
        <w:ind w:left="2400" w:hanging="480"/>
      </w:pPr>
      <w:rPr>
        <w:rFonts w:hint="eastAsia"/>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A12601B"/>
    <w:multiLevelType w:val="hybridMultilevel"/>
    <w:tmpl w:val="81D06EFE"/>
    <w:lvl w:ilvl="0" w:tplc="7B84EB38">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FB23B8"/>
    <w:multiLevelType w:val="hybridMultilevel"/>
    <w:tmpl w:val="23107D1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23011F2B"/>
    <w:multiLevelType w:val="hybridMultilevel"/>
    <w:tmpl w:val="53C4E9F8"/>
    <w:lvl w:ilvl="0" w:tplc="8216FE1E">
      <w:start w:val="1"/>
      <w:numFmt w:val="decimal"/>
      <w:lvlText w:val="%1."/>
      <w:lvlJc w:val="left"/>
      <w:pPr>
        <w:ind w:left="1920" w:hanging="480"/>
      </w:pPr>
      <w:rPr>
        <w:sz w:val="20"/>
        <w:szCs w:val="2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29740641"/>
    <w:multiLevelType w:val="hybridMultilevel"/>
    <w:tmpl w:val="81D06EFE"/>
    <w:lvl w:ilvl="0" w:tplc="7B84EB38">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8579F2"/>
    <w:multiLevelType w:val="hybridMultilevel"/>
    <w:tmpl w:val="31167268"/>
    <w:lvl w:ilvl="0" w:tplc="3B8A8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2F6FF9"/>
    <w:multiLevelType w:val="hybridMultilevel"/>
    <w:tmpl w:val="70C01736"/>
    <w:lvl w:ilvl="0" w:tplc="E612C1E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17C1919"/>
    <w:multiLevelType w:val="hybridMultilevel"/>
    <w:tmpl w:val="ED80CEBA"/>
    <w:lvl w:ilvl="0" w:tplc="E612C1E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3885050C"/>
    <w:multiLevelType w:val="hybridMultilevel"/>
    <w:tmpl w:val="98A2E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BD2AE5"/>
    <w:multiLevelType w:val="hybridMultilevel"/>
    <w:tmpl w:val="81D06EFE"/>
    <w:lvl w:ilvl="0" w:tplc="7B84EB38">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0D3574"/>
    <w:multiLevelType w:val="hybridMultilevel"/>
    <w:tmpl w:val="D9D0890E"/>
    <w:lvl w:ilvl="0" w:tplc="5A68C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EE6B70"/>
    <w:multiLevelType w:val="hybridMultilevel"/>
    <w:tmpl w:val="ABBE3BB4"/>
    <w:lvl w:ilvl="0" w:tplc="46AE0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AEB4B38"/>
    <w:multiLevelType w:val="hybridMultilevel"/>
    <w:tmpl w:val="CA862C58"/>
    <w:lvl w:ilvl="0" w:tplc="897AA72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F46133"/>
    <w:multiLevelType w:val="hybridMultilevel"/>
    <w:tmpl w:val="4F141734"/>
    <w:lvl w:ilvl="0" w:tplc="18027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1C52D2D"/>
    <w:multiLevelType w:val="hybridMultilevel"/>
    <w:tmpl w:val="98A2E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5F43320"/>
    <w:multiLevelType w:val="hybridMultilevel"/>
    <w:tmpl w:val="1DA83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7D11DF"/>
    <w:multiLevelType w:val="hybridMultilevel"/>
    <w:tmpl w:val="2D265C5E"/>
    <w:lvl w:ilvl="0" w:tplc="D83AD3C4">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BE1626"/>
    <w:multiLevelType w:val="hybridMultilevel"/>
    <w:tmpl w:val="23B6858E"/>
    <w:lvl w:ilvl="0" w:tplc="C21C2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EC6864"/>
    <w:multiLevelType w:val="hybridMultilevel"/>
    <w:tmpl w:val="EF1CCB76"/>
    <w:lvl w:ilvl="0" w:tplc="BFE067F0">
      <w:start w:val="1"/>
      <w:numFmt w:val="decimal"/>
      <w:lvlText w:val="%1."/>
      <w:lvlJc w:val="left"/>
      <w:pPr>
        <w:ind w:left="1231" w:hanging="36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30">
    <w:nsid w:val="6C373D56"/>
    <w:multiLevelType w:val="hybridMultilevel"/>
    <w:tmpl w:val="81D06EFE"/>
    <w:lvl w:ilvl="0" w:tplc="7B84EB38">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1F464B"/>
    <w:multiLevelType w:val="hybridMultilevel"/>
    <w:tmpl w:val="81D06EFE"/>
    <w:lvl w:ilvl="0" w:tplc="7B84EB38">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CAD57F8"/>
    <w:multiLevelType w:val="hybridMultilevel"/>
    <w:tmpl w:val="C34CE4BA"/>
    <w:lvl w:ilvl="0" w:tplc="7B84E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BD3FA9"/>
    <w:multiLevelType w:val="hybridMultilevel"/>
    <w:tmpl w:val="98A2E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CCA258A"/>
    <w:multiLevelType w:val="hybridMultilevel"/>
    <w:tmpl w:val="8D2C5D00"/>
    <w:lvl w:ilvl="0" w:tplc="5B1EF2C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F404C3B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2"/>
  </w:num>
  <w:num w:numId="4">
    <w:abstractNumId w:val="6"/>
    <w:lvlOverride w:ilvl="0">
      <w:startOverride w:val="1"/>
    </w:lvlOverride>
  </w:num>
  <w:num w:numId="5">
    <w:abstractNumId w:val="20"/>
  </w:num>
  <w:num w:numId="6">
    <w:abstractNumId w:val="15"/>
  </w:num>
  <w:num w:numId="7">
    <w:abstractNumId w:val="24"/>
  </w:num>
  <w:num w:numId="8">
    <w:abstractNumId w:val="4"/>
  </w:num>
  <w:num w:numId="9">
    <w:abstractNumId w:val="26"/>
  </w:num>
  <w:num w:numId="10">
    <w:abstractNumId w:val="18"/>
  </w:num>
  <w:num w:numId="11">
    <w:abstractNumId w:val="25"/>
  </w:num>
  <w:num w:numId="12">
    <w:abstractNumId w:val="5"/>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23"/>
  </w:num>
  <w:num w:numId="18">
    <w:abstractNumId w:val="14"/>
  </w:num>
  <w:num w:numId="19">
    <w:abstractNumId w:val="33"/>
  </w:num>
  <w:num w:numId="20">
    <w:abstractNumId w:val="8"/>
  </w:num>
  <w:num w:numId="21">
    <w:abstractNumId w:val="1"/>
  </w:num>
  <w:num w:numId="22">
    <w:abstractNumId w:val="9"/>
  </w:num>
  <w:num w:numId="23">
    <w:abstractNumId w:val="27"/>
  </w:num>
  <w:num w:numId="24">
    <w:abstractNumId w:val="11"/>
  </w:num>
  <w:num w:numId="25">
    <w:abstractNumId w:val="28"/>
  </w:num>
  <w:num w:numId="26">
    <w:abstractNumId w:val="17"/>
  </w:num>
  <w:num w:numId="27">
    <w:abstractNumId w:val="16"/>
  </w:num>
  <w:num w:numId="28">
    <w:abstractNumId w:val="7"/>
  </w:num>
  <w:num w:numId="29">
    <w:abstractNumId w:val="30"/>
  </w:num>
  <w:num w:numId="30">
    <w:abstractNumId w:val="31"/>
  </w:num>
  <w:num w:numId="31">
    <w:abstractNumId w:val="10"/>
  </w:num>
  <w:num w:numId="32">
    <w:abstractNumId w:val="32"/>
  </w:num>
  <w:num w:numId="33">
    <w:abstractNumId w:val="34"/>
  </w:num>
  <w:num w:numId="34">
    <w:abstractNumId w:val="21"/>
  </w:num>
  <w:num w:numId="35">
    <w:abstractNumId w:val="22"/>
  </w:num>
  <w:num w:numId="36">
    <w:abstractNumId w:val="19"/>
  </w:num>
  <w:num w:numId="37">
    <w:abstractNumId w:val="3"/>
  </w:num>
  <w:num w:numId="38">
    <w:abstractNumId w:val="29"/>
  </w:num>
  <w:num w:numId="39">
    <w:abstractNumId w:val="15"/>
  </w:num>
  <w:num w:numId="40">
    <w:abstractNumId w:val="4"/>
  </w:num>
  <w:num w:numId="41">
    <w:abstractNumId w:val="4"/>
  </w:num>
  <w:num w:numId="42">
    <w:abstractNumId w:val="4"/>
  </w:num>
  <w:num w:numId="43">
    <w:abstractNumId w:val="4"/>
  </w:num>
  <w:num w:numId="44">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bordersDoNotSurroundHeader/>
  <w:bordersDoNotSurroundFooter/>
  <w:hideSpellingErrors/>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CE3"/>
    <w:rsid w:val="00003CF0"/>
    <w:rsid w:val="00006961"/>
    <w:rsid w:val="000112BF"/>
    <w:rsid w:val="00012233"/>
    <w:rsid w:val="00017318"/>
    <w:rsid w:val="000246F7"/>
    <w:rsid w:val="0003114D"/>
    <w:rsid w:val="00031FBC"/>
    <w:rsid w:val="00036D76"/>
    <w:rsid w:val="00037E2F"/>
    <w:rsid w:val="00044831"/>
    <w:rsid w:val="00051C7A"/>
    <w:rsid w:val="0005285C"/>
    <w:rsid w:val="00054C97"/>
    <w:rsid w:val="00057F32"/>
    <w:rsid w:val="00061B3D"/>
    <w:rsid w:val="00062A25"/>
    <w:rsid w:val="00062BED"/>
    <w:rsid w:val="00072E9B"/>
    <w:rsid w:val="00073CB5"/>
    <w:rsid w:val="0007425C"/>
    <w:rsid w:val="00077553"/>
    <w:rsid w:val="000844EC"/>
    <w:rsid w:val="000851A2"/>
    <w:rsid w:val="0009352E"/>
    <w:rsid w:val="00096B96"/>
    <w:rsid w:val="000A1E05"/>
    <w:rsid w:val="000A2F3F"/>
    <w:rsid w:val="000A5E4F"/>
    <w:rsid w:val="000A6800"/>
    <w:rsid w:val="000B0B4A"/>
    <w:rsid w:val="000B1F59"/>
    <w:rsid w:val="000B279A"/>
    <w:rsid w:val="000B61D2"/>
    <w:rsid w:val="000B6A50"/>
    <w:rsid w:val="000B70A7"/>
    <w:rsid w:val="000B73DD"/>
    <w:rsid w:val="000C2233"/>
    <w:rsid w:val="000C495F"/>
    <w:rsid w:val="000D0CCD"/>
    <w:rsid w:val="000E3855"/>
    <w:rsid w:val="000E6431"/>
    <w:rsid w:val="000F21A5"/>
    <w:rsid w:val="00102B9F"/>
    <w:rsid w:val="00111734"/>
    <w:rsid w:val="00112637"/>
    <w:rsid w:val="00112ABC"/>
    <w:rsid w:val="00117E0B"/>
    <w:rsid w:val="0012001E"/>
    <w:rsid w:val="00126A55"/>
    <w:rsid w:val="00133F08"/>
    <w:rsid w:val="001345E6"/>
    <w:rsid w:val="001357FB"/>
    <w:rsid w:val="001378B0"/>
    <w:rsid w:val="00142E00"/>
    <w:rsid w:val="00143CAD"/>
    <w:rsid w:val="00152793"/>
    <w:rsid w:val="00153B7E"/>
    <w:rsid w:val="001545A9"/>
    <w:rsid w:val="00162BCC"/>
    <w:rsid w:val="001637C7"/>
    <w:rsid w:val="0016480E"/>
    <w:rsid w:val="0017061E"/>
    <w:rsid w:val="00174297"/>
    <w:rsid w:val="0017618D"/>
    <w:rsid w:val="00180E06"/>
    <w:rsid w:val="001813D4"/>
    <w:rsid w:val="001817B3"/>
    <w:rsid w:val="00183014"/>
    <w:rsid w:val="00183AE4"/>
    <w:rsid w:val="00186B6F"/>
    <w:rsid w:val="001959C2"/>
    <w:rsid w:val="001A178A"/>
    <w:rsid w:val="001A2004"/>
    <w:rsid w:val="001A51E3"/>
    <w:rsid w:val="001A7968"/>
    <w:rsid w:val="001B1E66"/>
    <w:rsid w:val="001B2E98"/>
    <w:rsid w:val="001B3483"/>
    <w:rsid w:val="001B3C1E"/>
    <w:rsid w:val="001B4494"/>
    <w:rsid w:val="001B71D0"/>
    <w:rsid w:val="001B7801"/>
    <w:rsid w:val="001C0D8B"/>
    <w:rsid w:val="001C0DA8"/>
    <w:rsid w:val="001D4AD7"/>
    <w:rsid w:val="001E0D8A"/>
    <w:rsid w:val="001E3391"/>
    <w:rsid w:val="001E432C"/>
    <w:rsid w:val="001E67BA"/>
    <w:rsid w:val="001E74C2"/>
    <w:rsid w:val="001F1CAD"/>
    <w:rsid w:val="001F5A48"/>
    <w:rsid w:val="001F6260"/>
    <w:rsid w:val="00200007"/>
    <w:rsid w:val="00202E43"/>
    <w:rsid w:val="002030A5"/>
    <w:rsid w:val="00203131"/>
    <w:rsid w:val="0020768D"/>
    <w:rsid w:val="00212E88"/>
    <w:rsid w:val="00213C9C"/>
    <w:rsid w:val="0022009E"/>
    <w:rsid w:val="00223071"/>
    <w:rsid w:val="00223241"/>
    <w:rsid w:val="0022425C"/>
    <w:rsid w:val="002246DE"/>
    <w:rsid w:val="00235B47"/>
    <w:rsid w:val="00252BC4"/>
    <w:rsid w:val="00254014"/>
    <w:rsid w:val="00254B39"/>
    <w:rsid w:val="00260E6E"/>
    <w:rsid w:val="00262A7A"/>
    <w:rsid w:val="00263964"/>
    <w:rsid w:val="0026504D"/>
    <w:rsid w:val="002737E3"/>
    <w:rsid w:val="00273A2F"/>
    <w:rsid w:val="00273DAD"/>
    <w:rsid w:val="00280986"/>
    <w:rsid w:val="00281ECE"/>
    <w:rsid w:val="002822C0"/>
    <w:rsid w:val="002831C7"/>
    <w:rsid w:val="002840C6"/>
    <w:rsid w:val="0028740F"/>
    <w:rsid w:val="00295174"/>
    <w:rsid w:val="00295902"/>
    <w:rsid w:val="00295AD5"/>
    <w:rsid w:val="00296172"/>
    <w:rsid w:val="00296B92"/>
    <w:rsid w:val="002A2C22"/>
    <w:rsid w:val="002A428B"/>
    <w:rsid w:val="002B02EB"/>
    <w:rsid w:val="002B4EDB"/>
    <w:rsid w:val="002C0602"/>
    <w:rsid w:val="002C23AD"/>
    <w:rsid w:val="002D4D41"/>
    <w:rsid w:val="002D5C16"/>
    <w:rsid w:val="002F3DFF"/>
    <w:rsid w:val="002F5E05"/>
    <w:rsid w:val="00300DFF"/>
    <w:rsid w:val="00300E1F"/>
    <w:rsid w:val="00301F1C"/>
    <w:rsid w:val="00303F98"/>
    <w:rsid w:val="00314B3B"/>
    <w:rsid w:val="00315A16"/>
    <w:rsid w:val="00317053"/>
    <w:rsid w:val="0032109C"/>
    <w:rsid w:val="00322B45"/>
    <w:rsid w:val="00323809"/>
    <w:rsid w:val="00323D41"/>
    <w:rsid w:val="00325414"/>
    <w:rsid w:val="003302F1"/>
    <w:rsid w:val="00336A79"/>
    <w:rsid w:val="0034267B"/>
    <w:rsid w:val="00342874"/>
    <w:rsid w:val="0034470E"/>
    <w:rsid w:val="00352DB0"/>
    <w:rsid w:val="00361063"/>
    <w:rsid w:val="00367B31"/>
    <w:rsid w:val="0037094A"/>
    <w:rsid w:val="00370995"/>
    <w:rsid w:val="00371ED3"/>
    <w:rsid w:val="00372FFC"/>
    <w:rsid w:val="003758DA"/>
    <w:rsid w:val="00375B1B"/>
    <w:rsid w:val="0037728A"/>
    <w:rsid w:val="00380B7D"/>
    <w:rsid w:val="00381A99"/>
    <w:rsid w:val="003829C2"/>
    <w:rsid w:val="003830B2"/>
    <w:rsid w:val="00384724"/>
    <w:rsid w:val="0038500B"/>
    <w:rsid w:val="00386D6C"/>
    <w:rsid w:val="003919B7"/>
    <w:rsid w:val="00391D57"/>
    <w:rsid w:val="00392292"/>
    <w:rsid w:val="003A0EE5"/>
    <w:rsid w:val="003A5800"/>
    <w:rsid w:val="003A5927"/>
    <w:rsid w:val="003A5EF1"/>
    <w:rsid w:val="003B1017"/>
    <w:rsid w:val="003B3C07"/>
    <w:rsid w:val="003B4311"/>
    <w:rsid w:val="003B5C4C"/>
    <w:rsid w:val="003B6081"/>
    <w:rsid w:val="003B6775"/>
    <w:rsid w:val="003C4B1C"/>
    <w:rsid w:val="003C5FE2"/>
    <w:rsid w:val="003C7B8E"/>
    <w:rsid w:val="003D05FB"/>
    <w:rsid w:val="003D1B16"/>
    <w:rsid w:val="003D2A16"/>
    <w:rsid w:val="003D45BF"/>
    <w:rsid w:val="003D508A"/>
    <w:rsid w:val="003D537F"/>
    <w:rsid w:val="003D7B75"/>
    <w:rsid w:val="003E0208"/>
    <w:rsid w:val="003E4B57"/>
    <w:rsid w:val="003E6581"/>
    <w:rsid w:val="003F27E1"/>
    <w:rsid w:val="003F34E4"/>
    <w:rsid w:val="003F437A"/>
    <w:rsid w:val="003F49FE"/>
    <w:rsid w:val="003F5C2B"/>
    <w:rsid w:val="003F69A1"/>
    <w:rsid w:val="00400942"/>
    <w:rsid w:val="00401155"/>
    <w:rsid w:val="004023E9"/>
    <w:rsid w:val="0040454A"/>
    <w:rsid w:val="00413F83"/>
    <w:rsid w:val="0041490C"/>
    <w:rsid w:val="00416191"/>
    <w:rsid w:val="00416721"/>
    <w:rsid w:val="00421EF0"/>
    <w:rsid w:val="004224FA"/>
    <w:rsid w:val="00423D07"/>
    <w:rsid w:val="00427936"/>
    <w:rsid w:val="0044214B"/>
    <w:rsid w:val="00442D97"/>
    <w:rsid w:val="0044346F"/>
    <w:rsid w:val="00443508"/>
    <w:rsid w:val="00444805"/>
    <w:rsid w:val="00454B61"/>
    <w:rsid w:val="00457233"/>
    <w:rsid w:val="0046520A"/>
    <w:rsid w:val="004672AB"/>
    <w:rsid w:val="004714FE"/>
    <w:rsid w:val="00477BAA"/>
    <w:rsid w:val="00481DD1"/>
    <w:rsid w:val="00495053"/>
    <w:rsid w:val="00497356"/>
    <w:rsid w:val="004A1F59"/>
    <w:rsid w:val="004A29BE"/>
    <w:rsid w:val="004A3225"/>
    <w:rsid w:val="004A33EE"/>
    <w:rsid w:val="004A3AA8"/>
    <w:rsid w:val="004A7740"/>
    <w:rsid w:val="004B13C7"/>
    <w:rsid w:val="004B4A0A"/>
    <w:rsid w:val="004B6C2A"/>
    <w:rsid w:val="004B778F"/>
    <w:rsid w:val="004C0609"/>
    <w:rsid w:val="004C0813"/>
    <w:rsid w:val="004C11A1"/>
    <w:rsid w:val="004C2ADD"/>
    <w:rsid w:val="004D141F"/>
    <w:rsid w:val="004D2742"/>
    <w:rsid w:val="004D4FAC"/>
    <w:rsid w:val="004D6310"/>
    <w:rsid w:val="004E0062"/>
    <w:rsid w:val="004E05A1"/>
    <w:rsid w:val="004E4D74"/>
    <w:rsid w:val="004E6DB6"/>
    <w:rsid w:val="004F5E57"/>
    <w:rsid w:val="004F6710"/>
    <w:rsid w:val="00500C3E"/>
    <w:rsid w:val="00502849"/>
    <w:rsid w:val="00502B74"/>
    <w:rsid w:val="00504334"/>
    <w:rsid w:val="0050498D"/>
    <w:rsid w:val="005104D7"/>
    <w:rsid w:val="00510B9E"/>
    <w:rsid w:val="0051678B"/>
    <w:rsid w:val="005252D0"/>
    <w:rsid w:val="005262B4"/>
    <w:rsid w:val="00536BC2"/>
    <w:rsid w:val="005425E1"/>
    <w:rsid w:val="005427C5"/>
    <w:rsid w:val="00542CF6"/>
    <w:rsid w:val="005457B8"/>
    <w:rsid w:val="005500A7"/>
    <w:rsid w:val="00553C03"/>
    <w:rsid w:val="005562C0"/>
    <w:rsid w:val="005565A5"/>
    <w:rsid w:val="00563692"/>
    <w:rsid w:val="00567A9B"/>
    <w:rsid w:val="00571679"/>
    <w:rsid w:val="00571DE7"/>
    <w:rsid w:val="005844E7"/>
    <w:rsid w:val="005908B8"/>
    <w:rsid w:val="0059512E"/>
    <w:rsid w:val="005A2494"/>
    <w:rsid w:val="005A6DD2"/>
    <w:rsid w:val="005B0B1F"/>
    <w:rsid w:val="005B7145"/>
    <w:rsid w:val="005C12F1"/>
    <w:rsid w:val="005C173B"/>
    <w:rsid w:val="005C385D"/>
    <w:rsid w:val="005D2CB9"/>
    <w:rsid w:val="005D3B20"/>
    <w:rsid w:val="005D4D49"/>
    <w:rsid w:val="005E0CC3"/>
    <w:rsid w:val="005E0F0F"/>
    <w:rsid w:val="005E4759"/>
    <w:rsid w:val="005E5C68"/>
    <w:rsid w:val="005E65C0"/>
    <w:rsid w:val="005F0390"/>
    <w:rsid w:val="0060050A"/>
    <w:rsid w:val="006072CD"/>
    <w:rsid w:val="00612023"/>
    <w:rsid w:val="00612173"/>
    <w:rsid w:val="006126C4"/>
    <w:rsid w:val="00613FA3"/>
    <w:rsid w:val="00614190"/>
    <w:rsid w:val="00617358"/>
    <w:rsid w:val="00622A99"/>
    <w:rsid w:val="00622E67"/>
    <w:rsid w:val="0062684D"/>
    <w:rsid w:val="00626EDC"/>
    <w:rsid w:val="00637C98"/>
    <w:rsid w:val="006400ED"/>
    <w:rsid w:val="006470EC"/>
    <w:rsid w:val="00650AC7"/>
    <w:rsid w:val="00652059"/>
    <w:rsid w:val="006541D4"/>
    <w:rsid w:val="006542D6"/>
    <w:rsid w:val="0065598E"/>
    <w:rsid w:val="00655AF2"/>
    <w:rsid w:val="00655BC5"/>
    <w:rsid w:val="00655CBE"/>
    <w:rsid w:val="006568BE"/>
    <w:rsid w:val="0066025D"/>
    <w:rsid w:val="0066091A"/>
    <w:rsid w:val="006626D5"/>
    <w:rsid w:val="006677D6"/>
    <w:rsid w:val="006719EE"/>
    <w:rsid w:val="006773EC"/>
    <w:rsid w:val="00680504"/>
    <w:rsid w:val="00681CD9"/>
    <w:rsid w:val="00682E13"/>
    <w:rsid w:val="00683E30"/>
    <w:rsid w:val="00684A27"/>
    <w:rsid w:val="00687024"/>
    <w:rsid w:val="00695E22"/>
    <w:rsid w:val="006A75EE"/>
    <w:rsid w:val="006B6693"/>
    <w:rsid w:val="006B7093"/>
    <w:rsid w:val="006B7417"/>
    <w:rsid w:val="006D3691"/>
    <w:rsid w:val="006D464E"/>
    <w:rsid w:val="006E4F37"/>
    <w:rsid w:val="006E5EF0"/>
    <w:rsid w:val="006F10B4"/>
    <w:rsid w:val="006F2AFA"/>
    <w:rsid w:val="006F3563"/>
    <w:rsid w:val="006F42B9"/>
    <w:rsid w:val="006F5504"/>
    <w:rsid w:val="006F6103"/>
    <w:rsid w:val="007020D2"/>
    <w:rsid w:val="00702B88"/>
    <w:rsid w:val="00703372"/>
    <w:rsid w:val="00704E00"/>
    <w:rsid w:val="00715E50"/>
    <w:rsid w:val="007209E7"/>
    <w:rsid w:val="0072272A"/>
    <w:rsid w:val="00726182"/>
    <w:rsid w:val="00727635"/>
    <w:rsid w:val="00732329"/>
    <w:rsid w:val="00733004"/>
    <w:rsid w:val="007337CA"/>
    <w:rsid w:val="00734CE4"/>
    <w:rsid w:val="00735123"/>
    <w:rsid w:val="00735629"/>
    <w:rsid w:val="00740B37"/>
    <w:rsid w:val="00741837"/>
    <w:rsid w:val="007453E6"/>
    <w:rsid w:val="00745B62"/>
    <w:rsid w:val="0075030D"/>
    <w:rsid w:val="0075101B"/>
    <w:rsid w:val="00757988"/>
    <w:rsid w:val="0077309D"/>
    <w:rsid w:val="00775D8C"/>
    <w:rsid w:val="007774EE"/>
    <w:rsid w:val="00780315"/>
    <w:rsid w:val="00781822"/>
    <w:rsid w:val="00783F21"/>
    <w:rsid w:val="00787159"/>
    <w:rsid w:val="0079043A"/>
    <w:rsid w:val="00791668"/>
    <w:rsid w:val="00791AA1"/>
    <w:rsid w:val="007950A9"/>
    <w:rsid w:val="00797D65"/>
    <w:rsid w:val="007A3793"/>
    <w:rsid w:val="007A6A4D"/>
    <w:rsid w:val="007B025D"/>
    <w:rsid w:val="007B553E"/>
    <w:rsid w:val="007B6499"/>
    <w:rsid w:val="007C1BA2"/>
    <w:rsid w:val="007C2927"/>
    <w:rsid w:val="007C2B48"/>
    <w:rsid w:val="007C4A6A"/>
    <w:rsid w:val="007C55B1"/>
    <w:rsid w:val="007C7A1B"/>
    <w:rsid w:val="007D20E9"/>
    <w:rsid w:val="007D7881"/>
    <w:rsid w:val="007D7BB4"/>
    <w:rsid w:val="007D7E3A"/>
    <w:rsid w:val="007E0E10"/>
    <w:rsid w:val="007E4768"/>
    <w:rsid w:val="007E777B"/>
    <w:rsid w:val="007F2070"/>
    <w:rsid w:val="007F7461"/>
    <w:rsid w:val="00801CDF"/>
    <w:rsid w:val="008053F5"/>
    <w:rsid w:val="00806734"/>
    <w:rsid w:val="008076A4"/>
    <w:rsid w:val="00807AF7"/>
    <w:rsid w:val="00810198"/>
    <w:rsid w:val="00811625"/>
    <w:rsid w:val="00815DA8"/>
    <w:rsid w:val="008179ED"/>
    <w:rsid w:val="00820D49"/>
    <w:rsid w:val="0082194D"/>
    <w:rsid w:val="008221F9"/>
    <w:rsid w:val="00826EF5"/>
    <w:rsid w:val="00831693"/>
    <w:rsid w:val="00833382"/>
    <w:rsid w:val="00835D4D"/>
    <w:rsid w:val="00840104"/>
    <w:rsid w:val="00840C1F"/>
    <w:rsid w:val="00841FC5"/>
    <w:rsid w:val="00842E57"/>
    <w:rsid w:val="00845709"/>
    <w:rsid w:val="00846E0F"/>
    <w:rsid w:val="0085171F"/>
    <w:rsid w:val="00852B85"/>
    <w:rsid w:val="00853E81"/>
    <w:rsid w:val="00855057"/>
    <w:rsid w:val="008576BD"/>
    <w:rsid w:val="00860463"/>
    <w:rsid w:val="00860B7D"/>
    <w:rsid w:val="008631B0"/>
    <w:rsid w:val="00867E78"/>
    <w:rsid w:val="008733DA"/>
    <w:rsid w:val="008758FE"/>
    <w:rsid w:val="0088387F"/>
    <w:rsid w:val="00884A4B"/>
    <w:rsid w:val="008850E4"/>
    <w:rsid w:val="0088521D"/>
    <w:rsid w:val="00890D30"/>
    <w:rsid w:val="00892496"/>
    <w:rsid w:val="008939AB"/>
    <w:rsid w:val="008A12F5"/>
    <w:rsid w:val="008A7546"/>
    <w:rsid w:val="008B1587"/>
    <w:rsid w:val="008B1B01"/>
    <w:rsid w:val="008B3BCD"/>
    <w:rsid w:val="008B6DF8"/>
    <w:rsid w:val="008C106C"/>
    <w:rsid w:val="008C10F1"/>
    <w:rsid w:val="008C1926"/>
    <w:rsid w:val="008C1E99"/>
    <w:rsid w:val="008C3BFB"/>
    <w:rsid w:val="008C77B4"/>
    <w:rsid w:val="008D3198"/>
    <w:rsid w:val="008D4BA6"/>
    <w:rsid w:val="008E0085"/>
    <w:rsid w:val="008E2AA6"/>
    <w:rsid w:val="008E311B"/>
    <w:rsid w:val="008E519D"/>
    <w:rsid w:val="008E773C"/>
    <w:rsid w:val="008F2547"/>
    <w:rsid w:val="008F46E7"/>
    <w:rsid w:val="008F6F0B"/>
    <w:rsid w:val="00900CE8"/>
    <w:rsid w:val="00907BA7"/>
    <w:rsid w:val="0091064E"/>
    <w:rsid w:val="00911FC5"/>
    <w:rsid w:val="00912A50"/>
    <w:rsid w:val="00925230"/>
    <w:rsid w:val="00931A10"/>
    <w:rsid w:val="0094384D"/>
    <w:rsid w:val="00946590"/>
    <w:rsid w:val="00947967"/>
    <w:rsid w:val="00947981"/>
    <w:rsid w:val="00955201"/>
    <w:rsid w:val="0095701D"/>
    <w:rsid w:val="009573BA"/>
    <w:rsid w:val="009600AD"/>
    <w:rsid w:val="00960EA9"/>
    <w:rsid w:val="009618B4"/>
    <w:rsid w:val="00962F13"/>
    <w:rsid w:val="00963E6E"/>
    <w:rsid w:val="00965200"/>
    <w:rsid w:val="009668B3"/>
    <w:rsid w:val="0096761F"/>
    <w:rsid w:val="00971471"/>
    <w:rsid w:val="00972338"/>
    <w:rsid w:val="009761F0"/>
    <w:rsid w:val="00981DCF"/>
    <w:rsid w:val="009849C2"/>
    <w:rsid w:val="00984D24"/>
    <w:rsid w:val="009858EB"/>
    <w:rsid w:val="00991F5D"/>
    <w:rsid w:val="009A3E49"/>
    <w:rsid w:val="009A3F47"/>
    <w:rsid w:val="009B0046"/>
    <w:rsid w:val="009B194A"/>
    <w:rsid w:val="009B198B"/>
    <w:rsid w:val="009B510C"/>
    <w:rsid w:val="009C1440"/>
    <w:rsid w:val="009C2107"/>
    <w:rsid w:val="009C5D9E"/>
    <w:rsid w:val="009C72E8"/>
    <w:rsid w:val="009D2C3E"/>
    <w:rsid w:val="009D3150"/>
    <w:rsid w:val="009E0625"/>
    <w:rsid w:val="009E3034"/>
    <w:rsid w:val="009E549F"/>
    <w:rsid w:val="009E628B"/>
    <w:rsid w:val="009F28A8"/>
    <w:rsid w:val="009F473E"/>
    <w:rsid w:val="009F4A13"/>
    <w:rsid w:val="009F4F35"/>
    <w:rsid w:val="009F682A"/>
    <w:rsid w:val="00A022BE"/>
    <w:rsid w:val="00A11326"/>
    <w:rsid w:val="00A12010"/>
    <w:rsid w:val="00A1508D"/>
    <w:rsid w:val="00A17A1F"/>
    <w:rsid w:val="00A24C95"/>
    <w:rsid w:val="00A2599A"/>
    <w:rsid w:val="00A26094"/>
    <w:rsid w:val="00A301BF"/>
    <w:rsid w:val="00A302B2"/>
    <w:rsid w:val="00A331B4"/>
    <w:rsid w:val="00A3484E"/>
    <w:rsid w:val="00A356D3"/>
    <w:rsid w:val="00A357AF"/>
    <w:rsid w:val="00A36ADA"/>
    <w:rsid w:val="00A438D8"/>
    <w:rsid w:val="00A473F5"/>
    <w:rsid w:val="00A51F9D"/>
    <w:rsid w:val="00A5416A"/>
    <w:rsid w:val="00A5504D"/>
    <w:rsid w:val="00A639F4"/>
    <w:rsid w:val="00A67B82"/>
    <w:rsid w:val="00A708A7"/>
    <w:rsid w:val="00A70E82"/>
    <w:rsid w:val="00A713DF"/>
    <w:rsid w:val="00A76177"/>
    <w:rsid w:val="00A81A32"/>
    <w:rsid w:val="00A835BD"/>
    <w:rsid w:val="00A83FE2"/>
    <w:rsid w:val="00A87AFB"/>
    <w:rsid w:val="00A92965"/>
    <w:rsid w:val="00A958F3"/>
    <w:rsid w:val="00A96D74"/>
    <w:rsid w:val="00A97B15"/>
    <w:rsid w:val="00A97DF5"/>
    <w:rsid w:val="00AA16F5"/>
    <w:rsid w:val="00AA42D5"/>
    <w:rsid w:val="00AA710A"/>
    <w:rsid w:val="00AB2FAB"/>
    <w:rsid w:val="00AB5C14"/>
    <w:rsid w:val="00AC0A3E"/>
    <w:rsid w:val="00AC1EE7"/>
    <w:rsid w:val="00AC333F"/>
    <w:rsid w:val="00AC585C"/>
    <w:rsid w:val="00AD1925"/>
    <w:rsid w:val="00AD696F"/>
    <w:rsid w:val="00AE067D"/>
    <w:rsid w:val="00AF1181"/>
    <w:rsid w:val="00AF2F79"/>
    <w:rsid w:val="00AF4653"/>
    <w:rsid w:val="00AF5830"/>
    <w:rsid w:val="00AF7DB7"/>
    <w:rsid w:val="00B02B11"/>
    <w:rsid w:val="00B157FA"/>
    <w:rsid w:val="00B201E2"/>
    <w:rsid w:val="00B23549"/>
    <w:rsid w:val="00B443E4"/>
    <w:rsid w:val="00B53116"/>
    <w:rsid w:val="00B5484D"/>
    <w:rsid w:val="00B563EA"/>
    <w:rsid w:val="00B56CDF"/>
    <w:rsid w:val="00B60E51"/>
    <w:rsid w:val="00B63A54"/>
    <w:rsid w:val="00B65560"/>
    <w:rsid w:val="00B77D18"/>
    <w:rsid w:val="00B8313A"/>
    <w:rsid w:val="00B93503"/>
    <w:rsid w:val="00BA31E8"/>
    <w:rsid w:val="00BA3ACF"/>
    <w:rsid w:val="00BA55E0"/>
    <w:rsid w:val="00BA6BD4"/>
    <w:rsid w:val="00BA6C7A"/>
    <w:rsid w:val="00BA705D"/>
    <w:rsid w:val="00BA7A4D"/>
    <w:rsid w:val="00BB052C"/>
    <w:rsid w:val="00BB17D1"/>
    <w:rsid w:val="00BB19EF"/>
    <w:rsid w:val="00BB3752"/>
    <w:rsid w:val="00BB3C6A"/>
    <w:rsid w:val="00BB4F19"/>
    <w:rsid w:val="00BB6688"/>
    <w:rsid w:val="00BC26D4"/>
    <w:rsid w:val="00BC7E36"/>
    <w:rsid w:val="00BE0C80"/>
    <w:rsid w:val="00BF2A42"/>
    <w:rsid w:val="00BF364F"/>
    <w:rsid w:val="00C00BBC"/>
    <w:rsid w:val="00C012E8"/>
    <w:rsid w:val="00C02F13"/>
    <w:rsid w:val="00C03D8C"/>
    <w:rsid w:val="00C055EC"/>
    <w:rsid w:val="00C06DDA"/>
    <w:rsid w:val="00C10DC9"/>
    <w:rsid w:val="00C12B49"/>
    <w:rsid w:val="00C12FB3"/>
    <w:rsid w:val="00C17341"/>
    <w:rsid w:val="00C22337"/>
    <w:rsid w:val="00C24EEF"/>
    <w:rsid w:val="00C25CF6"/>
    <w:rsid w:val="00C26C36"/>
    <w:rsid w:val="00C32768"/>
    <w:rsid w:val="00C33AD7"/>
    <w:rsid w:val="00C3551B"/>
    <w:rsid w:val="00C40ED6"/>
    <w:rsid w:val="00C4139C"/>
    <w:rsid w:val="00C431DF"/>
    <w:rsid w:val="00C456BD"/>
    <w:rsid w:val="00C52494"/>
    <w:rsid w:val="00C530DC"/>
    <w:rsid w:val="00C5350D"/>
    <w:rsid w:val="00C56DDA"/>
    <w:rsid w:val="00C6123C"/>
    <w:rsid w:val="00C6311A"/>
    <w:rsid w:val="00C707AE"/>
    <w:rsid w:val="00C7084D"/>
    <w:rsid w:val="00C7315E"/>
    <w:rsid w:val="00C75895"/>
    <w:rsid w:val="00C77629"/>
    <w:rsid w:val="00C83C9F"/>
    <w:rsid w:val="00C87569"/>
    <w:rsid w:val="00C94840"/>
    <w:rsid w:val="00C94BF3"/>
    <w:rsid w:val="00CA0293"/>
    <w:rsid w:val="00CA24C0"/>
    <w:rsid w:val="00CA4EE3"/>
    <w:rsid w:val="00CB027F"/>
    <w:rsid w:val="00CB10EF"/>
    <w:rsid w:val="00CB246F"/>
    <w:rsid w:val="00CB721D"/>
    <w:rsid w:val="00CB769D"/>
    <w:rsid w:val="00CC0D7D"/>
    <w:rsid w:val="00CC0EBB"/>
    <w:rsid w:val="00CC1650"/>
    <w:rsid w:val="00CC6297"/>
    <w:rsid w:val="00CC6635"/>
    <w:rsid w:val="00CC7690"/>
    <w:rsid w:val="00CD1986"/>
    <w:rsid w:val="00CD284A"/>
    <w:rsid w:val="00CD54BF"/>
    <w:rsid w:val="00CE12D3"/>
    <w:rsid w:val="00CE19B2"/>
    <w:rsid w:val="00CE4D5C"/>
    <w:rsid w:val="00CE7175"/>
    <w:rsid w:val="00CE7D96"/>
    <w:rsid w:val="00CF05DA"/>
    <w:rsid w:val="00CF5818"/>
    <w:rsid w:val="00CF58EB"/>
    <w:rsid w:val="00CF58F0"/>
    <w:rsid w:val="00CF6CAE"/>
    <w:rsid w:val="00CF6FEC"/>
    <w:rsid w:val="00D0106E"/>
    <w:rsid w:val="00D06383"/>
    <w:rsid w:val="00D06F2F"/>
    <w:rsid w:val="00D176AD"/>
    <w:rsid w:val="00D20E85"/>
    <w:rsid w:val="00D24615"/>
    <w:rsid w:val="00D24BE3"/>
    <w:rsid w:val="00D25BF4"/>
    <w:rsid w:val="00D27108"/>
    <w:rsid w:val="00D27931"/>
    <w:rsid w:val="00D32188"/>
    <w:rsid w:val="00D37842"/>
    <w:rsid w:val="00D4252A"/>
    <w:rsid w:val="00D42DC2"/>
    <w:rsid w:val="00D43644"/>
    <w:rsid w:val="00D44AFC"/>
    <w:rsid w:val="00D537E1"/>
    <w:rsid w:val="00D55BB2"/>
    <w:rsid w:val="00D57F86"/>
    <w:rsid w:val="00D6091A"/>
    <w:rsid w:val="00D61C85"/>
    <w:rsid w:val="00D6248A"/>
    <w:rsid w:val="00D6483F"/>
    <w:rsid w:val="00D6605A"/>
    <w:rsid w:val="00D6695F"/>
    <w:rsid w:val="00D72324"/>
    <w:rsid w:val="00D74A61"/>
    <w:rsid w:val="00D75644"/>
    <w:rsid w:val="00D81575"/>
    <w:rsid w:val="00D81656"/>
    <w:rsid w:val="00D83D87"/>
    <w:rsid w:val="00D84A6D"/>
    <w:rsid w:val="00D86A30"/>
    <w:rsid w:val="00D97830"/>
    <w:rsid w:val="00D978D9"/>
    <w:rsid w:val="00D97CB4"/>
    <w:rsid w:val="00D97DD4"/>
    <w:rsid w:val="00DA5A8A"/>
    <w:rsid w:val="00DB26CD"/>
    <w:rsid w:val="00DB441C"/>
    <w:rsid w:val="00DB44AF"/>
    <w:rsid w:val="00DC1F58"/>
    <w:rsid w:val="00DC316C"/>
    <w:rsid w:val="00DC339B"/>
    <w:rsid w:val="00DC5D40"/>
    <w:rsid w:val="00DC6252"/>
    <w:rsid w:val="00DC69A7"/>
    <w:rsid w:val="00DD241D"/>
    <w:rsid w:val="00DD30E9"/>
    <w:rsid w:val="00DD4F47"/>
    <w:rsid w:val="00DD7FBB"/>
    <w:rsid w:val="00DE0857"/>
    <w:rsid w:val="00DE0B9F"/>
    <w:rsid w:val="00DE2A9E"/>
    <w:rsid w:val="00DE4238"/>
    <w:rsid w:val="00DE657F"/>
    <w:rsid w:val="00DE7548"/>
    <w:rsid w:val="00DF1218"/>
    <w:rsid w:val="00DF6462"/>
    <w:rsid w:val="00E01E5D"/>
    <w:rsid w:val="00E02FA0"/>
    <w:rsid w:val="00E036DC"/>
    <w:rsid w:val="00E05CAA"/>
    <w:rsid w:val="00E06D56"/>
    <w:rsid w:val="00E10454"/>
    <w:rsid w:val="00E112E5"/>
    <w:rsid w:val="00E12CC8"/>
    <w:rsid w:val="00E131C8"/>
    <w:rsid w:val="00E15352"/>
    <w:rsid w:val="00E20C4D"/>
    <w:rsid w:val="00E21CC7"/>
    <w:rsid w:val="00E24D1B"/>
    <w:rsid w:val="00E24D9E"/>
    <w:rsid w:val="00E25849"/>
    <w:rsid w:val="00E3197E"/>
    <w:rsid w:val="00E342F8"/>
    <w:rsid w:val="00E351ED"/>
    <w:rsid w:val="00E4069A"/>
    <w:rsid w:val="00E44C1E"/>
    <w:rsid w:val="00E504B1"/>
    <w:rsid w:val="00E55CF6"/>
    <w:rsid w:val="00E6034B"/>
    <w:rsid w:val="00E6371E"/>
    <w:rsid w:val="00E6549E"/>
    <w:rsid w:val="00E65EDE"/>
    <w:rsid w:val="00E70F81"/>
    <w:rsid w:val="00E7351C"/>
    <w:rsid w:val="00E77055"/>
    <w:rsid w:val="00E77460"/>
    <w:rsid w:val="00E801DC"/>
    <w:rsid w:val="00E8056D"/>
    <w:rsid w:val="00E83ABC"/>
    <w:rsid w:val="00E844F2"/>
    <w:rsid w:val="00E86877"/>
    <w:rsid w:val="00E90AD0"/>
    <w:rsid w:val="00E92FCB"/>
    <w:rsid w:val="00E96AA0"/>
    <w:rsid w:val="00EA147F"/>
    <w:rsid w:val="00EA1F96"/>
    <w:rsid w:val="00EA4A27"/>
    <w:rsid w:val="00EA4FA6"/>
    <w:rsid w:val="00EA5FD1"/>
    <w:rsid w:val="00EB1A25"/>
    <w:rsid w:val="00EB2F90"/>
    <w:rsid w:val="00EC4622"/>
    <w:rsid w:val="00ED03AB"/>
    <w:rsid w:val="00ED1CD4"/>
    <w:rsid w:val="00ED1D2B"/>
    <w:rsid w:val="00ED6358"/>
    <w:rsid w:val="00ED64B5"/>
    <w:rsid w:val="00ED6B14"/>
    <w:rsid w:val="00EE0B41"/>
    <w:rsid w:val="00EE7CCA"/>
    <w:rsid w:val="00EF2D0C"/>
    <w:rsid w:val="00EF7673"/>
    <w:rsid w:val="00F0333B"/>
    <w:rsid w:val="00F036A6"/>
    <w:rsid w:val="00F03BFE"/>
    <w:rsid w:val="00F16A14"/>
    <w:rsid w:val="00F21339"/>
    <w:rsid w:val="00F255C0"/>
    <w:rsid w:val="00F3617E"/>
    <w:rsid w:val="00F362D7"/>
    <w:rsid w:val="00F37D7B"/>
    <w:rsid w:val="00F40AF3"/>
    <w:rsid w:val="00F43A97"/>
    <w:rsid w:val="00F5314C"/>
    <w:rsid w:val="00F55B16"/>
    <w:rsid w:val="00F5688C"/>
    <w:rsid w:val="00F56C3D"/>
    <w:rsid w:val="00F60048"/>
    <w:rsid w:val="00F6138F"/>
    <w:rsid w:val="00F635DD"/>
    <w:rsid w:val="00F6627B"/>
    <w:rsid w:val="00F7336E"/>
    <w:rsid w:val="00F734F2"/>
    <w:rsid w:val="00F75052"/>
    <w:rsid w:val="00F804D3"/>
    <w:rsid w:val="00F81CD2"/>
    <w:rsid w:val="00F82641"/>
    <w:rsid w:val="00F87023"/>
    <w:rsid w:val="00F8739E"/>
    <w:rsid w:val="00F90F18"/>
    <w:rsid w:val="00F91607"/>
    <w:rsid w:val="00F937E4"/>
    <w:rsid w:val="00F95300"/>
    <w:rsid w:val="00F95EE7"/>
    <w:rsid w:val="00FA39E6"/>
    <w:rsid w:val="00FA40EB"/>
    <w:rsid w:val="00FA7BC9"/>
    <w:rsid w:val="00FA7CBE"/>
    <w:rsid w:val="00FB1061"/>
    <w:rsid w:val="00FB378E"/>
    <w:rsid w:val="00FB37F1"/>
    <w:rsid w:val="00FB4441"/>
    <w:rsid w:val="00FB47C0"/>
    <w:rsid w:val="00FB501B"/>
    <w:rsid w:val="00FB7770"/>
    <w:rsid w:val="00FC7BB8"/>
    <w:rsid w:val="00FD3B91"/>
    <w:rsid w:val="00FD4710"/>
    <w:rsid w:val="00FD576B"/>
    <w:rsid w:val="00FD579E"/>
    <w:rsid w:val="00FD6845"/>
    <w:rsid w:val="00FE008C"/>
    <w:rsid w:val="00FE4516"/>
    <w:rsid w:val="00FE5E3C"/>
    <w:rsid w:val="00FE64C8"/>
    <w:rsid w:val="00FF3C9F"/>
    <w:rsid w:val="00FF5682"/>
    <w:rsid w:val="00FF7D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02F13"/>
    <w:pPr>
      <w:tabs>
        <w:tab w:val="left" w:pos="1701"/>
        <w:tab w:val="left" w:pos="2140"/>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4B6C2A"/>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8">
    <w:name w:val="List Paragraph"/>
    <w:basedOn w:val="a7"/>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
    <w:basedOn w:val="a8"/>
    <w:link w:val="2"/>
    <w:rsid w:val="00E504B1"/>
    <w:rPr>
      <w:rFonts w:ascii="標楷體" w:eastAsia="標楷體" w:hAnsi="Arial"/>
      <w:bCs/>
      <w:kern w:val="32"/>
      <w:sz w:val="32"/>
      <w:szCs w:val="48"/>
    </w:rPr>
  </w:style>
  <w:style w:type="paragraph" w:styleId="afb">
    <w:name w:val="footnote text"/>
    <w:basedOn w:val="a7"/>
    <w:link w:val="afc"/>
    <w:uiPriority w:val="99"/>
    <w:unhideWhenUsed/>
    <w:rsid w:val="00E504B1"/>
    <w:pPr>
      <w:snapToGrid w:val="0"/>
      <w:jc w:val="left"/>
    </w:pPr>
    <w:rPr>
      <w:sz w:val="20"/>
    </w:rPr>
  </w:style>
  <w:style w:type="character" w:customStyle="1" w:styleId="afc">
    <w:name w:val="註腳文字 字元"/>
    <w:basedOn w:val="a8"/>
    <w:link w:val="afb"/>
    <w:uiPriority w:val="99"/>
    <w:rsid w:val="00E504B1"/>
    <w:rPr>
      <w:rFonts w:ascii="標楷體" w:eastAsia="標楷體"/>
      <w:kern w:val="2"/>
    </w:rPr>
  </w:style>
  <w:style w:type="character" w:styleId="afd">
    <w:name w:val="footnote reference"/>
    <w:basedOn w:val="a8"/>
    <w:uiPriority w:val="99"/>
    <w:semiHidden/>
    <w:unhideWhenUsed/>
    <w:rsid w:val="00E504B1"/>
    <w:rPr>
      <w:vertAlign w:val="superscript"/>
    </w:rPr>
  </w:style>
  <w:style w:type="character" w:customStyle="1" w:styleId="40">
    <w:name w:val="標題 4 字元"/>
    <w:aliases w:val="表格 字元,一 字元"/>
    <w:basedOn w:val="a8"/>
    <w:link w:val="4"/>
    <w:rsid w:val="00E504B1"/>
    <w:rPr>
      <w:rFonts w:ascii="標楷體" w:eastAsia="標楷體" w:hAnsi="Arial"/>
      <w:kern w:val="32"/>
      <w:sz w:val="32"/>
      <w:szCs w:val="36"/>
    </w:rPr>
  </w:style>
  <w:style w:type="character" w:customStyle="1" w:styleId="50">
    <w:name w:val="標題 5 字元"/>
    <w:basedOn w:val="a8"/>
    <w:link w:val="5"/>
    <w:rsid w:val="00E504B1"/>
    <w:rPr>
      <w:rFonts w:ascii="標楷體" w:eastAsia="標楷體" w:hAnsi="Arial"/>
      <w:bCs/>
      <w:kern w:val="32"/>
      <w:sz w:val="32"/>
      <w:szCs w:val="36"/>
    </w:rPr>
  </w:style>
  <w:style w:type="character" w:customStyle="1" w:styleId="apple-converted-space">
    <w:name w:val="apple-converted-space"/>
    <w:basedOn w:val="a8"/>
    <w:rsid w:val="00E504B1"/>
  </w:style>
  <w:style w:type="paragraph" w:customStyle="1" w:styleId="afe">
    <w:name w:val="分項段落"/>
    <w:basedOn w:val="a7"/>
    <w:uiPriority w:val="99"/>
    <w:rsid w:val="00E504B1"/>
    <w:pPr>
      <w:widowControl/>
      <w:tabs>
        <w:tab w:val="num" w:pos="1440"/>
      </w:tabs>
      <w:overflowPunct/>
      <w:autoSpaceDE/>
      <w:autoSpaceDN/>
      <w:snapToGrid w:val="0"/>
      <w:ind w:left="695" w:hanging="695"/>
      <w:textAlignment w:val="baseline"/>
    </w:pPr>
    <w:rPr>
      <w:rFonts w:ascii="Times New Roman"/>
      <w:noProof/>
      <w:kern w:val="0"/>
      <w:sz w:val="36"/>
    </w:rPr>
  </w:style>
  <w:style w:type="paragraph" w:customStyle="1" w:styleId="93">
    <w:name w:val="標題9"/>
    <w:basedOn w:val="a7"/>
    <w:rsid w:val="00E504B1"/>
    <w:pPr>
      <w:tabs>
        <w:tab w:val="num" w:pos="6195"/>
      </w:tabs>
      <w:overflowPunct/>
      <w:autoSpaceDE/>
      <w:autoSpaceDN/>
      <w:ind w:left="5015" w:hanging="1700"/>
      <w:jc w:val="left"/>
    </w:pPr>
    <w:rPr>
      <w:rFonts w:ascii="Times New Roman"/>
    </w:rPr>
  </w:style>
  <w:style w:type="paragraph" w:customStyle="1" w:styleId="141">
    <w:name w:val="樣式14"/>
    <w:basedOn w:val="a7"/>
    <w:rsid w:val="00E504B1"/>
    <w:pPr>
      <w:overflowPunct/>
      <w:autoSpaceDE/>
      <w:autoSpaceDN/>
      <w:adjustRightInd w:val="0"/>
      <w:spacing w:line="360" w:lineRule="auto"/>
      <w:ind w:left="1361" w:hanging="284"/>
      <w:textAlignment w:val="baseline"/>
    </w:pPr>
    <w:rPr>
      <w:kern w:val="0"/>
      <w:sz w:val="28"/>
    </w:rPr>
  </w:style>
  <w:style w:type="table" w:customStyle="1" w:styleId="33">
    <w:name w:val="表格格線3"/>
    <w:basedOn w:val="a9"/>
    <w:next w:val="af7"/>
    <w:uiPriority w:val="59"/>
    <w:rsid w:val="00E504B1"/>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日期1"/>
    <w:basedOn w:val="a8"/>
    <w:rsid w:val="00E504B1"/>
  </w:style>
  <w:style w:type="character" w:customStyle="1" w:styleId="ptname">
    <w:name w:val="ptname"/>
    <w:basedOn w:val="a8"/>
    <w:rsid w:val="00E504B1"/>
  </w:style>
  <w:style w:type="paragraph" w:styleId="23">
    <w:name w:val="Body Text Indent 2"/>
    <w:basedOn w:val="a7"/>
    <w:link w:val="24"/>
    <w:uiPriority w:val="99"/>
    <w:semiHidden/>
    <w:unhideWhenUsed/>
    <w:rsid w:val="00E504B1"/>
    <w:pPr>
      <w:overflowPunct/>
      <w:autoSpaceDE/>
      <w:autoSpaceDN/>
      <w:spacing w:after="120" w:line="480" w:lineRule="auto"/>
      <w:ind w:leftChars="200" w:left="480"/>
      <w:jc w:val="left"/>
    </w:pPr>
    <w:rPr>
      <w:rFonts w:ascii="Times New Roman"/>
    </w:rPr>
  </w:style>
  <w:style w:type="character" w:customStyle="1" w:styleId="24">
    <w:name w:val="本文縮排 2 字元"/>
    <w:basedOn w:val="a8"/>
    <w:link w:val="23"/>
    <w:uiPriority w:val="99"/>
    <w:semiHidden/>
    <w:rsid w:val="00E504B1"/>
    <w:rPr>
      <w:rFonts w:eastAsia="標楷體"/>
      <w:kern w:val="2"/>
      <w:sz w:val="32"/>
    </w:rPr>
  </w:style>
  <w:style w:type="paragraph" w:customStyle="1" w:styleId="15">
    <w:name w:val="清單段落1"/>
    <w:basedOn w:val="a7"/>
    <w:rsid w:val="00E504B1"/>
    <w:pPr>
      <w:overflowPunct/>
      <w:autoSpaceDE/>
      <w:autoSpaceDN/>
      <w:ind w:leftChars="200" w:left="200"/>
      <w:jc w:val="left"/>
    </w:pPr>
    <w:rPr>
      <w:rFonts w:ascii="Times New Roman" w:eastAsia="新細明體"/>
      <w:sz w:val="24"/>
      <w:szCs w:val="24"/>
    </w:rPr>
  </w:style>
  <w:style w:type="paragraph" w:styleId="a">
    <w:name w:val="List Bullet"/>
    <w:basedOn w:val="a7"/>
    <w:uiPriority w:val="99"/>
    <w:unhideWhenUsed/>
    <w:rsid w:val="00E504B1"/>
    <w:pPr>
      <w:numPr>
        <w:numId w:val="13"/>
      </w:numPr>
      <w:contextualSpacing/>
    </w:pPr>
  </w:style>
  <w:style w:type="paragraph" w:customStyle="1" w:styleId="aff">
    <w:name w:val="表樣式"/>
    <w:basedOn w:val="a7"/>
    <w:next w:val="a7"/>
    <w:rsid w:val="00A12010"/>
    <w:pPr>
      <w:tabs>
        <w:tab w:val="num" w:pos="1440"/>
      </w:tabs>
      <w:overflowPunct/>
      <w:autoSpaceDE/>
      <w:autoSpaceDN/>
      <w:ind w:left="695" w:hanging="695"/>
    </w:pPr>
    <w:rPr>
      <w:kern w:val="0"/>
    </w:rPr>
  </w:style>
  <w:style w:type="paragraph" w:customStyle="1" w:styleId="aff0">
    <w:name w:val="圖樣式"/>
    <w:basedOn w:val="a7"/>
    <w:next w:val="a7"/>
    <w:rsid w:val="00A12010"/>
    <w:pPr>
      <w:overflowPunct/>
      <w:autoSpaceDE/>
      <w:autoSpaceDN/>
      <w:ind w:left="400" w:hangingChars="400" w:hanging="400"/>
    </w:pPr>
  </w:style>
  <w:style w:type="table" w:customStyle="1" w:styleId="16">
    <w:name w:val="表格格線1"/>
    <w:basedOn w:val="a9"/>
    <w:next w:val="af7"/>
    <w:uiPriority w:val="59"/>
    <w:rsid w:val="00A12010"/>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表格格線2"/>
    <w:basedOn w:val="a9"/>
    <w:next w:val="af7"/>
    <w:uiPriority w:val="59"/>
    <w:rsid w:val="00A12010"/>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8"/>
    <w:link w:val="3"/>
    <w:rsid w:val="00A12010"/>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02F13"/>
    <w:pPr>
      <w:tabs>
        <w:tab w:val="left" w:pos="1701"/>
        <w:tab w:val="left" w:pos="2140"/>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4B6C2A"/>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8">
    <w:name w:val="List Paragraph"/>
    <w:basedOn w:val="a7"/>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
    <w:basedOn w:val="a8"/>
    <w:link w:val="2"/>
    <w:rsid w:val="00E504B1"/>
    <w:rPr>
      <w:rFonts w:ascii="標楷體" w:eastAsia="標楷體" w:hAnsi="Arial"/>
      <w:bCs/>
      <w:kern w:val="32"/>
      <w:sz w:val="32"/>
      <w:szCs w:val="48"/>
    </w:rPr>
  </w:style>
  <w:style w:type="paragraph" w:styleId="afb">
    <w:name w:val="footnote text"/>
    <w:basedOn w:val="a7"/>
    <w:link w:val="afc"/>
    <w:uiPriority w:val="99"/>
    <w:unhideWhenUsed/>
    <w:rsid w:val="00E504B1"/>
    <w:pPr>
      <w:snapToGrid w:val="0"/>
      <w:jc w:val="left"/>
    </w:pPr>
    <w:rPr>
      <w:sz w:val="20"/>
    </w:rPr>
  </w:style>
  <w:style w:type="character" w:customStyle="1" w:styleId="afc">
    <w:name w:val="註腳文字 字元"/>
    <w:basedOn w:val="a8"/>
    <w:link w:val="afb"/>
    <w:uiPriority w:val="99"/>
    <w:rsid w:val="00E504B1"/>
    <w:rPr>
      <w:rFonts w:ascii="標楷體" w:eastAsia="標楷體"/>
      <w:kern w:val="2"/>
    </w:rPr>
  </w:style>
  <w:style w:type="character" w:styleId="afd">
    <w:name w:val="footnote reference"/>
    <w:basedOn w:val="a8"/>
    <w:uiPriority w:val="99"/>
    <w:semiHidden/>
    <w:unhideWhenUsed/>
    <w:rsid w:val="00E504B1"/>
    <w:rPr>
      <w:vertAlign w:val="superscript"/>
    </w:rPr>
  </w:style>
  <w:style w:type="character" w:customStyle="1" w:styleId="40">
    <w:name w:val="標題 4 字元"/>
    <w:aliases w:val="表格 字元,一 字元"/>
    <w:basedOn w:val="a8"/>
    <w:link w:val="4"/>
    <w:rsid w:val="00E504B1"/>
    <w:rPr>
      <w:rFonts w:ascii="標楷體" w:eastAsia="標楷體" w:hAnsi="Arial"/>
      <w:kern w:val="32"/>
      <w:sz w:val="32"/>
      <w:szCs w:val="36"/>
    </w:rPr>
  </w:style>
  <w:style w:type="character" w:customStyle="1" w:styleId="50">
    <w:name w:val="標題 5 字元"/>
    <w:basedOn w:val="a8"/>
    <w:link w:val="5"/>
    <w:rsid w:val="00E504B1"/>
    <w:rPr>
      <w:rFonts w:ascii="標楷體" w:eastAsia="標楷體" w:hAnsi="Arial"/>
      <w:bCs/>
      <w:kern w:val="32"/>
      <w:sz w:val="32"/>
      <w:szCs w:val="36"/>
    </w:rPr>
  </w:style>
  <w:style w:type="character" w:customStyle="1" w:styleId="apple-converted-space">
    <w:name w:val="apple-converted-space"/>
    <w:basedOn w:val="a8"/>
    <w:rsid w:val="00E504B1"/>
  </w:style>
  <w:style w:type="paragraph" w:customStyle="1" w:styleId="afe">
    <w:name w:val="分項段落"/>
    <w:basedOn w:val="a7"/>
    <w:uiPriority w:val="99"/>
    <w:rsid w:val="00E504B1"/>
    <w:pPr>
      <w:widowControl/>
      <w:tabs>
        <w:tab w:val="num" w:pos="1440"/>
      </w:tabs>
      <w:overflowPunct/>
      <w:autoSpaceDE/>
      <w:autoSpaceDN/>
      <w:snapToGrid w:val="0"/>
      <w:ind w:left="695" w:hanging="695"/>
      <w:textAlignment w:val="baseline"/>
    </w:pPr>
    <w:rPr>
      <w:rFonts w:ascii="Times New Roman"/>
      <w:noProof/>
      <w:kern w:val="0"/>
      <w:sz w:val="36"/>
    </w:rPr>
  </w:style>
  <w:style w:type="paragraph" w:customStyle="1" w:styleId="93">
    <w:name w:val="標題9"/>
    <w:basedOn w:val="a7"/>
    <w:rsid w:val="00E504B1"/>
    <w:pPr>
      <w:tabs>
        <w:tab w:val="num" w:pos="6195"/>
      </w:tabs>
      <w:overflowPunct/>
      <w:autoSpaceDE/>
      <w:autoSpaceDN/>
      <w:ind w:left="5015" w:hanging="1700"/>
      <w:jc w:val="left"/>
    </w:pPr>
    <w:rPr>
      <w:rFonts w:ascii="Times New Roman"/>
    </w:rPr>
  </w:style>
  <w:style w:type="paragraph" w:customStyle="1" w:styleId="141">
    <w:name w:val="樣式14"/>
    <w:basedOn w:val="a7"/>
    <w:rsid w:val="00E504B1"/>
    <w:pPr>
      <w:overflowPunct/>
      <w:autoSpaceDE/>
      <w:autoSpaceDN/>
      <w:adjustRightInd w:val="0"/>
      <w:spacing w:line="360" w:lineRule="auto"/>
      <w:ind w:left="1361" w:hanging="284"/>
      <w:textAlignment w:val="baseline"/>
    </w:pPr>
    <w:rPr>
      <w:kern w:val="0"/>
      <w:sz w:val="28"/>
    </w:rPr>
  </w:style>
  <w:style w:type="table" w:customStyle="1" w:styleId="33">
    <w:name w:val="表格格線3"/>
    <w:basedOn w:val="a9"/>
    <w:next w:val="af7"/>
    <w:uiPriority w:val="59"/>
    <w:rsid w:val="00E504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日期1"/>
    <w:basedOn w:val="a8"/>
    <w:rsid w:val="00E504B1"/>
  </w:style>
  <w:style w:type="character" w:customStyle="1" w:styleId="ptname">
    <w:name w:val="ptname"/>
    <w:basedOn w:val="a8"/>
    <w:rsid w:val="00E504B1"/>
  </w:style>
  <w:style w:type="paragraph" w:styleId="23">
    <w:name w:val="Body Text Indent 2"/>
    <w:basedOn w:val="a7"/>
    <w:link w:val="24"/>
    <w:uiPriority w:val="99"/>
    <w:semiHidden/>
    <w:unhideWhenUsed/>
    <w:rsid w:val="00E504B1"/>
    <w:pPr>
      <w:overflowPunct/>
      <w:autoSpaceDE/>
      <w:autoSpaceDN/>
      <w:spacing w:after="120" w:line="480" w:lineRule="auto"/>
      <w:ind w:leftChars="200" w:left="480"/>
      <w:jc w:val="left"/>
    </w:pPr>
    <w:rPr>
      <w:rFonts w:ascii="Times New Roman"/>
    </w:rPr>
  </w:style>
  <w:style w:type="character" w:customStyle="1" w:styleId="24">
    <w:name w:val="本文縮排 2 字元"/>
    <w:basedOn w:val="a8"/>
    <w:link w:val="23"/>
    <w:uiPriority w:val="99"/>
    <w:semiHidden/>
    <w:rsid w:val="00E504B1"/>
    <w:rPr>
      <w:rFonts w:eastAsia="標楷體"/>
      <w:kern w:val="2"/>
      <w:sz w:val="32"/>
    </w:rPr>
  </w:style>
  <w:style w:type="paragraph" w:customStyle="1" w:styleId="15">
    <w:name w:val="清單段落1"/>
    <w:basedOn w:val="a7"/>
    <w:rsid w:val="00E504B1"/>
    <w:pPr>
      <w:overflowPunct/>
      <w:autoSpaceDE/>
      <w:autoSpaceDN/>
      <w:ind w:leftChars="200" w:left="200"/>
      <w:jc w:val="left"/>
    </w:pPr>
    <w:rPr>
      <w:rFonts w:ascii="Times New Roman" w:eastAsia="新細明體"/>
      <w:sz w:val="24"/>
      <w:szCs w:val="24"/>
    </w:rPr>
  </w:style>
  <w:style w:type="paragraph" w:styleId="a">
    <w:name w:val="List Bullet"/>
    <w:basedOn w:val="a7"/>
    <w:uiPriority w:val="99"/>
    <w:unhideWhenUsed/>
    <w:rsid w:val="00E504B1"/>
    <w:pPr>
      <w:numPr>
        <w:numId w:val="13"/>
      </w:numPr>
      <w:contextualSpacing/>
    </w:pPr>
  </w:style>
  <w:style w:type="paragraph" w:customStyle="1" w:styleId="aff">
    <w:name w:val="表樣式"/>
    <w:basedOn w:val="a7"/>
    <w:next w:val="a7"/>
    <w:rsid w:val="00A12010"/>
    <w:pPr>
      <w:tabs>
        <w:tab w:val="num" w:pos="1440"/>
      </w:tabs>
      <w:overflowPunct/>
      <w:autoSpaceDE/>
      <w:autoSpaceDN/>
      <w:ind w:left="695" w:hanging="695"/>
    </w:pPr>
    <w:rPr>
      <w:kern w:val="0"/>
    </w:rPr>
  </w:style>
  <w:style w:type="paragraph" w:customStyle="1" w:styleId="aff0">
    <w:name w:val="圖樣式"/>
    <w:basedOn w:val="a7"/>
    <w:next w:val="a7"/>
    <w:rsid w:val="00A12010"/>
    <w:pPr>
      <w:overflowPunct/>
      <w:autoSpaceDE/>
      <w:autoSpaceDN/>
      <w:ind w:left="400" w:hangingChars="400" w:hanging="400"/>
    </w:pPr>
  </w:style>
  <w:style w:type="table" w:customStyle="1" w:styleId="16">
    <w:name w:val="表格格線1"/>
    <w:basedOn w:val="a9"/>
    <w:next w:val="af7"/>
    <w:uiPriority w:val="59"/>
    <w:rsid w:val="00A1201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9"/>
    <w:next w:val="af7"/>
    <w:uiPriority w:val="59"/>
    <w:rsid w:val="00A1201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8"/>
    <w:link w:val="3"/>
    <w:rsid w:val="00A12010"/>
    <w:rPr>
      <w:rFonts w:ascii="標楷體" w:eastAsia="標楷體" w:hAnsi="Arial"/>
      <w:bCs/>
      <w:kern w:val="32"/>
      <w:sz w:val="32"/>
      <w:szCs w:val="36"/>
    </w:rPr>
  </w:style>
</w:styles>
</file>

<file path=word/webSettings.xml><?xml version="1.0" encoding="utf-8"?>
<w:webSettings xmlns:r="http://schemas.openxmlformats.org/officeDocument/2006/relationships" xmlns:w="http://schemas.openxmlformats.org/wordprocessingml/2006/main">
  <w:divs>
    <w:div w:id="19548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6"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1923-0C22-4032-953D-4DDD6D21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57</Pages>
  <Words>31762</Words>
  <Characters>4535</Characters>
  <Application>Microsoft Office Word</Application>
  <DocSecurity>0</DocSecurity>
  <Lines>37</Lines>
  <Paragraphs>72</Paragraphs>
  <ScaleCrop>false</ScaleCrop>
  <Company>cy</Company>
  <LinksUpToDate>false</LinksUpToDate>
  <CharactersWithSpaces>36225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吳德良</dc:creator>
  <cp:lastModifiedBy>Administrator</cp:lastModifiedBy>
  <cp:revision>4</cp:revision>
  <cp:lastPrinted>2016-06-30T06:18:00Z</cp:lastPrinted>
  <dcterms:created xsi:type="dcterms:W3CDTF">2016-07-06T08:15:00Z</dcterms:created>
  <dcterms:modified xsi:type="dcterms:W3CDTF">2016-07-06T08:23:00Z</dcterms:modified>
</cp:coreProperties>
</file>