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A67C92" w:rsidRDefault="00E25849" w:rsidP="0025683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67C92">
        <w:rPr>
          <w:rFonts w:hint="eastAsia"/>
        </w:rPr>
        <w:t>案　　由：</w:t>
      </w:r>
      <w:bookmarkEnd w:id="0"/>
      <w:bookmarkEnd w:id="1"/>
      <w:bookmarkEnd w:id="2"/>
      <w:bookmarkEnd w:id="3"/>
      <w:bookmarkEnd w:id="4"/>
      <w:bookmarkEnd w:id="5"/>
      <w:bookmarkEnd w:id="6"/>
      <w:bookmarkEnd w:id="7"/>
      <w:bookmarkEnd w:id="8"/>
      <w:bookmarkEnd w:id="9"/>
      <w:r w:rsidR="00256834" w:rsidRPr="00A67C92">
        <w:rPr>
          <w:rFonts w:hint="eastAsia"/>
        </w:rPr>
        <w:t>據審計部函報：派員抽查高雄市那瑪夏區公所（原「高雄縣那瑪夏鄉公所」）辦理莫拉克颱風勸募款項收支運用情形，據報核有違失異常情事案。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67C9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A67C92">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67C92">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67C92" w:rsidRDefault="00CD7D4F" w:rsidP="00A639F4">
      <w:pPr>
        <w:pStyle w:val="10"/>
        <w:ind w:left="680" w:firstLine="680"/>
      </w:pPr>
      <w:bookmarkStart w:id="49" w:name="_Toc524902730"/>
      <w:r w:rsidRPr="00A67C92">
        <w:rPr>
          <w:rFonts w:hint="eastAsia"/>
        </w:rPr>
        <w:t>據審計部函報，高雄市那瑪夏區公所【原高雄縣那瑪夏鄉公所，民國(下同)99年12月25日市縣合併改制為高雄市那瑪夏區公所，103年12月25日配合地方制度法修正，再改制為原住民自治區，</w:t>
      </w:r>
      <w:r w:rsidR="00460419" w:rsidRPr="00A67C92">
        <w:rPr>
          <w:rFonts w:hint="eastAsia"/>
        </w:rPr>
        <w:t>下涉本案時仍稱那瑪夏鄉公所</w:t>
      </w:r>
      <w:r w:rsidRPr="00A67C92">
        <w:rPr>
          <w:rFonts w:hint="eastAsia"/>
        </w:rPr>
        <w:t>】於98年8月以迄99年8月間，辦理莫拉克風災</w:t>
      </w:r>
      <w:r w:rsidRPr="00A67C92">
        <w:rPr>
          <w:rFonts w:hAnsi="標楷體" w:hint="eastAsia"/>
          <w:spacing w:val="-2"/>
          <w:szCs w:val="32"/>
        </w:rPr>
        <w:t>勸募款項之收支運用，涉有</w:t>
      </w:r>
      <w:r w:rsidRPr="00A67C92">
        <w:rPr>
          <w:rFonts w:hint="eastAsia"/>
        </w:rPr>
        <w:t>違失等情事。案經本院蒐整相關前案資料，函請臺灣高雄地方法院(下稱高雄地院)、臺灣高雄地方法院檢察署(下稱高雄地檢署)提供本案偵審資料，另詢問那瑪夏鄉公所前鄉長</w:t>
      </w:r>
      <w:r w:rsidR="006D1F0D" w:rsidRPr="00A67C92">
        <w:rPr>
          <w:rFonts w:hint="eastAsia"/>
        </w:rPr>
        <w:t>伊斯坦大</w:t>
      </w:r>
      <w:r w:rsidR="00BC06C7" w:rsidRPr="00A67C92">
        <w:rPr>
          <w:rFonts w:hint="eastAsia"/>
        </w:rPr>
        <w:t>‧</w:t>
      </w:r>
      <w:r w:rsidR="006D1F0D" w:rsidRPr="00A67C92">
        <w:rPr>
          <w:rFonts w:hint="eastAsia"/>
        </w:rPr>
        <w:t>呼頌</w:t>
      </w:r>
      <w:r w:rsidRPr="00A67C92">
        <w:rPr>
          <w:rFonts w:hint="eastAsia"/>
        </w:rPr>
        <w:t>等相關人員並請提出書面說明，業經調查竣事，茲提出調查意見如下</w:t>
      </w:r>
      <w:r w:rsidR="00FB501B" w:rsidRPr="00A67C92">
        <w:rPr>
          <w:rFonts w:hint="eastAsia"/>
        </w:rPr>
        <w:t>：</w:t>
      </w:r>
    </w:p>
    <w:p w:rsidR="00073CB5" w:rsidRPr="00A67C92" w:rsidRDefault="000C4427" w:rsidP="00DE4238">
      <w:pPr>
        <w:pStyle w:val="2"/>
        <w:rPr>
          <w:b/>
        </w:rPr>
      </w:pPr>
      <w:r w:rsidRPr="00A67C92">
        <w:rPr>
          <w:rFonts w:hint="eastAsia"/>
          <w:b/>
        </w:rPr>
        <w:t>98年間</w:t>
      </w:r>
      <w:r w:rsidR="00CD7D4F" w:rsidRPr="00A67C92">
        <w:rPr>
          <w:rFonts w:hint="eastAsia"/>
          <w:b/>
        </w:rPr>
        <w:t>莫拉克風災</w:t>
      </w:r>
      <w:r w:rsidR="006D3EAD" w:rsidRPr="00A67C92">
        <w:rPr>
          <w:rFonts w:hint="eastAsia"/>
          <w:b/>
        </w:rPr>
        <w:t>重創那瑪夏地區，</w:t>
      </w:r>
      <w:r w:rsidRPr="00A67C92">
        <w:rPr>
          <w:rFonts w:hint="eastAsia"/>
          <w:b/>
        </w:rPr>
        <w:t>那瑪夏鄉公所建物更為土石掩埋，帳冊簿據滅失，受損嚴重，該公所為因應此情形而異地分署辦公並</w:t>
      </w:r>
      <w:r w:rsidR="006D3EAD" w:rsidRPr="00A67C92">
        <w:rPr>
          <w:rFonts w:hint="eastAsia"/>
          <w:b/>
        </w:rPr>
        <w:t>於98年8月至99年8月間接受各界捐贈；惟因各地捐款</w:t>
      </w:r>
      <w:r w:rsidR="003E662D" w:rsidRPr="00A67C92">
        <w:rPr>
          <w:rFonts w:hint="eastAsia"/>
          <w:b/>
        </w:rPr>
        <w:t>湧入，且</w:t>
      </w:r>
      <w:r w:rsidRPr="00A67C92">
        <w:rPr>
          <w:rFonts w:hint="eastAsia"/>
          <w:b/>
        </w:rPr>
        <w:t>有匿名捐贈或指定用途捐贈等情事</w:t>
      </w:r>
      <w:r w:rsidR="003E662D" w:rsidRPr="00A67C92">
        <w:rPr>
          <w:rFonts w:hint="eastAsia"/>
          <w:b/>
        </w:rPr>
        <w:t>，致</w:t>
      </w:r>
      <w:r w:rsidR="00811E26" w:rsidRPr="00A67C92">
        <w:rPr>
          <w:rFonts w:hint="eastAsia"/>
          <w:b/>
        </w:rPr>
        <w:t>作業上</w:t>
      </w:r>
      <w:r w:rsidR="00CD7D4F" w:rsidRPr="00A67C92">
        <w:rPr>
          <w:rFonts w:hint="eastAsia"/>
          <w:b/>
        </w:rPr>
        <w:t>有開立收據金額較存入金額為少、或已列帳未開立收據</w:t>
      </w:r>
      <w:r w:rsidR="0063144B" w:rsidRPr="00A67C92">
        <w:rPr>
          <w:rFonts w:hint="eastAsia"/>
          <w:b/>
        </w:rPr>
        <w:t>，</w:t>
      </w:r>
      <w:r w:rsidR="006A6111" w:rsidRPr="00A67C92">
        <w:rPr>
          <w:rFonts w:hint="eastAsia"/>
          <w:b/>
        </w:rPr>
        <w:t>使總收據金額與存入總金額不符</w:t>
      </w:r>
      <w:r w:rsidRPr="00A67C92">
        <w:rPr>
          <w:rFonts w:hint="eastAsia"/>
          <w:b/>
        </w:rPr>
        <w:t>情形</w:t>
      </w:r>
      <w:r w:rsidR="003E662D" w:rsidRPr="00A67C92">
        <w:rPr>
          <w:rFonts w:hint="eastAsia"/>
          <w:b/>
        </w:rPr>
        <w:t>，顯有作業</w:t>
      </w:r>
      <w:r w:rsidR="003C0B9A" w:rsidRPr="00A67C92">
        <w:rPr>
          <w:rFonts w:hint="eastAsia"/>
          <w:b/>
        </w:rPr>
        <w:t>瑕疵</w:t>
      </w:r>
      <w:r w:rsidR="003E662D" w:rsidRPr="00A67C92">
        <w:rPr>
          <w:rFonts w:hint="eastAsia"/>
          <w:b/>
        </w:rPr>
        <w:t>，應予檢討改進</w:t>
      </w:r>
      <w:r w:rsidR="006A6111" w:rsidRPr="00A67C92">
        <w:rPr>
          <w:rFonts w:hint="eastAsia"/>
          <w:b/>
        </w:rPr>
        <w:t>。該公所當以本案為鑑，</w:t>
      </w:r>
      <w:r w:rsidR="003E662D" w:rsidRPr="00A67C92">
        <w:rPr>
          <w:rFonts w:hint="eastAsia"/>
          <w:b/>
        </w:rPr>
        <w:t>建立標準作業程序，</w:t>
      </w:r>
      <w:r w:rsidR="006A6111" w:rsidRPr="00A67C92">
        <w:rPr>
          <w:rFonts w:hint="eastAsia"/>
          <w:b/>
        </w:rPr>
        <w:t>加強</w:t>
      </w:r>
      <w:r w:rsidR="006B704C" w:rsidRPr="00A67C92">
        <w:rPr>
          <w:rFonts w:hint="eastAsia"/>
          <w:b/>
        </w:rPr>
        <w:t>宣導經辦人員於開立收據或帳目處理上</w:t>
      </w:r>
      <w:r w:rsidR="00B263AD" w:rsidRPr="00A67C92">
        <w:rPr>
          <w:rFonts w:hint="eastAsia"/>
          <w:b/>
        </w:rPr>
        <w:t>應</w:t>
      </w:r>
      <w:r w:rsidR="006B704C" w:rsidRPr="00A67C92">
        <w:rPr>
          <w:rFonts w:hint="eastAsia"/>
          <w:b/>
        </w:rPr>
        <w:t>審慎詳實，避免損及政府機關形象</w:t>
      </w:r>
      <w:r w:rsidR="00B263AD" w:rsidRPr="00A67C92">
        <w:rPr>
          <w:rFonts w:hint="eastAsia"/>
          <w:b/>
        </w:rPr>
        <w:t>。</w:t>
      </w:r>
    </w:p>
    <w:p w:rsidR="00CD7D4F" w:rsidRPr="00A67C92" w:rsidRDefault="00CD7D4F" w:rsidP="00CD7D4F">
      <w:pPr>
        <w:pStyle w:val="3"/>
        <w:numPr>
          <w:ilvl w:val="2"/>
          <w:numId w:val="1"/>
        </w:numPr>
      </w:pPr>
      <w:bookmarkStart w:id="50" w:name="_Toc421794874"/>
      <w:bookmarkStart w:id="51" w:name="_Toc421795440"/>
      <w:bookmarkStart w:id="52" w:name="_Toc421796021"/>
      <w:bookmarkStart w:id="53" w:name="_Toc422834159"/>
      <w:r w:rsidRPr="00A67C92">
        <w:rPr>
          <w:rFonts w:hint="eastAsia"/>
        </w:rPr>
        <w:t>審計部函報本院，那瑪夏鄉民代表會於98年10月22日同意那瑪夏鄉公所自98年8月至99年8月止，向社會大眾發起勸募，並以帳號（00255-1002-70022）為捐款專戶。原審計部臺灣省高雄縣審計室（現為高雄市審計處，下稱高雄市審計處）辦理那瑪夏鄉公所99年度財務收支抽查時，發現該專戶因包含推行原住民文化、家政、農業等29筆經費款項，致難以辨識各款項來源外之缺失外，高雄市審計處經逐</w:t>
      </w:r>
      <w:r w:rsidRPr="00A67C92">
        <w:rPr>
          <w:rFonts w:hint="eastAsia"/>
        </w:rPr>
        <w:lastRenderedPageBreak/>
        <w:t>筆核對該公所接受捐贈開立收據金額及存入專戶之情形，發現兩者並未全然相符</w:t>
      </w:r>
      <w:r w:rsidRPr="00A67C92">
        <w:rPr>
          <w:rFonts w:hAnsi="標楷體" w:hint="eastAsia"/>
        </w:rPr>
        <w:t>，有</w:t>
      </w:r>
      <w:r w:rsidRPr="00A67C92">
        <w:rPr>
          <w:rFonts w:hint="eastAsia"/>
        </w:rPr>
        <w:t>開立收據但金額卻未存入</w:t>
      </w:r>
      <w:r w:rsidRPr="00A67C92">
        <w:t>捐款專戶</w:t>
      </w:r>
      <w:r w:rsidRPr="00A67C92">
        <w:rPr>
          <w:rFonts w:hint="eastAsia"/>
        </w:rPr>
        <w:t>，或收據開立之金額與存入專戶金額不一致，總計存入金額較開立收據金額短少</w:t>
      </w:r>
      <w:r w:rsidR="00E41E40" w:rsidRPr="00A67C92">
        <w:rPr>
          <w:rFonts w:hint="eastAsia"/>
        </w:rPr>
        <w:t>新台幣(下同)</w:t>
      </w:r>
      <w:r w:rsidRPr="00A67C92">
        <w:rPr>
          <w:rFonts w:hint="eastAsia"/>
        </w:rPr>
        <w:t>64萬7</w:t>
      </w:r>
      <w:r w:rsidR="0063144B" w:rsidRPr="00A67C92">
        <w:rPr>
          <w:rFonts w:hint="eastAsia"/>
        </w:rPr>
        <w:t>,</w:t>
      </w:r>
      <w:r w:rsidRPr="00A67C92">
        <w:rPr>
          <w:rFonts w:hint="eastAsia"/>
        </w:rPr>
        <w:t>935元</w:t>
      </w:r>
      <w:r w:rsidRPr="00A67C92">
        <w:rPr>
          <w:rFonts w:hAnsi="標楷體" w:hint="eastAsia"/>
        </w:rPr>
        <w:t>（</w:t>
      </w:r>
      <w:r w:rsidRPr="00A67C92">
        <w:rPr>
          <w:rFonts w:hint="eastAsia"/>
        </w:rPr>
        <w:t>詳附表</w:t>
      </w:r>
      <w:r w:rsidRPr="00A67C92">
        <w:rPr>
          <w:rFonts w:hAnsi="標楷體" w:hint="eastAsia"/>
        </w:rPr>
        <w:t>）</w:t>
      </w:r>
      <w:r w:rsidRPr="00A67C92">
        <w:rPr>
          <w:rFonts w:hint="eastAsia"/>
        </w:rPr>
        <w:t>。</w:t>
      </w:r>
    </w:p>
    <w:p w:rsidR="00AD6886" w:rsidRPr="00A67C92" w:rsidRDefault="00811E26" w:rsidP="00147CC9">
      <w:pPr>
        <w:pStyle w:val="3"/>
      </w:pPr>
      <w:r w:rsidRPr="00A67C92">
        <w:rPr>
          <w:rFonts w:hint="eastAsia"/>
        </w:rPr>
        <w:t>經</w:t>
      </w:r>
      <w:r w:rsidR="00AD6886" w:rsidRPr="00A67C92">
        <w:rPr>
          <w:rFonts w:hint="eastAsia"/>
        </w:rPr>
        <w:t>查那瑪夏鄉公所於莫拉克風災期間，</w:t>
      </w:r>
      <w:r w:rsidR="008862F8" w:rsidRPr="00A67C92">
        <w:rPr>
          <w:rFonts w:hint="eastAsia"/>
        </w:rPr>
        <w:t>辦公場</w:t>
      </w:r>
      <w:r w:rsidRPr="00A67C92">
        <w:rPr>
          <w:rFonts w:hint="eastAsia"/>
        </w:rPr>
        <w:t>所為土石掩埋，原有之制式收據帳簿滅失，復因交通不便，資訊難以流通，實屬</w:t>
      </w:r>
      <w:r w:rsidR="00AD6886" w:rsidRPr="00A67C92">
        <w:rPr>
          <w:rFonts w:hint="eastAsia"/>
        </w:rPr>
        <w:t>百廢待舉</w:t>
      </w:r>
      <w:r w:rsidRPr="00A67C92">
        <w:rPr>
          <w:rFonts w:hint="eastAsia"/>
        </w:rPr>
        <w:t>之情狀</w:t>
      </w:r>
      <w:r w:rsidR="000A030C" w:rsidRPr="00A67C92">
        <w:rPr>
          <w:rFonts w:hint="eastAsia"/>
        </w:rPr>
        <w:t>，該公所急於救災，更為因應上開情形，乃異地分署辦公</w:t>
      </w:r>
      <w:r w:rsidRPr="00A67C92">
        <w:rPr>
          <w:rFonts w:hint="eastAsia"/>
        </w:rPr>
        <w:t>。</w:t>
      </w:r>
      <w:r w:rsidR="000A030C" w:rsidRPr="00A67C92">
        <w:rPr>
          <w:rFonts w:hint="eastAsia"/>
        </w:rPr>
        <w:t>此</w:t>
      </w:r>
      <w:r w:rsidR="00067FDF" w:rsidRPr="00A67C92">
        <w:rPr>
          <w:rFonts w:hint="eastAsia"/>
        </w:rPr>
        <w:t>經本院詢問該鄉前民政課課長柯武達陳稱</w:t>
      </w:r>
      <w:r w:rsidR="00346021" w:rsidRPr="00A67C92">
        <w:rPr>
          <w:rFonts w:hint="eastAsia"/>
        </w:rPr>
        <w:t>：</w:t>
      </w:r>
      <w:r w:rsidR="00067FDF" w:rsidRPr="00A67C92">
        <w:rPr>
          <w:rFonts w:hint="eastAsia"/>
        </w:rPr>
        <w:t>「當時</w:t>
      </w:r>
      <w:r w:rsidR="0036000B" w:rsidRPr="00A67C92">
        <w:rPr>
          <w:rFonts w:hint="eastAsia"/>
        </w:rPr>
        <w:t>莫拉克</w:t>
      </w:r>
      <w:r w:rsidR="00067FDF" w:rsidRPr="00A67C92">
        <w:rPr>
          <w:rFonts w:hint="eastAsia"/>
        </w:rPr>
        <w:t>風災期間，本鄉有部分居民撤離到旗山等其他地區，而那瑪夏鄉公所的辦公室、代表會的辦公室等都被土石流掩埋，所以也沒辦法在那邊辦公。因為如此，公所只能分兩個地方，一個是旗山辦公室，旗山鎮公所借我們場地，另一個在民權活動中心。」</w:t>
      </w:r>
      <w:r w:rsidR="006D1F0D" w:rsidRPr="00A67C92">
        <w:rPr>
          <w:rFonts w:hint="eastAsia"/>
        </w:rPr>
        <w:t>、</w:t>
      </w:r>
      <w:r w:rsidR="005B71F3" w:rsidRPr="00A67C92">
        <w:rPr>
          <w:rFonts w:hint="eastAsia"/>
        </w:rPr>
        <w:t>前</w:t>
      </w:r>
      <w:r w:rsidR="006D1F0D" w:rsidRPr="00A67C92">
        <w:rPr>
          <w:rFonts w:hint="eastAsia"/>
        </w:rPr>
        <w:t>鄉長</w:t>
      </w:r>
      <w:r w:rsidR="006D1F0D" w:rsidRPr="00A67C92">
        <w:rPr>
          <w:rFonts w:hAnsi="Times New Roman" w:hint="eastAsia"/>
        </w:rPr>
        <w:t>伊斯坦大</w:t>
      </w:r>
      <w:r w:rsidR="00BC06C7" w:rsidRPr="00A67C92">
        <w:rPr>
          <w:rFonts w:hAnsi="Times New Roman" w:hint="eastAsia"/>
        </w:rPr>
        <w:t>‧</w:t>
      </w:r>
      <w:r w:rsidR="006D1F0D" w:rsidRPr="00A67C92">
        <w:rPr>
          <w:rFonts w:hAnsi="Times New Roman" w:hint="eastAsia"/>
        </w:rPr>
        <w:t>呼頌陳稱：「</w:t>
      </w:r>
      <w:r w:rsidR="006D1F0D" w:rsidRPr="00A67C92">
        <w:rPr>
          <w:rFonts w:hint="eastAsia"/>
        </w:rPr>
        <w:t>有一部分是在本鄉，一部分是在旗山鄉公所民眾服務處有一個臨時辦公處。</w:t>
      </w:r>
      <w:r w:rsidR="006D1F0D" w:rsidRPr="00A67C92">
        <w:rPr>
          <w:rFonts w:hAnsi="Times New Roman" w:hint="eastAsia"/>
        </w:rPr>
        <w:t>」、「</w:t>
      </w:r>
      <w:r w:rsidR="006D1F0D" w:rsidRPr="00A67C92">
        <w:rPr>
          <w:rFonts w:hint="eastAsia"/>
        </w:rPr>
        <w:t>很多捐款都在旗山辦公室負責，多半是孫秘書負責，我是留在本鄉。</w:t>
      </w:r>
      <w:r w:rsidR="006D1F0D" w:rsidRPr="00A67C92">
        <w:rPr>
          <w:rFonts w:hAnsi="Times New Roman" w:hint="eastAsia"/>
        </w:rPr>
        <w:t>」、「</w:t>
      </w:r>
      <w:r w:rsidR="00147CC9" w:rsidRPr="00A67C92">
        <w:rPr>
          <w:rFonts w:hint="eastAsia"/>
        </w:rPr>
        <w:t>會計、出納都下來，留在本鄉的就是工程要搶修的部分。一些募款、捐款的都是在旗山鎮公所的部分。</w:t>
      </w:r>
      <w:r w:rsidR="006D1F0D" w:rsidRPr="00A67C92">
        <w:rPr>
          <w:rFonts w:hAnsi="Times New Roman" w:hint="eastAsia"/>
        </w:rPr>
        <w:t>」</w:t>
      </w:r>
      <w:r w:rsidR="00147CC9" w:rsidRPr="00A67C92">
        <w:rPr>
          <w:rFonts w:hAnsi="Times New Roman" w:hint="eastAsia"/>
        </w:rPr>
        <w:t>及出納方佳昇書面說明：「因本公所l樓遭土石流掩埋、公所職員異地分署辦公聯繫不易、帳冊簿據暨印信也遭掩埋，公所災後短期1-2週間無法正常運作。」等</w:t>
      </w:r>
      <w:r w:rsidR="00EA498C" w:rsidRPr="00A67C92">
        <w:rPr>
          <w:rFonts w:hAnsi="Times New Roman" w:hint="eastAsia"/>
        </w:rPr>
        <w:t>語</w:t>
      </w:r>
      <w:r w:rsidR="00147CC9" w:rsidRPr="00A67C92">
        <w:rPr>
          <w:rFonts w:hAnsi="Times New Roman" w:hint="eastAsia"/>
        </w:rPr>
        <w:t>在卷可稽。</w:t>
      </w:r>
    </w:p>
    <w:p w:rsidR="00CD7D4F" w:rsidRPr="00A67C92" w:rsidRDefault="00147CC9" w:rsidP="00CD7D4F">
      <w:pPr>
        <w:pStyle w:val="3"/>
        <w:numPr>
          <w:ilvl w:val="2"/>
          <w:numId w:val="1"/>
        </w:numPr>
      </w:pPr>
      <w:r w:rsidRPr="00A67C92">
        <w:rPr>
          <w:rFonts w:hint="eastAsia"/>
        </w:rPr>
        <w:t>復就審計部所查核之異常情形，</w:t>
      </w:r>
      <w:r w:rsidR="00EA498C" w:rsidRPr="00A67C92">
        <w:rPr>
          <w:rFonts w:hint="eastAsia"/>
        </w:rPr>
        <w:t>經</w:t>
      </w:r>
      <w:r w:rsidRPr="00A67C92">
        <w:rPr>
          <w:rFonts w:hint="eastAsia"/>
        </w:rPr>
        <w:t>該公所及相關人員所提出說明如下</w:t>
      </w:r>
      <w:r w:rsidR="00CD7D4F" w:rsidRPr="00A67C92">
        <w:rPr>
          <w:rFonts w:hint="eastAsia"/>
        </w:rPr>
        <w:t>：</w:t>
      </w:r>
    </w:p>
    <w:p w:rsidR="00CD7D4F" w:rsidRPr="00A67C92" w:rsidRDefault="00CD7D4F" w:rsidP="00CD7D4F">
      <w:pPr>
        <w:pStyle w:val="4"/>
        <w:numPr>
          <w:ilvl w:val="3"/>
          <w:numId w:val="1"/>
        </w:numPr>
      </w:pPr>
      <w:r w:rsidRPr="00A67C92">
        <w:rPr>
          <w:rFonts w:hint="eastAsia"/>
        </w:rPr>
        <w:t>附表編號1-8部分，係當時由代表捐款之立委指定捐款給某宗教機構，遂於開立收據後，復行將其中之13萬5</w:t>
      </w:r>
      <w:r w:rsidR="00D2346E" w:rsidRPr="00A67C92">
        <w:rPr>
          <w:rFonts w:hint="eastAsia"/>
        </w:rPr>
        <w:t>,</w:t>
      </w:r>
      <w:r w:rsidRPr="00A67C92">
        <w:rPr>
          <w:rFonts w:hint="eastAsia"/>
        </w:rPr>
        <w:t>000元</w:t>
      </w:r>
      <w:r w:rsidR="00147CC9" w:rsidRPr="00A67C92">
        <w:rPr>
          <w:rFonts w:hint="eastAsia"/>
        </w:rPr>
        <w:t>取走，直接捐款給該機構，</w:t>
      </w:r>
      <w:r w:rsidR="00147CC9" w:rsidRPr="00A67C92">
        <w:rPr>
          <w:rFonts w:hint="eastAsia"/>
        </w:rPr>
        <w:lastRenderedPageBreak/>
        <w:t>有該機構各項功德登記表、感謝函影本，此有</w:t>
      </w:r>
      <w:r w:rsidRPr="00A67C92">
        <w:rPr>
          <w:rFonts w:hint="eastAsia"/>
        </w:rPr>
        <w:t>孫榮顯、馬健修、方佳昇及該機構負責人</w:t>
      </w:r>
      <w:r w:rsidR="00147CC9" w:rsidRPr="00A67C92">
        <w:rPr>
          <w:rFonts w:hint="eastAsia"/>
        </w:rPr>
        <w:t>於調詢時之答辯可稽，復有本院詢問</w:t>
      </w:r>
      <w:r w:rsidR="005B71F3" w:rsidRPr="00A67C92">
        <w:rPr>
          <w:rFonts w:hint="eastAsia"/>
        </w:rPr>
        <w:t>前鄉長</w:t>
      </w:r>
      <w:r w:rsidR="005B71F3" w:rsidRPr="00A67C92">
        <w:rPr>
          <w:rFonts w:hAnsi="Times New Roman" w:hint="eastAsia"/>
        </w:rPr>
        <w:t>伊斯坦大</w:t>
      </w:r>
      <w:r w:rsidR="00BC06C7" w:rsidRPr="00A67C92">
        <w:rPr>
          <w:rFonts w:hAnsi="Times New Roman" w:hint="eastAsia"/>
        </w:rPr>
        <w:t>‧</w:t>
      </w:r>
      <w:r w:rsidR="005B71F3" w:rsidRPr="00A67C92">
        <w:rPr>
          <w:rFonts w:hAnsi="Times New Roman" w:hint="eastAsia"/>
        </w:rPr>
        <w:t>呼頌陳稱：</w:t>
      </w:r>
      <w:r w:rsidR="005B71F3" w:rsidRPr="00A67C92">
        <w:rPr>
          <w:rFonts w:hint="eastAsia"/>
        </w:rPr>
        <w:t>「(問：有沒有這個現象，立委捐款，但捐了並記載後，又說要把錢另外領去親自發給其他單位)</w:t>
      </w:r>
      <w:r w:rsidR="005B71F3" w:rsidRPr="00A67C92">
        <w:rPr>
          <w:rFonts w:hAnsi="標楷體" w:hint="eastAsia"/>
          <w:sz w:val="28"/>
        </w:rPr>
        <w:t xml:space="preserve"> </w:t>
      </w:r>
      <w:r w:rsidR="005B71F3" w:rsidRPr="00A67C92">
        <w:rPr>
          <w:rFonts w:hint="eastAsia"/>
        </w:rPr>
        <w:t>我是有聽秘書說，是民意代表，要捐多少就記到公所，又是把錢拿到現場由他們自己去發。」等語互核相符。而</w:t>
      </w:r>
      <w:r w:rsidRPr="00A67C92">
        <w:rPr>
          <w:rFonts w:hint="eastAsia"/>
        </w:rPr>
        <w:t>剩餘差額10萬元部分，</w:t>
      </w:r>
      <w:r w:rsidR="00147CC9" w:rsidRPr="00A67C92">
        <w:rPr>
          <w:rFonts w:hint="eastAsia"/>
        </w:rPr>
        <w:t>此</w:t>
      </w:r>
      <w:r w:rsidRPr="00A67C92">
        <w:rPr>
          <w:rFonts w:hint="eastAsia"/>
        </w:rPr>
        <w:t>應屬黃式毅以八八臨工專案</w:t>
      </w:r>
      <w:r w:rsidR="005B71F3" w:rsidRPr="00A67C92">
        <w:rPr>
          <w:rFonts w:hint="eastAsia"/>
        </w:rPr>
        <w:t>有急用</w:t>
      </w:r>
      <w:r w:rsidR="00EB2CD8" w:rsidRPr="00A67C92">
        <w:rPr>
          <w:rFonts w:hint="eastAsia"/>
        </w:rPr>
        <w:t>為由</w:t>
      </w:r>
      <w:r w:rsidR="005B71F3" w:rsidRPr="00A67C92">
        <w:rPr>
          <w:rFonts w:hint="eastAsia"/>
        </w:rPr>
        <w:t>，向</w:t>
      </w:r>
      <w:r w:rsidRPr="00A67C92">
        <w:rPr>
          <w:rFonts w:hint="eastAsia"/>
        </w:rPr>
        <w:t>方佳昇借支現金嗣後未</w:t>
      </w:r>
      <w:r w:rsidR="00085220" w:rsidRPr="00A67C92">
        <w:rPr>
          <w:rFonts w:hint="eastAsia"/>
        </w:rPr>
        <w:t>歸還，此業據方佳昇、黃式毅書面答覆</w:t>
      </w:r>
      <w:r w:rsidR="00147CC9" w:rsidRPr="00A67C92">
        <w:rPr>
          <w:rFonts w:hint="eastAsia"/>
        </w:rPr>
        <w:t>本院</w:t>
      </w:r>
      <w:r w:rsidR="005B71F3" w:rsidRPr="00A67C92">
        <w:rPr>
          <w:rFonts w:hint="eastAsia"/>
        </w:rPr>
        <w:t>自承有此情事在卷，</w:t>
      </w:r>
      <w:r w:rsidR="00085220" w:rsidRPr="00A67C92">
        <w:rPr>
          <w:rFonts w:hint="eastAsia"/>
        </w:rPr>
        <w:t>高雄地</w:t>
      </w:r>
      <w:r w:rsidRPr="00A67C92">
        <w:rPr>
          <w:rFonts w:hint="eastAsia"/>
        </w:rPr>
        <w:t>院</w:t>
      </w:r>
      <w:r w:rsidR="005B71F3" w:rsidRPr="00A67C92">
        <w:rPr>
          <w:rFonts w:hint="eastAsia"/>
        </w:rPr>
        <w:t>並於</w:t>
      </w:r>
      <w:r w:rsidRPr="00A67C92">
        <w:rPr>
          <w:rFonts w:hint="eastAsia"/>
        </w:rPr>
        <w:t>104年7月31日</w:t>
      </w:r>
      <w:r w:rsidR="005B71F3" w:rsidRPr="00A67C92">
        <w:rPr>
          <w:rFonts w:hint="eastAsia"/>
        </w:rPr>
        <w:t>以</w:t>
      </w:r>
      <w:r w:rsidRPr="00A67C92">
        <w:rPr>
          <w:rFonts w:hint="eastAsia"/>
        </w:rPr>
        <w:t>103年度訴字第356</w:t>
      </w:r>
      <w:r w:rsidR="005B71F3" w:rsidRPr="00A67C92">
        <w:rPr>
          <w:rFonts w:hint="eastAsia"/>
        </w:rPr>
        <w:t>號第一審刑事</w:t>
      </w:r>
      <w:r w:rsidRPr="00A67C92">
        <w:rPr>
          <w:rFonts w:hint="eastAsia"/>
        </w:rPr>
        <w:t>判決肯認黃式毅應有借支10萬元現金</w:t>
      </w:r>
      <w:r w:rsidR="00EB2CD8" w:rsidRPr="00A67C92">
        <w:rPr>
          <w:rFonts w:hint="eastAsia"/>
        </w:rPr>
        <w:t>之</w:t>
      </w:r>
      <w:r w:rsidRPr="00A67C92">
        <w:rPr>
          <w:rFonts w:hint="eastAsia"/>
        </w:rPr>
        <w:t>事實。</w:t>
      </w:r>
    </w:p>
    <w:p w:rsidR="00CD7D4F" w:rsidRPr="00A67C92" w:rsidRDefault="00CD7D4F" w:rsidP="00CD7D4F">
      <w:pPr>
        <w:pStyle w:val="4"/>
        <w:numPr>
          <w:ilvl w:val="3"/>
          <w:numId w:val="1"/>
        </w:numPr>
      </w:pPr>
      <w:r w:rsidRPr="00A67C92">
        <w:rPr>
          <w:rFonts w:hint="eastAsia"/>
        </w:rPr>
        <w:t>附表編號9-11部分：此部分係由捐款團體指定分別用於捐助特定國中小學及支付該受贈學校派員至該捐款團體北部捐贈現場接受捐款之差旅費用，</w:t>
      </w:r>
      <w:r w:rsidR="00147CC9" w:rsidRPr="00A67C92">
        <w:rPr>
          <w:rFonts w:hint="eastAsia"/>
        </w:rPr>
        <w:t>方佳昇並於調詢時稱：</w:t>
      </w:r>
      <w:r w:rsidRPr="00A67C92">
        <w:rPr>
          <w:rFonts w:hint="eastAsia"/>
        </w:rPr>
        <w:t>由於該3筆款項並非實質捐給公所，</w:t>
      </w:r>
      <w:r w:rsidR="00E41E40" w:rsidRPr="00A67C92">
        <w:rPr>
          <w:rFonts w:hint="eastAsia"/>
        </w:rPr>
        <w:t>但既然確有進行捐贈，</w:t>
      </w:r>
      <w:r w:rsidRPr="00A67C92">
        <w:rPr>
          <w:rFonts w:hint="eastAsia"/>
        </w:rPr>
        <w:t>只是以公所名義出具收據，所以並未列入代收款明細分類帳。</w:t>
      </w:r>
    </w:p>
    <w:p w:rsidR="00147CC9" w:rsidRPr="00A67C92" w:rsidRDefault="00CD7D4F" w:rsidP="00CD7D4F">
      <w:pPr>
        <w:pStyle w:val="4"/>
        <w:numPr>
          <w:ilvl w:val="3"/>
          <w:numId w:val="1"/>
        </w:numPr>
      </w:pPr>
      <w:r w:rsidRPr="00A67C92">
        <w:rPr>
          <w:rFonts w:hint="eastAsia"/>
        </w:rPr>
        <w:t>那瑪夏鄉公所於網站公告「高雄縣那瑪夏鄉莫拉克颱88水災捐款名冊」截至99年7月21日止，收受之捐款總額為1</w:t>
      </w:r>
      <w:r w:rsidR="0063144B" w:rsidRPr="00A67C92">
        <w:rPr>
          <w:rFonts w:hint="eastAsia"/>
        </w:rPr>
        <w:t>,</w:t>
      </w:r>
      <w:r w:rsidRPr="00A67C92">
        <w:rPr>
          <w:rFonts w:hint="eastAsia"/>
        </w:rPr>
        <w:t>406萬6</w:t>
      </w:r>
      <w:r w:rsidR="0063144B" w:rsidRPr="00A67C92">
        <w:rPr>
          <w:rFonts w:hint="eastAsia"/>
        </w:rPr>
        <w:t>,</w:t>
      </w:r>
      <w:r w:rsidRPr="00A67C92">
        <w:rPr>
          <w:rFonts w:hint="eastAsia"/>
        </w:rPr>
        <w:t>710元。那瑪夏鄉公所製作之「高雄縣那瑪夏鄉莫拉克颱風88水災捐款芳名錄」截至99年4月14日止，收受之捐款總額為1</w:t>
      </w:r>
      <w:r w:rsidR="0063144B" w:rsidRPr="00A67C92">
        <w:rPr>
          <w:rFonts w:hint="eastAsia"/>
        </w:rPr>
        <w:t>,</w:t>
      </w:r>
      <w:r w:rsidRPr="00A67C92">
        <w:rPr>
          <w:rFonts w:hint="eastAsia"/>
        </w:rPr>
        <w:t>402萬4</w:t>
      </w:r>
      <w:r w:rsidR="0063144B" w:rsidRPr="00A67C92">
        <w:rPr>
          <w:rFonts w:hint="eastAsia"/>
        </w:rPr>
        <w:t>,</w:t>
      </w:r>
      <w:r w:rsidRPr="00A67C92">
        <w:rPr>
          <w:rFonts w:hint="eastAsia"/>
        </w:rPr>
        <w:t>346元。而那瑪夏鄉公所提出收據總額合計為884萬1</w:t>
      </w:r>
      <w:r w:rsidR="0063144B" w:rsidRPr="00A67C92">
        <w:rPr>
          <w:rFonts w:hint="eastAsia"/>
        </w:rPr>
        <w:t>,</w:t>
      </w:r>
      <w:r w:rsidRPr="00A67C92">
        <w:rPr>
          <w:rFonts w:hint="eastAsia"/>
        </w:rPr>
        <w:t>683元。又網站公告有列名，惟無收據之金額為630萬8</w:t>
      </w:r>
      <w:r w:rsidR="0063144B" w:rsidRPr="00A67C92">
        <w:rPr>
          <w:rFonts w:hint="eastAsia"/>
        </w:rPr>
        <w:t>,</w:t>
      </w:r>
      <w:r w:rsidRPr="00A67C92">
        <w:rPr>
          <w:rFonts w:hint="eastAsia"/>
        </w:rPr>
        <w:t>499元。是以如</w:t>
      </w:r>
      <w:r w:rsidR="005B71F3" w:rsidRPr="00A67C92">
        <w:rPr>
          <w:rFonts w:hint="eastAsia"/>
        </w:rPr>
        <w:t>有列名冊但</w:t>
      </w:r>
      <w:r w:rsidRPr="00A67C92">
        <w:rPr>
          <w:rFonts w:hint="eastAsia"/>
        </w:rPr>
        <w:t>無收據之金額</w:t>
      </w:r>
      <w:r w:rsidR="005B71F3" w:rsidRPr="00A67C92">
        <w:rPr>
          <w:rFonts w:hint="eastAsia"/>
        </w:rPr>
        <w:t>再</w:t>
      </w:r>
      <w:r w:rsidRPr="00A67C92">
        <w:rPr>
          <w:rFonts w:hint="eastAsia"/>
        </w:rPr>
        <w:t>加上有收據之金額，總額達</w:t>
      </w:r>
      <w:r w:rsidRPr="00A67C92">
        <w:rPr>
          <w:rFonts w:hint="eastAsia"/>
        </w:rPr>
        <w:lastRenderedPageBreak/>
        <w:t>1</w:t>
      </w:r>
      <w:r w:rsidR="00EB2CD8" w:rsidRPr="00A67C92">
        <w:rPr>
          <w:rFonts w:hint="eastAsia"/>
        </w:rPr>
        <w:t>,</w:t>
      </w:r>
      <w:r w:rsidRPr="00A67C92">
        <w:rPr>
          <w:rFonts w:hint="eastAsia"/>
        </w:rPr>
        <w:t>515萬182元，反較網站公告總數為多</w:t>
      </w:r>
      <w:r w:rsidR="00147CC9" w:rsidRPr="00A67C92">
        <w:rPr>
          <w:rFonts w:hint="eastAsia"/>
        </w:rPr>
        <w:t>，由是可知該公所之帳目相當混亂。</w:t>
      </w:r>
    </w:p>
    <w:p w:rsidR="005B71F3" w:rsidRPr="00A67C92" w:rsidRDefault="00147CC9" w:rsidP="00CD7D4F">
      <w:pPr>
        <w:pStyle w:val="4"/>
        <w:numPr>
          <w:ilvl w:val="3"/>
          <w:numId w:val="1"/>
        </w:numPr>
      </w:pPr>
      <w:r w:rsidRPr="00A67C92">
        <w:rPr>
          <w:rFonts w:hint="eastAsia"/>
        </w:rPr>
        <w:t>有關「高雄縣那瑪夏鄉莫拉克颱風88水災捐款芳名錄」為方佳昇所製作</w:t>
      </w:r>
      <w:r w:rsidR="004160FF" w:rsidRPr="00A67C92">
        <w:rPr>
          <w:rFonts w:hint="eastAsia"/>
        </w:rPr>
        <w:t>而迄至其離職</w:t>
      </w:r>
      <w:r w:rsidRPr="00A67C92">
        <w:rPr>
          <w:rFonts w:hint="eastAsia"/>
        </w:rPr>
        <w:t>，而「高雄縣那瑪夏鄉莫拉克颱風88水災捐款名冊」則為接續方員業務之高崨所製作並更新至99年7月21日，二者</w:t>
      </w:r>
      <w:r w:rsidR="005B71F3" w:rsidRPr="00A67C92">
        <w:rPr>
          <w:rFonts w:hint="eastAsia"/>
        </w:rPr>
        <w:t>收受</w:t>
      </w:r>
      <w:r w:rsidR="004160FF" w:rsidRPr="00A67C92">
        <w:rPr>
          <w:rFonts w:hint="eastAsia"/>
        </w:rPr>
        <w:t>捐款</w:t>
      </w:r>
      <w:r w:rsidR="005B71F3" w:rsidRPr="00A67C92">
        <w:rPr>
          <w:rFonts w:hint="eastAsia"/>
        </w:rPr>
        <w:t>截止時間不同，</w:t>
      </w:r>
      <w:r w:rsidR="004160FF" w:rsidRPr="00A67C92">
        <w:rPr>
          <w:rFonts w:hint="eastAsia"/>
        </w:rPr>
        <w:t>其</w:t>
      </w:r>
      <w:r w:rsidRPr="00A67C92">
        <w:rPr>
          <w:rFonts w:hint="eastAsia"/>
        </w:rPr>
        <w:t>金額</w:t>
      </w:r>
      <w:r w:rsidR="005B71F3" w:rsidRPr="00A67C92">
        <w:rPr>
          <w:rFonts w:hint="eastAsia"/>
        </w:rPr>
        <w:t>本非相</w:t>
      </w:r>
      <w:r w:rsidR="004160FF" w:rsidRPr="00A67C92">
        <w:rPr>
          <w:rFonts w:hint="eastAsia"/>
        </w:rPr>
        <w:t>同</w:t>
      </w:r>
      <w:r w:rsidRPr="00A67C92">
        <w:rPr>
          <w:rFonts w:hint="eastAsia"/>
        </w:rPr>
        <w:t>。</w:t>
      </w:r>
      <w:r w:rsidR="004160FF" w:rsidRPr="00A67C92">
        <w:rPr>
          <w:rFonts w:hint="eastAsia"/>
        </w:rPr>
        <w:t>又為因應該公所為土石掩埋、原有制式格式收據滅失，</w:t>
      </w:r>
      <w:r w:rsidRPr="00A67C92">
        <w:rPr>
          <w:rFonts w:hint="eastAsia"/>
        </w:rPr>
        <w:t>開立之收據主要係方佳昇及總務卜喜新製作，惟</w:t>
      </w:r>
      <w:r w:rsidR="004160FF" w:rsidRPr="00A67C92">
        <w:rPr>
          <w:rFonts w:hint="eastAsia"/>
        </w:rPr>
        <w:t>亦</w:t>
      </w:r>
      <w:r w:rsidRPr="00A67C92">
        <w:rPr>
          <w:rFonts w:hint="eastAsia"/>
        </w:rPr>
        <w:t>有受理捐贈之承辦人個別製發</w:t>
      </w:r>
      <w:r w:rsidR="005B71F3" w:rsidRPr="00A67C92">
        <w:rPr>
          <w:rFonts w:hint="eastAsia"/>
        </w:rPr>
        <w:t>之情形，</w:t>
      </w:r>
      <w:r w:rsidR="004160FF" w:rsidRPr="00A67C92">
        <w:rPr>
          <w:rFonts w:hint="eastAsia"/>
        </w:rPr>
        <w:t>是以</w:t>
      </w:r>
      <w:r w:rsidR="005B71F3" w:rsidRPr="00A67C92">
        <w:rPr>
          <w:rFonts w:hint="eastAsia"/>
        </w:rPr>
        <w:t>收據格式難期一致</w:t>
      </w:r>
      <w:r w:rsidR="004160FF" w:rsidRPr="00A67C92">
        <w:rPr>
          <w:rFonts w:hint="eastAsia"/>
        </w:rPr>
        <w:t>，亦難集中統一辦理</w:t>
      </w:r>
      <w:r w:rsidR="00CD7D4F" w:rsidRPr="00A67C92">
        <w:rPr>
          <w:rFonts w:hint="eastAsia"/>
        </w:rPr>
        <w:t>。</w:t>
      </w:r>
    </w:p>
    <w:p w:rsidR="004160FF" w:rsidRPr="00A67C92" w:rsidRDefault="0036000B" w:rsidP="005B71F3">
      <w:pPr>
        <w:pStyle w:val="3"/>
      </w:pPr>
      <w:r w:rsidRPr="00A67C92">
        <w:rPr>
          <w:rFonts w:hint="eastAsia"/>
        </w:rPr>
        <w:t>莫拉克</w:t>
      </w:r>
      <w:r w:rsidR="004160FF" w:rsidRPr="00A67C92">
        <w:rPr>
          <w:rFonts w:hint="eastAsia"/>
        </w:rPr>
        <w:t>風災當時各界善款湧入，</w:t>
      </w:r>
      <w:r w:rsidR="00E41E40" w:rsidRPr="00A67C92">
        <w:rPr>
          <w:rFonts w:hint="eastAsia"/>
        </w:rPr>
        <w:t>於</w:t>
      </w:r>
      <w:r w:rsidR="004160FF" w:rsidRPr="00A67C92">
        <w:rPr>
          <w:rFonts w:hint="eastAsia"/>
        </w:rPr>
        <w:t>善款中有匿名捐助或不索取收據者，致無</w:t>
      </w:r>
      <w:r w:rsidR="00E41E40" w:rsidRPr="00A67C92">
        <w:rPr>
          <w:rFonts w:hint="eastAsia"/>
        </w:rPr>
        <w:t>從開立</w:t>
      </w:r>
      <w:r w:rsidR="004160FF" w:rsidRPr="00A67C92">
        <w:rPr>
          <w:rFonts w:hint="eastAsia"/>
        </w:rPr>
        <w:t>收據者之情況並非罕見；又因</w:t>
      </w:r>
      <w:r w:rsidR="00E41E40" w:rsidRPr="00A67C92">
        <w:rPr>
          <w:rFonts w:hint="eastAsia"/>
        </w:rPr>
        <w:t>該公所異地分署</w:t>
      </w:r>
      <w:r w:rsidR="004160FF" w:rsidRPr="00A67C92">
        <w:rPr>
          <w:rFonts w:hint="eastAsia"/>
        </w:rPr>
        <w:t>辦公，資訊整合不易，如造成各別受理捐贈之承辦人員於受理捐贈之善款、物資後，漏未將資訊集中統合，導致實際受贈情況與捐款登載有落差之情形，要非不可理解</w:t>
      </w:r>
      <w:r w:rsidR="00D9780A" w:rsidRPr="00A67C92">
        <w:rPr>
          <w:rFonts w:hint="eastAsia"/>
        </w:rPr>
        <w:t>，高雄地檢署檢察官不起訴處分書101年度偵字第28689、30380號、102年度偵字第3647、15225號已闡述甚詳。</w:t>
      </w:r>
      <w:r w:rsidR="00E41E40" w:rsidRPr="00A67C92">
        <w:rPr>
          <w:rFonts w:hint="eastAsia"/>
        </w:rPr>
        <w:t>復經本院調查，</w:t>
      </w:r>
      <w:r w:rsidR="006A6111" w:rsidRPr="00A67C92">
        <w:rPr>
          <w:rFonts w:hint="eastAsia"/>
        </w:rPr>
        <w:t>並</w:t>
      </w:r>
      <w:r w:rsidR="00E41E40" w:rsidRPr="00A67C92">
        <w:rPr>
          <w:rFonts w:hint="eastAsia"/>
        </w:rPr>
        <w:t>有指定用途</w:t>
      </w:r>
      <w:r w:rsidR="00D9780A" w:rsidRPr="00A67C92">
        <w:rPr>
          <w:rFonts w:hint="eastAsia"/>
        </w:rPr>
        <w:t>或對象為</w:t>
      </w:r>
      <w:r w:rsidR="00E41E40" w:rsidRPr="00A67C92">
        <w:rPr>
          <w:rFonts w:hint="eastAsia"/>
        </w:rPr>
        <w:t>捐贈，而於開立收據後復行將金額自行攜往指定捐贈對象，致</w:t>
      </w:r>
      <w:r w:rsidR="00D9780A" w:rsidRPr="00A67C92">
        <w:rPr>
          <w:rFonts w:hint="eastAsia"/>
        </w:rPr>
        <w:t>公所</w:t>
      </w:r>
      <w:r w:rsidR="00E41E40" w:rsidRPr="00A67C92">
        <w:rPr>
          <w:rFonts w:hint="eastAsia"/>
        </w:rPr>
        <w:t>入帳金額不符收據金額之情形。衡以風災當時那瑪夏</w:t>
      </w:r>
      <w:r w:rsidR="008862F8" w:rsidRPr="00A67C92">
        <w:rPr>
          <w:rFonts w:hint="eastAsia"/>
        </w:rPr>
        <w:t>鄉</w:t>
      </w:r>
      <w:r w:rsidR="00E41E40" w:rsidRPr="00A67C92">
        <w:rPr>
          <w:rFonts w:hint="eastAsia"/>
        </w:rPr>
        <w:t>百廢待舉、交通不便、資訊阻隔、甚且該公所建築因</w:t>
      </w:r>
      <w:r w:rsidR="008862F8" w:rsidRPr="00A67C92">
        <w:rPr>
          <w:rFonts w:hint="eastAsia"/>
        </w:rPr>
        <w:t>受</w:t>
      </w:r>
      <w:r w:rsidR="00E41E40" w:rsidRPr="00A67C92">
        <w:rPr>
          <w:rFonts w:hint="eastAsia"/>
        </w:rPr>
        <w:t>災不堪使用而人員必須於各地分別租用臨時辦公場所之情狀，於各承</w:t>
      </w:r>
      <w:r w:rsidR="00153DEC" w:rsidRPr="00A67C92">
        <w:rPr>
          <w:rFonts w:hint="eastAsia"/>
        </w:rPr>
        <w:t>辦人員急於辦理救災當下，強加相關書據資料處理必毫無疏漏之責，顯有</w:t>
      </w:r>
      <w:r w:rsidR="00E41E40" w:rsidRPr="00A67C92">
        <w:rPr>
          <w:rFonts w:hint="eastAsia"/>
        </w:rPr>
        <w:t>過苛。</w:t>
      </w:r>
      <w:r w:rsidR="006A6111" w:rsidRPr="00A67C92">
        <w:rPr>
          <w:rFonts w:hint="eastAsia"/>
        </w:rPr>
        <w:t>惟為避免未</w:t>
      </w:r>
      <w:r w:rsidR="00B77FEE" w:rsidRPr="00A67C92">
        <w:rPr>
          <w:rFonts w:hint="eastAsia"/>
        </w:rPr>
        <w:t>來</w:t>
      </w:r>
      <w:r w:rsidR="006A6111" w:rsidRPr="00A67C92">
        <w:rPr>
          <w:rFonts w:hint="eastAsia"/>
        </w:rPr>
        <w:t>再生類案損及政府機關形象，允應</w:t>
      </w:r>
      <w:r w:rsidR="00E41E40" w:rsidRPr="00A67C92">
        <w:rPr>
          <w:rFonts w:hint="eastAsia"/>
        </w:rPr>
        <w:t>加強宣導</w:t>
      </w:r>
      <w:r w:rsidR="006A6111" w:rsidRPr="00A67C92">
        <w:rPr>
          <w:rFonts w:hint="eastAsia"/>
        </w:rPr>
        <w:t>經辦</w:t>
      </w:r>
      <w:r w:rsidR="00E41E40" w:rsidRPr="00A67C92">
        <w:rPr>
          <w:rFonts w:hint="eastAsia"/>
        </w:rPr>
        <w:t>人員於辦理開立收據或帳目處理上</w:t>
      </w:r>
      <w:r w:rsidR="006A6111" w:rsidRPr="00A67C92">
        <w:rPr>
          <w:rFonts w:hint="eastAsia"/>
        </w:rPr>
        <w:t>更為</w:t>
      </w:r>
      <w:r w:rsidR="00E41E40" w:rsidRPr="00A67C92">
        <w:rPr>
          <w:rFonts w:hint="eastAsia"/>
        </w:rPr>
        <w:t>審慎詳實。</w:t>
      </w:r>
    </w:p>
    <w:p w:rsidR="000C4427" w:rsidRPr="00A67C92" w:rsidRDefault="00E41E40" w:rsidP="003C0B9A">
      <w:pPr>
        <w:pStyle w:val="3"/>
      </w:pPr>
      <w:r w:rsidRPr="00A67C92">
        <w:rPr>
          <w:rFonts w:hint="eastAsia"/>
        </w:rPr>
        <w:t>綜上，</w:t>
      </w:r>
      <w:r w:rsidR="003A1811" w:rsidRPr="00A67C92">
        <w:rPr>
          <w:rFonts w:hint="eastAsia"/>
        </w:rPr>
        <w:t>莫拉克風災重創那瑪夏地區，那瑪夏鄉公所</w:t>
      </w:r>
      <w:r w:rsidR="003A1811" w:rsidRPr="00A67C92">
        <w:rPr>
          <w:rFonts w:hint="eastAsia"/>
        </w:rPr>
        <w:lastRenderedPageBreak/>
        <w:t>建物更為土石掩埋，帳冊簿據滅失，受損嚴重，該公所為因應此情形而異地分署辦公並於98年8月至99年8月間接受各界捐贈；惟因各地捐款湧入，且有匿名捐贈或指定用途捐贈等情事，致作業上有開立收據金額較存入金額為少、或已列帳未開立收據，使總收據金額與存入總金額不符情形，顯有作業</w:t>
      </w:r>
      <w:r w:rsidR="003C0B9A" w:rsidRPr="00A67C92">
        <w:rPr>
          <w:rFonts w:hint="eastAsia"/>
        </w:rPr>
        <w:t>瑕疵</w:t>
      </w:r>
      <w:r w:rsidR="003A1811" w:rsidRPr="00A67C92">
        <w:rPr>
          <w:rFonts w:hint="eastAsia"/>
        </w:rPr>
        <w:t>，應予檢討改進。該公所當以本案為鑑，建立標準作業程序，加強宣導經辦人員於開立收據或帳目處理上應審慎詳實，避免損及政府機關形象</w:t>
      </w:r>
      <w:r w:rsidR="000C4427" w:rsidRPr="00A67C92">
        <w:rPr>
          <w:rFonts w:hint="eastAsia"/>
        </w:rPr>
        <w:t>。</w:t>
      </w:r>
    </w:p>
    <w:p w:rsidR="00CD7D4F" w:rsidRPr="00A67C92" w:rsidRDefault="00406D08" w:rsidP="00CD7D4F">
      <w:pPr>
        <w:pStyle w:val="2"/>
      </w:pPr>
      <w:r w:rsidRPr="00A67C92">
        <w:rPr>
          <w:rFonts w:hint="eastAsia"/>
          <w:b/>
          <w:bCs w:val="0"/>
        </w:rPr>
        <w:t>那瑪夏鄉公所收受外界多筆捐贈款項，惟因風災影響業務正常運作，出納人員便宜行事，</w:t>
      </w:r>
      <w:r w:rsidR="001D6EF0" w:rsidRPr="00A67C92">
        <w:rPr>
          <w:rFonts w:hint="eastAsia"/>
          <w:b/>
          <w:bCs w:val="0"/>
        </w:rPr>
        <w:t>收受</w:t>
      </w:r>
      <w:r w:rsidRPr="00A67C92">
        <w:rPr>
          <w:rFonts w:hint="eastAsia"/>
          <w:b/>
          <w:bCs w:val="0"/>
        </w:rPr>
        <w:t>捐款後</w:t>
      </w:r>
      <w:r w:rsidR="00024829" w:rsidRPr="00A67C92">
        <w:rPr>
          <w:rFonts w:hint="eastAsia"/>
          <w:b/>
          <w:bCs w:val="0"/>
        </w:rPr>
        <w:t>竟將部分款項</w:t>
      </w:r>
      <w:r w:rsidR="001D6EF0" w:rsidRPr="00A67C92">
        <w:rPr>
          <w:rFonts w:hint="eastAsia"/>
          <w:b/>
          <w:bCs w:val="0"/>
        </w:rPr>
        <w:t>自行挪移墊用而</w:t>
      </w:r>
      <w:r w:rsidRPr="00A67C92">
        <w:rPr>
          <w:rFonts w:hint="eastAsia"/>
          <w:b/>
          <w:bCs w:val="0"/>
        </w:rPr>
        <w:t>未悉數解繳入</w:t>
      </w:r>
      <w:r w:rsidR="00B3072E" w:rsidRPr="00A67C92">
        <w:rPr>
          <w:rFonts w:hint="eastAsia"/>
          <w:b/>
          <w:szCs w:val="36"/>
        </w:rPr>
        <w:t>專戶</w:t>
      </w:r>
      <w:r w:rsidRPr="00A67C92">
        <w:rPr>
          <w:rFonts w:hint="eastAsia"/>
          <w:b/>
          <w:bCs w:val="0"/>
        </w:rPr>
        <w:t>，</w:t>
      </w:r>
      <w:r w:rsidR="001B708C" w:rsidRPr="00A67C92">
        <w:rPr>
          <w:rFonts w:hint="eastAsia"/>
          <w:b/>
          <w:bCs w:val="0"/>
        </w:rPr>
        <w:t>雖均用於</w:t>
      </w:r>
      <w:r w:rsidR="0090615A" w:rsidRPr="00A67C92">
        <w:rPr>
          <w:rFonts w:hint="eastAsia"/>
          <w:b/>
          <w:bCs w:val="0"/>
        </w:rPr>
        <w:t>救</w:t>
      </w:r>
      <w:r w:rsidR="001B708C" w:rsidRPr="00A67C92">
        <w:rPr>
          <w:rFonts w:hint="eastAsia"/>
          <w:b/>
          <w:bCs w:val="0"/>
        </w:rPr>
        <w:t>助災民，仍</w:t>
      </w:r>
      <w:r w:rsidRPr="00A67C92">
        <w:rPr>
          <w:rFonts w:hint="eastAsia"/>
          <w:b/>
          <w:bCs w:val="0"/>
        </w:rPr>
        <w:t>與出納管理手冊相關規定有違</w:t>
      </w:r>
      <w:r w:rsidR="00EB2CD8" w:rsidRPr="00A67C92">
        <w:rPr>
          <w:rFonts w:hint="eastAsia"/>
          <w:b/>
          <w:bCs w:val="0"/>
        </w:rPr>
        <w:t>；</w:t>
      </w:r>
      <w:r w:rsidRPr="00A67C92">
        <w:rPr>
          <w:rFonts w:hint="eastAsia"/>
          <w:b/>
          <w:bCs w:val="0"/>
        </w:rPr>
        <w:t>且會計單位亦僅</w:t>
      </w:r>
      <w:r w:rsidR="001B708C" w:rsidRPr="00A67C92">
        <w:rPr>
          <w:rFonts w:hint="eastAsia"/>
          <w:b/>
          <w:bCs w:val="0"/>
        </w:rPr>
        <w:t>依據公庫送款憑單列帳，內部控管機制失靈，未來允應依規定辦理，以確保捐款保管之安全性及帳務處理之正確性</w:t>
      </w:r>
      <w:r w:rsidRPr="00A67C92">
        <w:rPr>
          <w:rFonts w:hint="eastAsia"/>
          <w:b/>
          <w:bCs w:val="0"/>
        </w:rPr>
        <w:t>。</w:t>
      </w:r>
      <w:r w:rsidR="00DD41C2" w:rsidRPr="00A67C92">
        <w:rPr>
          <w:rFonts w:hint="eastAsia"/>
          <w:b/>
          <w:bCs w:val="0"/>
        </w:rPr>
        <w:t xml:space="preserve"> </w:t>
      </w:r>
    </w:p>
    <w:p w:rsidR="00CD7D4F" w:rsidRPr="00A67C92" w:rsidRDefault="00CD7D4F" w:rsidP="00CD7D4F">
      <w:pPr>
        <w:pStyle w:val="3"/>
        <w:numPr>
          <w:ilvl w:val="2"/>
          <w:numId w:val="1"/>
        </w:numPr>
        <w:kinsoku w:val="0"/>
        <w:overflowPunct/>
        <w:autoSpaceDE/>
        <w:autoSpaceDN/>
        <w:ind w:leftChars="200" w:left="1360" w:hangingChars="200" w:hanging="680"/>
      </w:pPr>
      <w:r w:rsidRPr="00A67C92">
        <w:rPr>
          <w:rFonts w:hint="eastAsia"/>
        </w:rPr>
        <w:t>行政院94年6月29日訂定之出納管理手冊第29點規定：「出納管理單位除依法得自行保管之經費款項外，收納之各種款項及有價證券等，除法令另有規定外，應於當日或次日解繳公庫，零星收入最長不得逾</w:t>
      </w:r>
      <w:r w:rsidR="00652E1E" w:rsidRPr="00A67C92">
        <w:rPr>
          <w:rFonts w:hint="eastAsia"/>
        </w:rPr>
        <w:t>5</w:t>
      </w:r>
      <w:r w:rsidRPr="00A67C92">
        <w:rPr>
          <w:rFonts w:hint="eastAsia"/>
        </w:rPr>
        <w:t>日。」、第39點：「已使用之自行收納款項收據，第一聯交繳款人收執，第二聯報核，送會計單位列帳。第三聯存根，由出納管理單位或使用單位存查。」、第41點：「自行收納款項收據，應由出納管理單位或使用單位按編號順序開立，不得跳號，並以類別分類。」、第48點：「經辦出納管理人員，於執行出納事務時，應隨時登入有關備查簿，並按日結計清楚，不得稽延，相關憑證應於次日前送會計單位據以入帳」</w:t>
      </w:r>
      <w:r w:rsidR="00A8377A" w:rsidRPr="00A67C92">
        <w:rPr>
          <w:rFonts w:hint="eastAsia"/>
        </w:rPr>
        <w:t>。</w:t>
      </w:r>
    </w:p>
    <w:p w:rsidR="00406D08" w:rsidRPr="00A67C92" w:rsidRDefault="00406D08" w:rsidP="00CD7D4F">
      <w:pPr>
        <w:pStyle w:val="3"/>
        <w:numPr>
          <w:ilvl w:val="2"/>
          <w:numId w:val="1"/>
        </w:numPr>
        <w:kinsoku w:val="0"/>
        <w:overflowPunct/>
        <w:autoSpaceDE/>
        <w:autoSpaceDN/>
        <w:ind w:leftChars="200" w:left="1360" w:hangingChars="200" w:hanging="680"/>
      </w:pPr>
      <w:r w:rsidRPr="00A67C92">
        <w:rPr>
          <w:rFonts w:hint="eastAsia"/>
        </w:rPr>
        <w:t>據出納人員回覆本院之書面資料陳稱略以，</w:t>
      </w:r>
      <w:r w:rsidR="0036000B" w:rsidRPr="00A67C92">
        <w:rPr>
          <w:rFonts w:hint="eastAsia"/>
        </w:rPr>
        <w:t>莫拉克</w:t>
      </w:r>
      <w:r w:rsidRPr="00A67C92">
        <w:rPr>
          <w:rFonts w:hint="eastAsia"/>
        </w:rPr>
        <w:lastRenderedPageBreak/>
        <w:t>風災當時，該公所因遭土石掩埋，帳冊簿據滅失，且公所職員異地分署辦公，災後業務無法正常運作，以致部分程序未合法令，且因渠有重大傷病需拄持拐杖，體力不佳，致有未盡注意之疏失；另會計人員於亦於高雄地院</w:t>
      </w:r>
      <w:r w:rsidR="008D3C4D" w:rsidRPr="00A67C92">
        <w:rPr>
          <w:rFonts w:hint="eastAsia"/>
        </w:rPr>
        <w:t>審理時亦證稱，</w:t>
      </w:r>
      <w:r w:rsidR="0036000B" w:rsidRPr="00A67C92">
        <w:rPr>
          <w:rFonts w:hint="eastAsia"/>
        </w:rPr>
        <w:t>莫拉克</w:t>
      </w:r>
      <w:r w:rsidRPr="00A67C92">
        <w:rPr>
          <w:rFonts w:hint="eastAsia"/>
        </w:rPr>
        <w:t>風災當時該公所之辦公場所設備克難且分散辦公，常有加班情形，如有需要，周六、周日除處理緊急文書作業外，亦加入救災工作，相關人員業務十分繁重等語。</w:t>
      </w:r>
    </w:p>
    <w:p w:rsidR="00406D08" w:rsidRPr="00A67C92" w:rsidRDefault="0036000B" w:rsidP="00CD7D4F">
      <w:pPr>
        <w:pStyle w:val="3"/>
        <w:numPr>
          <w:ilvl w:val="2"/>
          <w:numId w:val="1"/>
        </w:numPr>
        <w:kinsoku w:val="0"/>
        <w:overflowPunct/>
        <w:autoSpaceDE/>
        <w:autoSpaceDN/>
        <w:ind w:leftChars="200" w:left="1360" w:hangingChars="200" w:hanging="680"/>
      </w:pPr>
      <w:r w:rsidRPr="00A67C92">
        <w:rPr>
          <w:rFonts w:hint="eastAsia"/>
        </w:rPr>
        <w:t>莫拉克</w:t>
      </w:r>
      <w:r w:rsidR="00406D08" w:rsidRPr="00A67C92">
        <w:rPr>
          <w:rFonts w:hint="eastAsia"/>
        </w:rPr>
        <w:t>風災期間，全國各地為濟助災民紛紛慷慨解囊，那瑪夏鄉公所收</w:t>
      </w:r>
      <w:r w:rsidR="00406D08" w:rsidRPr="00A67C92">
        <w:rPr>
          <w:rFonts w:hint="eastAsia"/>
          <w:bCs w:val="0"/>
        </w:rPr>
        <w:t>受</w:t>
      </w:r>
      <w:r w:rsidR="00406D08" w:rsidRPr="00A67C92">
        <w:rPr>
          <w:rFonts w:hint="eastAsia"/>
        </w:rPr>
        <w:t>取捐款後應依上述相關規定存入捐款專戶，如需動用前開款項，則應依程序簽准後方可支用。惟</w:t>
      </w:r>
      <w:r w:rsidR="00F21373" w:rsidRPr="00A67C92">
        <w:rPr>
          <w:rFonts w:hint="eastAsia"/>
        </w:rPr>
        <w:t>查</w:t>
      </w:r>
      <w:r w:rsidR="00406D08" w:rsidRPr="00A67C92">
        <w:rPr>
          <w:rFonts w:hint="eastAsia"/>
        </w:rPr>
        <w:t>該公所出納人員將收受</w:t>
      </w:r>
      <w:r w:rsidR="00F21373" w:rsidRPr="00A67C92">
        <w:rPr>
          <w:rFonts w:hint="eastAsia"/>
        </w:rPr>
        <w:t>之現金</w:t>
      </w:r>
      <w:r w:rsidR="00406D08" w:rsidRPr="00A67C92">
        <w:rPr>
          <w:rFonts w:hint="eastAsia"/>
        </w:rPr>
        <w:t>捐款私下借支墊付相關業務費用而未作登記，該時雖因業務繁重且情況混亂，然款項收入應依實際收取金額繳</w:t>
      </w:r>
      <w:r w:rsidR="00B3072E" w:rsidRPr="00A67C92">
        <w:rPr>
          <w:rFonts w:hint="eastAsia"/>
        </w:rPr>
        <w:t>捐款專戶</w:t>
      </w:r>
      <w:r w:rsidR="00406D08" w:rsidRPr="00A67C92">
        <w:rPr>
          <w:rFonts w:hint="eastAsia"/>
        </w:rPr>
        <w:t>、款項支出須簽奉核准不得擅自挪用等一般性出納事務處理原則，出納人員當不可諉為不知，經手處理勸募款項處理竟便宜行事，且即使考量確有</w:t>
      </w:r>
      <w:r w:rsidR="00F21373" w:rsidRPr="00A67C92">
        <w:rPr>
          <w:rFonts w:hint="eastAsia"/>
        </w:rPr>
        <w:t>借支應急之需而採</w:t>
      </w:r>
      <w:r w:rsidR="00406D08" w:rsidRPr="00A67C92">
        <w:rPr>
          <w:rFonts w:hint="eastAsia"/>
        </w:rPr>
        <w:t>權宜應變作為，出納人員竟未留下相關簡易書面紀錄作為憑據，導致帳務不清難以追查，實有未妥。而該公所會計單位，亦僅依據出納人員檢送之公庫送款憑單列帳，未切實核對出納單位收取之款項與開立之收據金額是否相符，以確認已開立收據之款項均已收納，內部控管機制亦顯失靈。</w:t>
      </w:r>
    </w:p>
    <w:p w:rsidR="00406D08" w:rsidRPr="00A67C92" w:rsidRDefault="00406D08" w:rsidP="00B3072E">
      <w:pPr>
        <w:pStyle w:val="3"/>
      </w:pPr>
      <w:r w:rsidRPr="00A67C92">
        <w:rPr>
          <w:rFonts w:hint="eastAsia"/>
        </w:rPr>
        <w:t>綜上，</w:t>
      </w:r>
      <w:r w:rsidR="001D6EF0" w:rsidRPr="00A67C92">
        <w:rPr>
          <w:rFonts w:hint="eastAsia"/>
        </w:rPr>
        <w:t>那瑪夏鄉公所收受外界多筆捐贈款項，惟因風災影響業務正常運作，出納人員便宜行事，</w:t>
      </w:r>
      <w:r w:rsidR="00024829" w:rsidRPr="00A67C92">
        <w:rPr>
          <w:rFonts w:hint="eastAsia"/>
        </w:rPr>
        <w:t>收受捐款後竟將部分款項自行挪移墊用而未悉數解繳入</w:t>
      </w:r>
      <w:r w:rsidR="00B3072E" w:rsidRPr="00A67C92">
        <w:rPr>
          <w:rFonts w:hint="eastAsia"/>
        </w:rPr>
        <w:t>專戶</w:t>
      </w:r>
      <w:r w:rsidR="001D6EF0" w:rsidRPr="00A67C92">
        <w:rPr>
          <w:rFonts w:hint="eastAsia"/>
        </w:rPr>
        <w:t>，雖均用於救助災民，仍與出納管理手冊相關規定有違；且會計單位亦僅依據公庫送款憑單列帳，內部控管機制失靈，未來允應依規定辦理，以</w:t>
      </w:r>
      <w:r w:rsidR="001D6EF0" w:rsidRPr="00A67C92">
        <w:rPr>
          <w:rFonts w:hint="eastAsia"/>
        </w:rPr>
        <w:lastRenderedPageBreak/>
        <w:t>確保捐款保管之安全性及帳務處理之正確性。</w:t>
      </w:r>
    </w:p>
    <w:p w:rsidR="00CD7D4F" w:rsidRPr="00A67C92" w:rsidRDefault="00413CA5" w:rsidP="00406D08">
      <w:pPr>
        <w:pStyle w:val="2"/>
        <w:rPr>
          <w:b/>
        </w:rPr>
      </w:pPr>
      <w:r w:rsidRPr="00A67C92">
        <w:rPr>
          <w:rFonts w:hint="eastAsia"/>
          <w:b/>
        </w:rPr>
        <w:t>那瑪夏鄉公所因重大災害接受外界捐贈，惟其捐款專戶混雜各類款項，又未依公益勸募條例規定函報上級機關備查，致其上級機關對於所接受捐贈</w:t>
      </w:r>
      <w:r w:rsidR="001B708C" w:rsidRPr="00A67C92">
        <w:rPr>
          <w:rFonts w:hint="eastAsia"/>
          <w:b/>
        </w:rPr>
        <w:t>及運用</w:t>
      </w:r>
      <w:r w:rsidRPr="00A67C92">
        <w:rPr>
          <w:rFonts w:hint="eastAsia"/>
          <w:b/>
        </w:rPr>
        <w:t>之物資款項均無從審核，</w:t>
      </w:r>
      <w:r w:rsidR="001B708C" w:rsidRPr="00A67C92">
        <w:rPr>
          <w:rFonts w:hint="eastAsia"/>
          <w:b/>
        </w:rPr>
        <w:t>導致本案</w:t>
      </w:r>
      <w:r w:rsidRPr="00A67C92">
        <w:rPr>
          <w:rFonts w:hint="eastAsia"/>
          <w:b/>
        </w:rPr>
        <w:t>後續查核困難，橫生滋擾，更造成司法資源浪費，</w:t>
      </w:r>
      <w:r w:rsidR="001B708C" w:rsidRPr="00A67C92">
        <w:rPr>
          <w:rFonts w:hint="eastAsia"/>
          <w:b/>
        </w:rPr>
        <w:t>核有違失，應予檢討改進。另</w:t>
      </w:r>
      <w:r w:rsidRPr="00A67C92">
        <w:rPr>
          <w:rFonts w:hint="eastAsia"/>
          <w:b/>
        </w:rPr>
        <w:t>公益勸募條例之中央主管機關衛生福利部允應就本案所</w:t>
      </w:r>
      <w:r w:rsidR="001B708C" w:rsidRPr="00A67C92">
        <w:rPr>
          <w:rFonts w:hint="eastAsia"/>
          <w:b/>
        </w:rPr>
        <w:t>衍</w:t>
      </w:r>
      <w:r w:rsidRPr="00A67C92">
        <w:rPr>
          <w:rFonts w:hint="eastAsia"/>
          <w:b/>
        </w:rPr>
        <w:t>生相關問題，詳加研處以求精進</w:t>
      </w:r>
      <w:r w:rsidR="003A1811" w:rsidRPr="00A67C92">
        <w:rPr>
          <w:rFonts w:hint="eastAsia"/>
          <w:b/>
        </w:rPr>
        <w:t>。</w:t>
      </w:r>
    </w:p>
    <w:p w:rsidR="00CD7D4F" w:rsidRPr="00A67C92" w:rsidRDefault="00CD7D4F" w:rsidP="00CD7D4F">
      <w:pPr>
        <w:pStyle w:val="3"/>
        <w:numPr>
          <w:ilvl w:val="2"/>
          <w:numId w:val="1"/>
        </w:numPr>
      </w:pPr>
      <w:r w:rsidRPr="00A67C92">
        <w:rPr>
          <w:rFonts w:hint="eastAsia"/>
        </w:rPr>
        <w:t>按公益勸募條例第4條規定：「本條例所稱主管機關：在中央為內政部</w:t>
      </w:r>
      <w:r w:rsidRPr="00A67C92">
        <w:rPr>
          <w:rStyle w:val="afc"/>
        </w:rPr>
        <w:footnoteReference w:id="1"/>
      </w:r>
      <w:r w:rsidRPr="00A67C92">
        <w:rPr>
          <w:rFonts w:hint="eastAsia"/>
        </w:rPr>
        <w:t>；在直轄市為直轄市政府；在縣(市)為縣(市)政府。」、第5條第2項規定：「各級政府機關 (構)得基於公益目的接受所屬人員或外界主動捐贈，不得發起勸募。但遇重大災害或國際救援時，不在此限。」、第6條第1、2項規定：「各級政府機關(構)應依下列規定辦理前條第</w:t>
      </w:r>
      <w:r w:rsidR="00652E1E" w:rsidRPr="00A67C92">
        <w:rPr>
          <w:rFonts w:hint="eastAsia"/>
        </w:rPr>
        <w:t>2</w:t>
      </w:r>
      <w:r w:rsidRPr="00A67C92">
        <w:rPr>
          <w:rFonts w:hint="eastAsia"/>
        </w:rPr>
        <w:t>項之勸募：一、開立收據。二、定期辦理公開徵信。三、依指定之用途使用。前項政府機關 (構) 有上級機關者，應於年度終了後2個月內，將辦理情形函報上級機關備查。」</w:t>
      </w:r>
      <w:r w:rsidRPr="00A67C92">
        <w:rPr>
          <w:rFonts w:hAnsi="標楷體" w:hint="eastAsia"/>
        </w:rPr>
        <w:t>另同條例第23條則規定，主管機關應將已核定之勸募活動、其所得及使用情形等資料予以上網公告。而</w:t>
      </w:r>
      <w:r w:rsidRPr="00A67C92">
        <w:t>98年8月7、8日</w:t>
      </w:r>
      <w:r w:rsidRPr="00A67C92">
        <w:rPr>
          <w:rFonts w:hint="eastAsia"/>
        </w:rPr>
        <w:t>莫</w:t>
      </w:r>
      <w:r w:rsidRPr="00A67C92">
        <w:rPr>
          <w:rFonts w:hint="eastAsia"/>
          <w:bCs w:val="0"/>
        </w:rPr>
        <w:t>拉克颱風挾帶豪雨，釀成嚴重災情</w:t>
      </w:r>
      <w:r w:rsidRPr="00A67C92">
        <w:rPr>
          <w:rFonts w:hint="eastAsia"/>
        </w:rPr>
        <w:t>，核屬重大災害</w:t>
      </w:r>
      <w:r w:rsidRPr="00A67C92">
        <w:t>，</w:t>
      </w:r>
      <w:r w:rsidRPr="00A67C92">
        <w:rPr>
          <w:rFonts w:hint="eastAsia"/>
        </w:rPr>
        <w:t>鄉(鎮、市)公所</w:t>
      </w:r>
      <w:r w:rsidRPr="00A67C92">
        <w:t>得不經申請之程序而公開發起勸募活動，</w:t>
      </w:r>
      <w:r w:rsidRPr="00A67C92">
        <w:rPr>
          <w:rFonts w:hint="eastAsia"/>
        </w:rPr>
        <w:t>惟</w:t>
      </w:r>
      <w:r w:rsidRPr="00A67C92">
        <w:t>其所受公益勸募條例之規範，</w:t>
      </w:r>
      <w:r w:rsidRPr="00A67C92">
        <w:rPr>
          <w:rFonts w:hint="eastAsia"/>
        </w:rPr>
        <w:t>乃</w:t>
      </w:r>
      <w:r w:rsidRPr="00A67C92">
        <w:t>第</w:t>
      </w:r>
      <w:r w:rsidRPr="00A67C92">
        <w:rPr>
          <w:rFonts w:hint="eastAsia"/>
        </w:rPr>
        <w:t>6</w:t>
      </w:r>
      <w:r w:rsidRPr="00A67C92">
        <w:t>條第</w:t>
      </w:r>
      <w:r w:rsidRPr="00A67C92">
        <w:rPr>
          <w:rFonts w:hint="eastAsia"/>
        </w:rPr>
        <w:t>1</w:t>
      </w:r>
      <w:r w:rsidRPr="00A67C92">
        <w:t>項所要求之開立收據、定期辦理公開徵信、依指定之用途使用，</w:t>
      </w:r>
      <w:r w:rsidRPr="00A67C92">
        <w:rPr>
          <w:rFonts w:hint="eastAsia"/>
        </w:rPr>
        <w:t>及第6條第2項</w:t>
      </w:r>
      <w:r w:rsidRPr="00A67C92">
        <w:t>發起勸募之政府機關有上級機關者，應於年度終了後</w:t>
      </w:r>
      <w:r w:rsidR="00652E1E" w:rsidRPr="00A67C92">
        <w:rPr>
          <w:rFonts w:hint="eastAsia"/>
        </w:rPr>
        <w:t>2</w:t>
      </w:r>
      <w:r w:rsidRPr="00A67C92">
        <w:t>個月內，將辦理情形函報上級機關備查</w:t>
      </w:r>
      <w:r w:rsidRPr="00A67C92">
        <w:rPr>
          <w:rFonts w:hint="eastAsia"/>
        </w:rPr>
        <w:t>，合先敘明</w:t>
      </w:r>
      <w:r w:rsidRPr="00A67C92">
        <w:t>。</w:t>
      </w:r>
    </w:p>
    <w:p w:rsidR="00CD7D4F" w:rsidRPr="00A67C92" w:rsidRDefault="008D3C4D" w:rsidP="00CD7D4F">
      <w:pPr>
        <w:pStyle w:val="3"/>
        <w:numPr>
          <w:ilvl w:val="2"/>
          <w:numId w:val="1"/>
        </w:numPr>
      </w:pPr>
      <w:r w:rsidRPr="00A67C92">
        <w:rPr>
          <w:rFonts w:hint="eastAsia"/>
        </w:rPr>
        <w:lastRenderedPageBreak/>
        <w:t>那瑪夏鄉公所獲</w:t>
      </w:r>
      <w:r w:rsidR="00CD7D4F" w:rsidRPr="00A67C92">
        <w:rPr>
          <w:rFonts w:hint="eastAsia"/>
        </w:rPr>
        <w:t>鄉民代表會同意，自98年8月至99年8月止，以捐款專戶向大眾募捐，</w:t>
      </w:r>
      <w:r w:rsidRPr="00A67C92">
        <w:rPr>
          <w:rFonts w:hint="eastAsia"/>
        </w:rPr>
        <w:t>嗣</w:t>
      </w:r>
      <w:r w:rsidR="00CD7D4F" w:rsidRPr="00A67C92">
        <w:rPr>
          <w:rFonts w:hint="eastAsia"/>
        </w:rPr>
        <w:t>高雄市審計處辦理那瑪夏鄉公所99年度財務收支抽查時，發現該專戶因包含推行原住民文化、家政、農業等29</w:t>
      </w:r>
      <w:r w:rsidR="006A6111" w:rsidRPr="00A67C92">
        <w:rPr>
          <w:rFonts w:hint="eastAsia"/>
        </w:rPr>
        <w:t>筆經費款項，致難以辨識各款項來源</w:t>
      </w:r>
      <w:r w:rsidR="00CD7D4F" w:rsidRPr="00A67C92">
        <w:rPr>
          <w:rFonts w:hint="eastAsia"/>
        </w:rPr>
        <w:t>。又那瑪夏鄉公所雖曾製作捐款名冊上網公告，卻未將相關辦理情形於年度終了後2個月內函報上級機關備查，</w:t>
      </w:r>
      <w:r w:rsidR="006A6111" w:rsidRPr="00A67C92">
        <w:rPr>
          <w:rFonts w:hint="eastAsia"/>
        </w:rPr>
        <w:t>其</w:t>
      </w:r>
      <w:r w:rsidR="00CD7D4F" w:rsidRPr="00A67C92">
        <w:rPr>
          <w:rFonts w:hint="eastAsia"/>
        </w:rPr>
        <w:t>所開立之捐款收據總金額與代收款明細分</w:t>
      </w:r>
      <w:r w:rsidR="006A6111" w:rsidRPr="00A67C92">
        <w:rPr>
          <w:rFonts w:hint="eastAsia"/>
        </w:rPr>
        <w:t>類帳總金額不一致，有開立收據而未列帳或有列帳而無開立收據之情形，業如前述</w:t>
      </w:r>
      <w:r w:rsidR="00CD7D4F" w:rsidRPr="00A67C92">
        <w:rPr>
          <w:rFonts w:hint="eastAsia"/>
        </w:rPr>
        <w:t>。</w:t>
      </w:r>
      <w:r w:rsidR="006A6111" w:rsidRPr="00A67C92">
        <w:rPr>
          <w:rFonts w:hint="eastAsia"/>
        </w:rPr>
        <w:t>按</w:t>
      </w:r>
      <w:r w:rsidR="00CD7D4F" w:rsidRPr="00A67C92">
        <w:rPr>
          <w:rFonts w:hint="eastAsia"/>
        </w:rPr>
        <w:t>公益勸募條例第6條第2項係要求於年度終了後</w:t>
      </w:r>
      <w:r w:rsidR="0063144B" w:rsidRPr="00A67C92">
        <w:rPr>
          <w:rFonts w:hint="eastAsia"/>
        </w:rPr>
        <w:t>2</w:t>
      </w:r>
      <w:r w:rsidR="00CD7D4F" w:rsidRPr="00A67C92">
        <w:rPr>
          <w:rFonts w:hint="eastAsia"/>
        </w:rPr>
        <w:t>個月內將辦理情形報上級機關備查，即已預留相當時間，</w:t>
      </w:r>
      <w:r w:rsidR="00413CA5" w:rsidRPr="00A67C92">
        <w:rPr>
          <w:rFonts w:hint="eastAsia"/>
        </w:rPr>
        <w:t>亦非於救災當下要求立即辦理，自難認此等事後報備之程序要求有何過苛之處。則</w:t>
      </w:r>
      <w:r w:rsidR="006A6111" w:rsidRPr="00A67C92">
        <w:rPr>
          <w:rFonts w:hint="eastAsia"/>
        </w:rPr>
        <w:t>那瑪夏鄉公所卻未能將相關辦理情形報請上級機關備查，</w:t>
      </w:r>
      <w:r w:rsidR="00FB33DD" w:rsidRPr="00A67C92">
        <w:rPr>
          <w:rFonts w:hint="eastAsia"/>
        </w:rPr>
        <w:t>違反公益勸募條例第6條第2項規定，</w:t>
      </w:r>
      <w:r w:rsidR="00413CA5" w:rsidRPr="00A67C92">
        <w:rPr>
          <w:rFonts w:hint="eastAsia"/>
        </w:rPr>
        <w:t>自</w:t>
      </w:r>
      <w:r w:rsidR="006A6111" w:rsidRPr="00A67C92">
        <w:rPr>
          <w:rFonts w:hint="eastAsia"/>
        </w:rPr>
        <w:t>有</w:t>
      </w:r>
      <w:r w:rsidR="00413CA5" w:rsidRPr="00A67C92">
        <w:rPr>
          <w:rFonts w:hint="eastAsia"/>
        </w:rPr>
        <w:t>違失</w:t>
      </w:r>
      <w:r w:rsidR="006A6111" w:rsidRPr="00A67C92">
        <w:rPr>
          <w:rFonts w:hint="eastAsia"/>
        </w:rPr>
        <w:t>。</w:t>
      </w:r>
    </w:p>
    <w:p w:rsidR="00CD7D4F" w:rsidRPr="00A67C92" w:rsidRDefault="00CD7D4F" w:rsidP="00CD7D4F">
      <w:pPr>
        <w:pStyle w:val="3"/>
      </w:pPr>
      <w:r w:rsidRPr="00A67C92">
        <w:rPr>
          <w:rFonts w:hint="eastAsia"/>
        </w:rPr>
        <w:t>復依據審計部前辦理「莫拉克颱風勸募款項或接受外界主動捐款收支情形」專案調查及本院調查前案</w:t>
      </w:r>
      <w:r w:rsidRPr="00A67C92">
        <w:rPr>
          <w:rStyle w:val="afc"/>
          <w:bCs w:val="0"/>
        </w:rPr>
        <w:footnoteReference w:id="2"/>
      </w:r>
      <w:r w:rsidRPr="00A67C92">
        <w:rPr>
          <w:rFonts w:hint="eastAsia"/>
        </w:rPr>
        <w:t>顯示，</w:t>
      </w:r>
      <w:r w:rsidRPr="00A67C92">
        <w:t>許多地方政府機關辦理勸募款項支用情形，缺少外部監督機制，事前未比照勸募團體依同條例第7條第1項申請許可，事後又因依同條例第4條後段各直轄市及縣市政府就是勸募主管機關，或因鄉鎮市公所自認是地方自治團體，</w:t>
      </w:r>
      <w:r w:rsidRPr="00A67C92">
        <w:rPr>
          <w:rFonts w:hint="eastAsia"/>
        </w:rPr>
        <w:t>或認並非主動勸募，而不適用公益勸募條例，故多</w:t>
      </w:r>
      <w:r w:rsidRPr="00A67C92">
        <w:t>未將募得款項支用情形函報上級政府或當地主管機關備查</w:t>
      </w:r>
      <w:r w:rsidRPr="00A67C92">
        <w:rPr>
          <w:rFonts w:hint="eastAsia"/>
        </w:rPr>
        <w:t>，前開本院調查前案更曾提出：「</w:t>
      </w:r>
      <w:r w:rsidRPr="00A67C92">
        <w:rPr>
          <w:rFonts w:hint="eastAsia"/>
          <w:b/>
        </w:rPr>
        <w:t>部分政府機關（構）發起勸募，未能落實執行公益勸募條例之規定，未設立</w:t>
      </w:r>
      <w:r w:rsidRPr="00A67C92">
        <w:rPr>
          <w:rFonts w:hint="eastAsia"/>
          <w:b/>
        </w:rPr>
        <w:lastRenderedPageBreak/>
        <w:t>專帳處理捐款收支，又缺乏外部監督機制，致難管控支用有無確依捐款用途使用，鉅額款項留存專戶，迄未訂定用途或計畫；更有部分政府機關發起勸募未上網公告，亦未依法辦理公開徵信</w:t>
      </w:r>
      <w:r w:rsidRPr="00A67C92">
        <w:rPr>
          <w:rFonts w:hint="eastAsia"/>
        </w:rPr>
        <w:t>」、「</w:t>
      </w:r>
      <w:r w:rsidRPr="00A67C92">
        <w:rPr>
          <w:rFonts w:hint="eastAsia"/>
          <w:b/>
        </w:rPr>
        <w:t>對於無名氏捐贈及設募款箱無法開立收據等之勸募行為，如何建立公開徵信機制，內政部應迅予檢討</w:t>
      </w:r>
      <w:r w:rsidRPr="00A67C92">
        <w:rPr>
          <w:rFonts w:hint="eastAsia"/>
        </w:rPr>
        <w:t>」等調查意見，由是可知，類</w:t>
      </w:r>
      <w:r w:rsidR="00413CA5" w:rsidRPr="00A67C92">
        <w:rPr>
          <w:rFonts w:hint="eastAsia"/>
        </w:rPr>
        <w:t>如本案那瑪夏鄉公所之辦理情形者並非少數。然那瑪夏鄉公所之辦理</w:t>
      </w:r>
      <w:r w:rsidRPr="00A67C92">
        <w:rPr>
          <w:rFonts w:hint="eastAsia"/>
        </w:rPr>
        <w:t>情形帳目混亂，</w:t>
      </w:r>
      <w:r w:rsidR="00413CA5" w:rsidRPr="00A67C92">
        <w:rPr>
          <w:rFonts w:hint="eastAsia"/>
        </w:rPr>
        <w:t>又未報上級機關備查，</w:t>
      </w:r>
      <w:r w:rsidRPr="00A67C92">
        <w:rPr>
          <w:rFonts w:hint="eastAsia"/>
        </w:rPr>
        <w:t>不僅造成後續審計機關查核困難，更因嗣後始移送犯罪偵查機關偵辦，相關人員因年代久遠而記憶模糊，真相難以釐</w:t>
      </w:r>
      <w:r w:rsidR="00406D08" w:rsidRPr="00A67C92">
        <w:rPr>
          <w:rFonts w:hint="eastAsia"/>
        </w:rPr>
        <w:t>清，造成司法資源浪費，多生紛擾，此均源於未及時受外部監督所致。查</w:t>
      </w:r>
      <w:r w:rsidRPr="00A67C92">
        <w:rPr>
          <w:rFonts w:hint="eastAsia"/>
        </w:rPr>
        <w:t>行政院</w:t>
      </w:r>
      <w:r w:rsidR="00406D08" w:rsidRPr="00A67C92">
        <w:rPr>
          <w:rFonts w:hint="eastAsia"/>
        </w:rPr>
        <w:t>已</w:t>
      </w:r>
      <w:r w:rsidRPr="00A67C92">
        <w:rPr>
          <w:rFonts w:hint="eastAsia"/>
        </w:rPr>
        <w:t>於103年2月17</w:t>
      </w:r>
      <w:r w:rsidR="00406D08" w:rsidRPr="00A67C92">
        <w:rPr>
          <w:rFonts w:hint="eastAsia"/>
        </w:rPr>
        <w:t>日送請立法院審議之公益勸募條例修正草案，該條例之中央主管機關衛生福利部自應就本案所生相關問題，</w:t>
      </w:r>
      <w:r w:rsidRPr="00A67C92">
        <w:rPr>
          <w:rFonts w:hint="eastAsia"/>
        </w:rPr>
        <w:t>詳予研究妥適處理</w:t>
      </w:r>
      <w:r w:rsidR="00406D08" w:rsidRPr="00A67C92">
        <w:rPr>
          <w:rFonts w:hint="eastAsia"/>
        </w:rPr>
        <w:t>以求精進</w:t>
      </w:r>
      <w:r w:rsidRPr="00A67C92">
        <w:rPr>
          <w:rFonts w:hint="eastAsia"/>
        </w:rPr>
        <w:t>。</w:t>
      </w:r>
    </w:p>
    <w:p w:rsidR="00413CA5" w:rsidRPr="00A67C92" w:rsidRDefault="00413CA5" w:rsidP="00CD7D4F">
      <w:pPr>
        <w:pStyle w:val="3"/>
      </w:pPr>
      <w:r w:rsidRPr="00A67C92">
        <w:rPr>
          <w:rFonts w:hint="eastAsia"/>
        </w:rPr>
        <w:t>綜上，</w:t>
      </w:r>
      <w:r w:rsidR="003A1811" w:rsidRPr="00A67C92">
        <w:rPr>
          <w:rFonts w:hint="eastAsia"/>
        </w:rPr>
        <w:t>那瑪夏鄉公所因重大災害接受外界捐贈，惟其捐款專戶混雜各類款項，又未依公益勸募條例規定函報上級機關備查，致其上級機關對於所接受捐贈及運用之物資款項均無從審核，導致本案後續查核困難，橫生滋擾，更造成司法資源浪費，核有違失，應予檢討改進。另公益勸募條例之中央主管機關衛生福利部允應就本案所衍生相關問題，詳加研處以求精進</w:t>
      </w:r>
      <w:r w:rsidRPr="00A67C92">
        <w:rPr>
          <w:rFonts w:hint="eastAsia"/>
        </w:rPr>
        <w:t>。</w:t>
      </w:r>
    </w:p>
    <w:p w:rsidR="00413CA5" w:rsidRPr="00A67C92" w:rsidRDefault="00651EDA" w:rsidP="00413CA5">
      <w:pPr>
        <w:pStyle w:val="2"/>
        <w:rPr>
          <w:b/>
        </w:rPr>
      </w:pPr>
      <w:r w:rsidRPr="00A67C92">
        <w:rPr>
          <w:rFonts w:hint="eastAsia"/>
          <w:b/>
        </w:rPr>
        <w:t>本</w:t>
      </w:r>
      <w:r w:rsidR="00413CA5" w:rsidRPr="00A67C92">
        <w:rPr>
          <w:rFonts w:hint="eastAsia"/>
          <w:b/>
        </w:rPr>
        <w:t>案</w:t>
      </w:r>
      <w:r w:rsidR="00805FD7" w:rsidRPr="00A67C92">
        <w:rPr>
          <w:rFonts w:hint="eastAsia"/>
          <w:b/>
        </w:rPr>
        <w:t>大</w:t>
      </w:r>
      <w:r w:rsidR="00A8377A" w:rsidRPr="00A67C92">
        <w:rPr>
          <w:rFonts w:hint="eastAsia"/>
          <w:b/>
        </w:rPr>
        <w:t>部分</w:t>
      </w:r>
      <w:r w:rsidRPr="00A67C92">
        <w:rPr>
          <w:rFonts w:hint="eastAsia"/>
          <w:b/>
        </w:rPr>
        <w:t>相</w:t>
      </w:r>
      <w:r w:rsidR="00413CA5" w:rsidRPr="00A67C92">
        <w:rPr>
          <w:rFonts w:hint="eastAsia"/>
          <w:b/>
        </w:rPr>
        <w:t>關人員業獲不起訴或無罪判決，本院尊重</w:t>
      </w:r>
      <w:r w:rsidR="000E0D54" w:rsidRPr="00A67C92">
        <w:rPr>
          <w:rFonts w:hint="eastAsia"/>
          <w:b/>
        </w:rPr>
        <w:t>檢察、司法機關之偵審</w:t>
      </w:r>
      <w:r w:rsidR="00413CA5" w:rsidRPr="00A67C92">
        <w:rPr>
          <w:rFonts w:hint="eastAsia"/>
          <w:b/>
        </w:rPr>
        <w:t>決定，</w:t>
      </w:r>
      <w:r w:rsidR="00990166" w:rsidRPr="00A67C92">
        <w:rPr>
          <w:rFonts w:hint="eastAsia"/>
          <w:b/>
        </w:rPr>
        <w:t>部分人員</w:t>
      </w:r>
      <w:r w:rsidR="000F0787" w:rsidRPr="00A67C92">
        <w:rPr>
          <w:rFonts w:hint="eastAsia"/>
          <w:b/>
        </w:rPr>
        <w:t>雖</w:t>
      </w:r>
      <w:r w:rsidR="00990166" w:rsidRPr="00A67C92">
        <w:rPr>
          <w:rFonts w:hint="eastAsia"/>
          <w:b/>
        </w:rPr>
        <w:t>未依規定切實經辦業務</w:t>
      </w:r>
      <w:r w:rsidR="000F0787" w:rsidRPr="00A67C92">
        <w:rPr>
          <w:rFonts w:hint="eastAsia"/>
          <w:b/>
        </w:rPr>
        <w:t>，惟</w:t>
      </w:r>
      <w:r w:rsidR="00107DDB" w:rsidRPr="00A67C92">
        <w:rPr>
          <w:rFonts w:hint="eastAsia"/>
          <w:b/>
        </w:rPr>
        <w:t>均</w:t>
      </w:r>
      <w:r w:rsidR="000F0787" w:rsidRPr="00A67C92">
        <w:rPr>
          <w:rFonts w:hint="eastAsia"/>
          <w:b/>
        </w:rPr>
        <w:t>已離</w:t>
      </w:r>
      <w:r w:rsidR="00107DDB" w:rsidRPr="00A67C92">
        <w:rPr>
          <w:rFonts w:hint="eastAsia"/>
          <w:b/>
        </w:rPr>
        <w:t>退</w:t>
      </w:r>
      <w:r w:rsidR="000F0787" w:rsidRPr="00A67C92">
        <w:rPr>
          <w:rFonts w:hint="eastAsia"/>
          <w:b/>
        </w:rPr>
        <w:t>職或受有處</w:t>
      </w:r>
      <w:r w:rsidR="00107DDB" w:rsidRPr="00A67C92">
        <w:rPr>
          <w:rFonts w:hint="eastAsia"/>
          <w:b/>
        </w:rPr>
        <w:t>分</w:t>
      </w:r>
      <w:r w:rsidR="000F0787" w:rsidRPr="00A67C92">
        <w:rPr>
          <w:rFonts w:hint="eastAsia"/>
          <w:b/>
        </w:rPr>
        <w:t>在案</w:t>
      </w:r>
      <w:r w:rsidR="00990166" w:rsidRPr="00A67C92">
        <w:rPr>
          <w:rFonts w:hint="eastAsia"/>
          <w:b/>
        </w:rPr>
        <w:t>；</w:t>
      </w:r>
      <w:r w:rsidR="000F0787" w:rsidRPr="00A67C92">
        <w:rPr>
          <w:rFonts w:hint="eastAsia"/>
          <w:b/>
        </w:rPr>
        <w:t>至</w:t>
      </w:r>
      <w:r w:rsidR="00BA6F66" w:rsidRPr="00A67C92">
        <w:rPr>
          <w:rFonts w:hint="eastAsia"/>
          <w:b/>
        </w:rPr>
        <w:t>本案刑事判決仍有</w:t>
      </w:r>
      <w:r w:rsidR="00805FD7" w:rsidRPr="00A67C92">
        <w:rPr>
          <w:rFonts w:hint="eastAsia"/>
          <w:b/>
        </w:rPr>
        <w:t>1人</w:t>
      </w:r>
      <w:r w:rsidR="00BA6F66" w:rsidRPr="00A67C92">
        <w:rPr>
          <w:rFonts w:hint="eastAsia"/>
          <w:b/>
        </w:rPr>
        <w:t>尚未確定，若未來經判決而有違法情事，仍</w:t>
      </w:r>
      <w:r w:rsidR="00413CA5" w:rsidRPr="00A67C92">
        <w:rPr>
          <w:rFonts w:hint="eastAsia"/>
          <w:b/>
        </w:rPr>
        <w:t>請依權責辦理。</w:t>
      </w:r>
    </w:p>
    <w:p w:rsidR="00413CA5" w:rsidRPr="00A67C92" w:rsidRDefault="00A94692" w:rsidP="008862F8">
      <w:pPr>
        <w:pStyle w:val="3"/>
      </w:pPr>
      <w:r w:rsidRPr="00A67C92">
        <w:rPr>
          <w:rFonts w:hint="eastAsia"/>
        </w:rPr>
        <w:t>審計部函報本院，認</w:t>
      </w:r>
      <w:r w:rsidR="008862F8" w:rsidRPr="00A67C92">
        <w:rPr>
          <w:rFonts w:hint="eastAsia"/>
        </w:rPr>
        <w:t>那瑪夏鄉公所</w:t>
      </w:r>
      <w:r w:rsidRPr="00A67C92">
        <w:rPr>
          <w:rFonts w:hint="eastAsia"/>
        </w:rPr>
        <w:t>涉有部分急難救</w:t>
      </w:r>
      <w:r w:rsidRPr="00A67C92">
        <w:rPr>
          <w:rFonts w:hint="eastAsia"/>
        </w:rPr>
        <w:lastRenderedPageBreak/>
        <w:t>助金未實際發予災民，且偽造發放清冊，並挪支之現金占為己有等情。經司法機關偵查審理結果，其中伊斯坦大</w:t>
      </w:r>
      <w:r w:rsidR="00BC06C7" w:rsidRPr="00A67C92">
        <w:rPr>
          <w:rFonts w:hint="eastAsia"/>
        </w:rPr>
        <w:t>‧</w:t>
      </w:r>
      <w:r w:rsidRPr="00A67C92">
        <w:rPr>
          <w:rFonts w:hint="eastAsia"/>
        </w:rPr>
        <w:t>呼頌、孫榮顯、柯武達、馬健修、方佳昇、詹怡玲，業經不起訴處分確定在案，有前開高雄地檢署檢察官不起訴處分書及臺灣高等法院高雄分院檢察署103年5月8日103年度上職議字第3371號處分書在卷可稽。另高雄地檢署檢察官起訴李福隆、黃式毅部分，其中李福隆業經高雄地院判決無罪確定，而黃式毅則經高雄地院於104年7月31日第一審判決無罪，迄本報告完成日止，尚未定讞。</w:t>
      </w:r>
    </w:p>
    <w:p w:rsidR="00A94692" w:rsidRPr="00A67C92" w:rsidRDefault="000C52BD" w:rsidP="00413CA5">
      <w:pPr>
        <w:pStyle w:val="3"/>
      </w:pPr>
      <w:r w:rsidRPr="00A67C92">
        <w:t>按不起訴處分已確定或緩起訴處分期滿未經撤銷</w:t>
      </w:r>
      <w:r w:rsidR="00D27071" w:rsidRPr="00A67C92">
        <w:t>者，非有</w:t>
      </w:r>
      <w:r w:rsidR="00D27071" w:rsidRPr="00A67C92">
        <w:rPr>
          <w:rFonts w:hint="eastAsia"/>
        </w:rPr>
        <w:t>下</w:t>
      </w:r>
      <w:r w:rsidRPr="00A67C92">
        <w:t>列情形之一，不得對於同一案件再行起訴：一、發現新事實或新證據者。二、有第</w:t>
      </w:r>
      <w:r w:rsidRPr="00A67C92">
        <w:rPr>
          <w:rFonts w:hint="eastAsia"/>
        </w:rPr>
        <w:t>420</w:t>
      </w:r>
      <w:r w:rsidRPr="00A67C92">
        <w:t>條第</w:t>
      </w:r>
      <w:r w:rsidRPr="00A67C92">
        <w:rPr>
          <w:rFonts w:hint="eastAsia"/>
        </w:rPr>
        <w:t>1</w:t>
      </w:r>
      <w:r w:rsidRPr="00A67C92">
        <w:t>項第</w:t>
      </w:r>
      <w:r w:rsidRPr="00A67C92">
        <w:rPr>
          <w:rFonts w:hint="eastAsia"/>
        </w:rPr>
        <w:t>1</w:t>
      </w:r>
      <w:r w:rsidRPr="00A67C92">
        <w:t>款、第</w:t>
      </w:r>
      <w:r w:rsidRPr="00A67C92">
        <w:rPr>
          <w:rFonts w:hint="eastAsia"/>
        </w:rPr>
        <w:t>2</w:t>
      </w:r>
      <w:r w:rsidRPr="00A67C92">
        <w:t>款、第</w:t>
      </w:r>
      <w:r w:rsidRPr="00A67C92">
        <w:rPr>
          <w:rFonts w:hint="eastAsia"/>
        </w:rPr>
        <w:t>4</w:t>
      </w:r>
      <w:r w:rsidRPr="00A67C92">
        <w:t>款或第</w:t>
      </w:r>
      <w:r w:rsidRPr="00A67C92">
        <w:rPr>
          <w:rFonts w:hint="eastAsia"/>
        </w:rPr>
        <w:t>5</w:t>
      </w:r>
      <w:r w:rsidRPr="00A67C92">
        <w:t>款所定得為再審原因之情形者</w:t>
      </w:r>
      <w:r w:rsidRPr="00A67C92">
        <w:rPr>
          <w:rFonts w:hint="eastAsia"/>
        </w:rPr>
        <w:t>；</w:t>
      </w:r>
      <w:r w:rsidRPr="00A67C92">
        <w:t>又案件有下列情形之一者，應諭知不受理之判決：四、曾為不起訴處分、撤回起訴或緩起訴期滿未經撤銷，而違背第</w:t>
      </w:r>
      <w:r w:rsidR="00D27071" w:rsidRPr="00A67C92">
        <w:rPr>
          <w:rFonts w:hint="eastAsia"/>
        </w:rPr>
        <w:t>260</w:t>
      </w:r>
      <w:r w:rsidRPr="00A67C92">
        <w:t>條之規定再行起訴者</w:t>
      </w:r>
      <w:r w:rsidRPr="00A67C92">
        <w:rPr>
          <w:rFonts w:hint="eastAsia"/>
        </w:rPr>
        <w:t>，</w:t>
      </w:r>
      <w:r w:rsidRPr="00A67C92">
        <w:t>刑事訴訟法第260、303條定有明文。</w:t>
      </w:r>
      <w:r w:rsidRPr="00A67C92">
        <w:rPr>
          <w:rFonts w:hint="eastAsia"/>
        </w:rPr>
        <w:t>另「案件經檢察官偵查後，從實體上認定被告之犯罪嫌疑不足，依刑事訴訟法第</w:t>
      </w:r>
      <w:r w:rsidR="00652E1E" w:rsidRPr="00A67C92">
        <w:rPr>
          <w:rFonts w:hint="eastAsia"/>
        </w:rPr>
        <w:t>252</w:t>
      </w:r>
      <w:r w:rsidRPr="00A67C92">
        <w:rPr>
          <w:rFonts w:hint="eastAsia"/>
        </w:rPr>
        <w:t>條第</w:t>
      </w:r>
      <w:r w:rsidR="00652E1E" w:rsidRPr="00A67C92">
        <w:rPr>
          <w:rFonts w:hint="eastAsia"/>
        </w:rPr>
        <w:t>10</w:t>
      </w:r>
      <w:r w:rsidRPr="00A67C92">
        <w:rPr>
          <w:rFonts w:hint="eastAsia"/>
        </w:rPr>
        <w:t>款規定為不起訴處分確定者，其實質效果，就現行法制言，與受無罪之判決無異；故於該不起訴處分書所敘及之事實範圍內，發生實質上之確定力，非僅止於訴權之暫時未行使而已。是以除合於刑事訴訟法第</w:t>
      </w:r>
      <w:r w:rsidR="00652E1E" w:rsidRPr="00A67C92">
        <w:rPr>
          <w:rFonts w:hint="eastAsia"/>
        </w:rPr>
        <w:t>260</w:t>
      </w:r>
      <w:r w:rsidRPr="00A67C92">
        <w:rPr>
          <w:rFonts w:hint="eastAsia"/>
        </w:rPr>
        <w:t>條第</w:t>
      </w:r>
      <w:r w:rsidR="00652E1E" w:rsidRPr="00A67C92">
        <w:rPr>
          <w:rFonts w:hint="eastAsia"/>
        </w:rPr>
        <w:t>1</w:t>
      </w:r>
      <w:r w:rsidRPr="00A67C92">
        <w:rPr>
          <w:rFonts w:hint="eastAsia"/>
        </w:rPr>
        <w:t>、</w:t>
      </w:r>
      <w:r w:rsidR="00652E1E" w:rsidRPr="00A67C92">
        <w:rPr>
          <w:rFonts w:hint="eastAsia"/>
        </w:rPr>
        <w:t>2</w:t>
      </w:r>
      <w:r w:rsidRPr="00A67C92">
        <w:rPr>
          <w:rFonts w:hint="eastAsia"/>
        </w:rPr>
        <w:t>款所定原因，得再行起訴外，別無救濟或變更方法。其於法院審判時，於事實同一範圍內，仍不得作與之相反之認定，以維護法律效果之安定與被告自由人權之受適法保障」(</w:t>
      </w:r>
      <w:r w:rsidRPr="00A67C92">
        <w:t>最高法院81年台上字第3183號刑事判決參照</w:t>
      </w:r>
      <w:r w:rsidRPr="00A67C92">
        <w:rPr>
          <w:rFonts w:hint="eastAsia"/>
        </w:rPr>
        <w:t>)。對於司法</w:t>
      </w:r>
      <w:r w:rsidR="000B7E21" w:rsidRPr="00A67C92">
        <w:rPr>
          <w:rFonts w:hint="eastAsia"/>
        </w:rPr>
        <w:t>、檢察</w:t>
      </w:r>
      <w:r w:rsidRPr="00A67C92">
        <w:rPr>
          <w:rFonts w:hint="eastAsia"/>
        </w:rPr>
        <w:t>機關就犯罪事實之</w:t>
      </w:r>
      <w:r w:rsidR="00D27071" w:rsidRPr="00A67C92">
        <w:rPr>
          <w:rFonts w:hint="eastAsia"/>
        </w:rPr>
        <w:t>終局</w:t>
      </w:r>
      <w:r w:rsidRPr="00A67C92">
        <w:rPr>
          <w:rFonts w:hint="eastAsia"/>
        </w:rPr>
        <w:t>認定，基於權力分立原則，</w:t>
      </w:r>
      <w:r w:rsidR="000B7E21" w:rsidRPr="00A67C92">
        <w:rPr>
          <w:rFonts w:hint="eastAsia"/>
        </w:rPr>
        <w:t>如該處</w:t>
      </w:r>
      <w:r w:rsidR="000B7E21" w:rsidRPr="00A67C92">
        <w:rPr>
          <w:rFonts w:hint="eastAsia"/>
        </w:rPr>
        <w:lastRenderedPageBreak/>
        <w:t>分或判決無顯然違法情事，</w:t>
      </w:r>
      <w:r w:rsidR="00107DDB" w:rsidRPr="00A67C92">
        <w:rPr>
          <w:rFonts w:hint="eastAsia"/>
        </w:rPr>
        <w:t>且屬判決或不起訴處分所確認之事實範圍，</w:t>
      </w:r>
      <w:r w:rsidRPr="00A67C92">
        <w:rPr>
          <w:rFonts w:hint="eastAsia"/>
        </w:rPr>
        <w:t>本院</w:t>
      </w:r>
      <w:r w:rsidR="000B7E21" w:rsidRPr="00A67C92">
        <w:rPr>
          <w:rFonts w:hint="eastAsia"/>
        </w:rPr>
        <w:t>當予</w:t>
      </w:r>
      <w:r w:rsidRPr="00A67C92">
        <w:rPr>
          <w:rFonts w:hint="eastAsia"/>
        </w:rPr>
        <w:t>尊重</w:t>
      </w:r>
      <w:r w:rsidR="000B7E21" w:rsidRPr="00A67C92">
        <w:rPr>
          <w:rFonts w:hint="eastAsia"/>
        </w:rPr>
        <w:t>。</w:t>
      </w:r>
    </w:p>
    <w:p w:rsidR="000F0787" w:rsidRPr="00A67C92" w:rsidRDefault="00325B53" w:rsidP="008862F8">
      <w:pPr>
        <w:pStyle w:val="3"/>
        <w:numPr>
          <w:ilvl w:val="2"/>
          <w:numId w:val="1"/>
        </w:numPr>
      </w:pPr>
      <w:r w:rsidRPr="00A67C92">
        <w:rPr>
          <w:rFonts w:hint="eastAsia"/>
        </w:rPr>
        <w:t>有關本案那瑪夏鄉</w:t>
      </w:r>
      <w:r w:rsidR="008862F8" w:rsidRPr="00A67C92">
        <w:rPr>
          <w:rFonts w:hint="eastAsia"/>
        </w:rPr>
        <w:t>公所出納方佳昇擅行借支</w:t>
      </w:r>
      <w:r w:rsidR="00990166" w:rsidRPr="00A67C92">
        <w:rPr>
          <w:rFonts w:hint="eastAsia"/>
        </w:rPr>
        <w:t>渠所</w:t>
      </w:r>
      <w:r w:rsidR="008862F8" w:rsidRPr="00A67C92">
        <w:rPr>
          <w:rFonts w:hint="eastAsia"/>
        </w:rPr>
        <w:t>收受捐款予黃式毅而未</w:t>
      </w:r>
      <w:r w:rsidR="00990166" w:rsidRPr="00A67C92">
        <w:rPr>
          <w:rFonts w:hint="eastAsia"/>
        </w:rPr>
        <w:t>追蹤</w:t>
      </w:r>
      <w:r w:rsidR="0090615A" w:rsidRPr="00A67C92">
        <w:rPr>
          <w:rFonts w:hint="eastAsia"/>
        </w:rPr>
        <w:t>歸還部分，違失情節</w:t>
      </w:r>
      <w:r w:rsidR="008862F8" w:rsidRPr="00A67C92">
        <w:rPr>
          <w:rFonts w:hint="eastAsia"/>
        </w:rPr>
        <w:t>如</w:t>
      </w:r>
      <w:r w:rsidR="00107DDB" w:rsidRPr="00A67C92">
        <w:rPr>
          <w:rFonts w:hint="eastAsia"/>
        </w:rPr>
        <w:t>調查</w:t>
      </w:r>
      <w:r w:rsidR="008862F8" w:rsidRPr="00A67C92">
        <w:rPr>
          <w:rFonts w:hint="eastAsia"/>
        </w:rPr>
        <w:t>意見</w:t>
      </w:r>
      <w:r w:rsidR="00107DDB" w:rsidRPr="00A67C92">
        <w:rPr>
          <w:rFonts w:hint="eastAsia"/>
        </w:rPr>
        <w:t>二</w:t>
      </w:r>
      <w:r w:rsidR="004D2D69" w:rsidRPr="00A67C92">
        <w:rPr>
          <w:rFonts w:hint="eastAsia"/>
        </w:rPr>
        <w:t>所述，此部分方佳昇業經申誡1</w:t>
      </w:r>
      <w:r w:rsidR="003A1811" w:rsidRPr="00A67C92">
        <w:rPr>
          <w:rFonts w:hint="eastAsia"/>
        </w:rPr>
        <w:t>次</w:t>
      </w:r>
      <w:r w:rsidR="008862F8" w:rsidRPr="00A67C92">
        <w:rPr>
          <w:rFonts w:hint="eastAsia"/>
        </w:rPr>
        <w:t>處分，有苗栗縣竹南鎮公所104年3月19日苗竹鎮人字第1040006592</w:t>
      </w:r>
      <w:r w:rsidR="00107DDB" w:rsidRPr="00A67C92">
        <w:rPr>
          <w:rFonts w:hint="eastAsia"/>
        </w:rPr>
        <w:t>號令在卷足憑；</w:t>
      </w:r>
      <w:r w:rsidR="000F0787" w:rsidRPr="00A67C92">
        <w:rPr>
          <w:rFonts w:hint="eastAsia"/>
        </w:rPr>
        <w:t>有關那瑪夏鄉公所</w:t>
      </w:r>
      <w:r w:rsidR="000F0787" w:rsidRPr="00A67C92">
        <w:rPr>
          <w:rFonts w:hint="eastAsia"/>
          <w:bCs w:val="0"/>
        </w:rPr>
        <w:t>會計單位僅依據公庫送款憑單列帳，</w:t>
      </w:r>
      <w:r w:rsidR="003A1811" w:rsidRPr="00A67C92">
        <w:rPr>
          <w:rFonts w:hint="eastAsia"/>
        </w:rPr>
        <w:t>未切實核對出納單位收取之款項與開立之收據金額是否相符，以確認</w:t>
      </w:r>
      <w:r w:rsidR="000F0787" w:rsidRPr="00A67C92">
        <w:rPr>
          <w:rFonts w:hint="eastAsia"/>
        </w:rPr>
        <w:t>已開立收據之款項是否均已收納</w:t>
      </w:r>
      <w:r w:rsidR="000F0787" w:rsidRPr="00A67C92">
        <w:rPr>
          <w:rFonts w:hint="eastAsia"/>
          <w:bCs w:val="0"/>
        </w:rPr>
        <w:t>部分，該鄉會計主管人員自有</w:t>
      </w:r>
      <w:r w:rsidR="003A1811" w:rsidRPr="00A67C92">
        <w:rPr>
          <w:rFonts w:hint="eastAsia"/>
          <w:bCs w:val="0"/>
        </w:rPr>
        <w:t>未</w:t>
      </w:r>
      <w:r w:rsidR="000F0787" w:rsidRPr="00A67C92">
        <w:rPr>
          <w:rFonts w:hint="eastAsia"/>
          <w:bCs w:val="0"/>
        </w:rPr>
        <w:t>切實執行職務</w:t>
      </w:r>
      <w:r w:rsidR="00BA6F66" w:rsidRPr="00A67C92">
        <w:rPr>
          <w:rFonts w:hint="eastAsia"/>
          <w:bCs w:val="0"/>
        </w:rPr>
        <w:t>之情</w:t>
      </w:r>
      <w:r w:rsidR="003A1811" w:rsidRPr="00A67C92">
        <w:rPr>
          <w:rFonts w:hint="eastAsia"/>
          <w:bCs w:val="0"/>
        </w:rPr>
        <w:t>事</w:t>
      </w:r>
      <w:r w:rsidR="000F0787" w:rsidRPr="00A67C92">
        <w:rPr>
          <w:rFonts w:hint="eastAsia"/>
          <w:bCs w:val="0"/>
        </w:rPr>
        <w:t>，</w:t>
      </w:r>
      <w:r w:rsidR="0090615A" w:rsidRPr="00A67C92">
        <w:rPr>
          <w:rFonts w:hint="eastAsia"/>
          <w:bCs w:val="0"/>
        </w:rPr>
        <w:t>然</w:t>
      </w:r>
      <w:r w:rsidR="000F0787" w:rsidRPr="00A67C92">
        <w:rPr>
          <w:rFonts w:hint="eastAsia"/>
          <w:bCs w:val="0"/>
        </w:rPr>
        <w:t>查該鄉時任主計主任馬健修</w:t>
      </w:r>
      <w:r w:rsidR="003A1811" w:rsidRPr="00A67C92">
        <w:rPr>
          <w:rFonts w:hint="eastAsia"/>
          <w:bCs w:val="0"/>
        </w:rPr>
        <w:t>，已</w:t>
      </w:r>
      <w:r w:rsidR="000F0787" w:rsidRPr="00A67C92">
        <w:rPr>
          <w:rFonts w:hint="eastAsia"/>
          <w:bCs w:val="0"/>
        </w:rPr>
        <w:t>於99年12月</w:t>
      </w:r>
      <w:r w:rsidR="00BA6F66" w:rsidRPr="00A67C92">
        <w:rPr>
          <w:rFonts w:hint="eastAsia"/>
          <w:bCs w:val="0"/>
        </w:rPr>
        <w:t>2日退休</w:t>
      </w:r>
      <w:r w:rsidR="00107DDB" w:rsidRPr="00A67C92">
        <w:rPr>
          <w:rFonts w:hint="eastAsia"/>
          <w:bCs w:val="0"/>
        </w:rPr>
        <w:t>。又</w:t>
      </w:r>
      <w:r w:rsidR="00107DDB" w:rsidRPr="00A67C92">
        <w:rPr>
          <w:rFonts w:hint="eastAsia"/>
        </w:rPr>
        <w:t>有關調查意見三所指那瑪夏鄉公所</w:t>
      </w:r>
      <w:r w:rsidR="00602376" w:rsidRPr="00A67C92">
        <w:rPr>
          <w:rFonts w:hint="eastAsia"/>
        </w:rPr>
        <w:t>未依公益勸募條例將辦理情形函報上級機關部分，</w:t>
      </w:r>
      <w:r w:rsidR="00107DDB" w:rsidRPr="00A67C92">
        <w:rPr>
          <w:rFonts w:hint="eastAsia"/>
        </w:rPr>
        <w:t>時任那瑪夏鄉鄉長伊斯坦大‧呼頌於本院詢問時陳稱，渠主要留在本鄉辦理工程業務，而募款等事項則主要交由在旗山辦公處所之秘書孫榮顯辦理</w:t>
      </w:r>
      <w:r w:rsidR="00602376" w:rsidRPr="00A67C92">
        <w:rPr>
          <w:rFonts w:hint="eastAsia"/>
        </w:rPr>
        <w:t>等語</w:t>
      </w:r>
      <w:r w:rsidR="00107DDB" w:rsidRPr="00A67C92">
        <w:rPr>
          <w:rFonts w:hint="eastAsia"/>
        </w:rPr>
        <w:t>，復查伊斯坦大‧呼頌業於99年9月1日因案停職，時任該鄉之機要秘書孫榮顯</w:t>
      </w:r>
      <w:r w:rsidR="003A1811" w:rsidRPr="00A67C92">
        <w:rPr>
          <w:rFonts w:hint="eastAsia"/>
        </w:rPr>
        <w:t>亦於同日隨同首長停職，</w:t>
      </w:r>
      <w:r w:rsidR="00602376" w:rsidRPr="00A67C92">
        <w:rPr>
          <w:rFonts w:hint="eastAsia"/>
        </w:rPr>
        <w:t>則</w:t>
      </w:r>
      <w:r w:rsidR="003A1811" w:rsidRPr="00A67C92">
        <w:rPr>
          <w:rFonts w:hint="eastAsia"/>
        </w:rPr>
        <w:t>該</w:t>
      </w:r>
      <w:r w:rsidR="00652E1E" w:rsidRPr="00A67C92">
        <w:rPr>
          <w:rFonts w:hint="eastAsia"/>
        </w:rPr>
        <w:t>2</w:t>
      </w:r>
      <w:r w:rsidR="00107DDB" w:rsidRPr="00A67C92">
        <w:rPr>
          <w:rFonts w:hint="eastAsia"/>
        </w:rPr>
        <w:t>人自無從依公益勸募條例第6條第2項規定辦理。</w:t>
      </w:r>
      <w:r w:rsidR="00BA6F66" w:rsidRPr="00A67C92">
        <w:rPr>
          <w:rFonts w:hint="eastAsia"/>
          <w:bCs w:val="0"/>
        </w:rPr>
        <w:t>是以</w:t>
      </w:r>
      <w:r w:rsidR="001615C2" w:rsidRPr="00A67C92">
        <w:rPr>
          <w:rFonts w:hint="eastAsia"/>
          <w:bCs w:val="0"/>
        </w:rPr>
        <w:t>前</w:t>
      </w:r>
      <w:r w:rsidR="00BA6F66" w:rsidRPr="00A67C92">
        <w:rPr>
          <w:rFonts w:hint="eastAsia"/>
          <w:bCs w:val="0"/>
        </w:rPr>
        <w:t>開</w:t>
      </w:r>
      <w:r w:rsidR="001615C2" w:rsidRPr="00A67C92">
        <w:rPr>
          <w:rFonts w:hint="eastAsia"/>
          <w:bCs w:val="0"/>
        </w:rPr>
        <w:t>違失</w:t>
      </w:r>
      <w:r w:rsidR="00107DDB" w:rsidRPr="00A67C92">
        <w:rPr>
          <w:rFonts w:hint="eastAsia"/>
          <w:bCs w:val="0"/>
        </w:rPr>
        <w:t>所涉</w:t>
      </w:r>
      <w:r w:rsidR="00A84936" w:rsidRPr="00A67C92">
        <w:rPr>
          <w:rFonts w:hint="eastAsia"/>
          <w:bCs w:val="0"/>
        </w:rPr>
        <w:t>人員或已離退職，或已</w:t>
      </w:r>
      <w:r w:rsidR="00107DDB" w:rsidRPr="00A67C92">
        <w:rPr>
          <w:rFonts w:hint="eastAsia"/>
          <w:bCs w:val="0"/>
        </w:rPr>
        <w:t>受有處分在案</w:t>
      </w:r>
      <w:r w:rsidR="00602376" w:rsidRPr="00A67C92">
        <w:rPr>
          <w:rFonts w:hint="eastAsia"/>
          <w:bCs w:val="0"/>
        </w:rPr>
        <w:t>，</w:t>
      </w:r>
      <w:r w:rsidR="00416F75" w:rsidRPr="00A67C92">
        <w:rPr>
          <w:rFonts w:hint="eastAsia"/>
          <w:bCs w:val="0"/>
        </w:rPr>
        <w:t>涉案人員當時多忙於基層救災，</w:t>
      </w:r>
      <w:r w:rsidR="00602376" w:rsidRPr="00A67C92">
        <w:rPr>
          <w:rFonts w:hint="eastAsia"/>
          <w:bCs w:val="0"/>
        </w:rPr>
        <w:t>違失情節亦非嚴重，爰請以檢討改善為要</w:t>
      </w:r>
      <w:r w:rsidR="00107DDB" w:rsidRPr="00A67C92">
        <w:rPr>
          <w:rFonts w:hint="eastAsia"/>
          <w:bCs w:val="0"/>
        </w:rPr>
        <w:t>。</w:t>
      </w:r>
      <w:r w:rsidR="00107DDB" w:rsidRPr="00A67C92">
        <w:rPr>
          <w:rFonts w:hint="eastAsia"/>
        </w:rPr>
        <w:t>至於</w:t>
      </w:r>
      <w:r w:rsidR="008862F8" w:rsidRPr="00A67C92">
        <w:rPr>
          <w:rFonts w:hint="eastAsia"/>
        </w:rPr>
        <w:t>黃</w:t>
      </w:r>
      <w:r w:rsidR="005E39DC" w:rsidRPr="00A67C92">
        <w:rPr>
          <w:rFonts w:hint="eastAsia"/>
        </w:rPr>
        <w:t>式毅</w:t>
      </w:r>
      <w:r w:rsidR="00107DDB" w:rsidRPr="00A67C92">
        <w:rPr>
          <w:rFonts w:hint="eastAsia"/>
        </w:rPr>
        <w:t>是否涉有違法情事</w:t>
      </w:r>
      <w:r w:rsidR="008862F8" w:rsidRPr="00A67C92">
        <w:rPr>
          <w:rFonts w:hint="eastAsia"/>
        </w:rPr>
        <w:t>，因刑事判決尚未定讞，</w:t>
      </w:r>
      <w:r w:rsidR="00BA6F66" w:rsidRPr="00A67C92">
        <w:rPr>
          <w:rFonts w:hint="eastAsia"/>
        </w:rPr>
        <w:t>若未來</w:t>
      </w:r>
      <w:r w:rsidR="00602376" w:rsidRPr="00A67C92">
        <w:rPr>
          <w:rFonts w:hint="eastAsia"/>
        </w:rPr>
        <w:t>經</w:t>
      </w:r>
      <w:r w:rsidR="008862F8" w:rsidRPr="00A67C92">
        <w:rPr>
          <w:rFonts w:hint="eastAsia"/>
        </w:rPr>
        <w:t>判決</w:t>
      </w:r>
      <w:r w:rsidR="00107DDB" w:rsidRPr="00A67C92">
        <w:rPr>
          <w:rFonts w:hint="eastAsia"/>
        </w:rPr>
        <w:t>認定</w:t>
      </w:r>
      <w:r w:rsidR="00BA6F66" w:rsidRPr="00A67C92">
        <w:rPr>
          <w:rFonts w:hint="eastAsia"/>
        </w:rPr>
        <w:t>有違法情事，仍請通知該管主管機關</w:t>
      </w:r>
      <w:r w:rsidR="008862F8" w:rsidRPr="00A67C92">
        <w:rPr>
          <w:rFonts w:hint="eastAsia"/>
        </w:rPr>
        <w:t>依權責辦理。</w:t>
      </w:r>
    </w:p>
    <w:p w:rsidR="0029177B" w:rsidRDefault="000E0D54" w:rsidP="00A46F0D">
      <w:pPr>
        <w:pStyle w:val="3"/>
      </w:pPr>
      <w:r w:rsidRPr="00A67C92">
        <w:rPr>
          <w:rFonts w:hint="eastAsia"/>
        </w:rPr>
        <w:t>綜上，</w:t>
      </w:r>
      <w:r w:rsidR="00107DDB" w:rsidRPr="00A67C92">
        <w:rPr>
          <w:rFonts w:hint="eastAsia"/>
        </w:rPr>
        <w:t>本案</w:t>
      </w:r>
      <w:r w:rsidR="00805FD7" w:rsidRPr="00A67C92">
        <w:rPr>
          <w:rFonts w:hint="eastAsia"/>
        </w:rPr>
        <w:t>大</w:t>
      </w:r>
      <w:r w:rsidR="00B3072E" w:rsidRPr="00A67C92">
        <w:rPr>
          <w:rFonts w:hint="eastAsia"/>
        </w:rPr>
        <w:t>部分</w:t>
      </w:r>
      <w:r w:rsidR="00107DDB" w:rsidRPr="00A67C92">
        <w:rPr>
          <w:rFonts w:hint="eastAsia"/>
        </w:rPr>
        <w:t>相關人員業獲不起訴處分或無罪判決，本院尊重檢察、司法機關之偵審決定，部分人員雖未依規定切實經辦業務，惟均已離</w:t>
      </w:r>
      <w:r w:rsidR="003A1811" w:rsidRPr="00A67C92">
        <w:rPr>
          <w:rFonts w:hint="eastAsia"/>
        </w:rPr>
        <w:t>退</w:t>
      </w:r>
      <w:r w:rsidR="00107DDB" w:rsidRPr="00A67C92">
        <w:rPr>
          <w:rFonts w:hint="eastAsia"/>
        </w:rPr>
        <w:t>職或受有處分在案；至本案刑事判決仍有</w:t>
      </w:r>
      <w:r w:rsidR="00805FD7" w:rsidRPr="00A67C92">
        <w:rPr>
          <w:rFonts w:hint="eastAsia"/>
        </w:rPr>
        <w:t>1人</w:t>
      </w:r>
      <w:r w:rsidR="00107DDB" w:rsidRPr="00A67C92">
        <w:rPr>
          <w:rFonts w:hint="eastAsia"/>
        </w:rPr>
        <w:t>尚未確定，若未來經判決而有違法情事，仍請依權責辦理</w:t>
      </w:r>
      <w:r w:rsidRPr="00A67C92">
        <w:rPr>
          <w:rFonts w:hint="eastAsia"/>
        </w:rPr>
        <w:t>。</w:t>
      </w:r>
      <w:bookmarkEnd w:id="49"/>
      <w:bookmarkEnd w:id="50"/>
      <w:bookmarkEnd w:id="51"/>
      <w:bookmarkEnd w:id="52"/>
      <w:bookmarkEnd w:id="53"/>
    </w:p>
    <w:p w:rsidR="00CD7D4F" w:rsidRPr="0029177B" w:rsidRDefault="0029177B" w:rsidP="0029177B">
      <w:pPr>
        <w:pStyle w:val="3"/>
        <w:numPr>
          <w:ilvl w:val="0"/>
          <w:numId w:val="0"/>
        </w:numPr>
        <w:ind w:left="1361"/>
        <w:rPr>
          <w:sz w:val="36"/>
        </w:rPr>
        <w:sectPr w:rsidR="00CD7D4F" w:rsidRPr="0029177B" w:rsidSect="00931A10">
          <w:footerReference w:type="default" r:id="rId9"/>
          <w:pgSz w:w="11907" w:h="16840" w:code="9"/>
          <w:pgMar w:top="1701" w:right="1418" w:bottom="1418" w:left="1418" w:header="851" w:footer="851" w:gutter="227"/>
          <w:pgNumType w:start="1"/>
          <w:cols w:space="425"/>
          <w:docGrid w:type="linesAndChars" w:linePitch="457" w:charSpace="4127"/>
        </w:sectPr>
      </w:pPr>
      <w:r>
        <w:rPr>
          <w:rFonts w:hint="eastAsia"/>
        </w:rPr>
        <w:lastRenderedPageBreak/>
        <w:t xml:space="preserve">                 </w:t>
      </w:r>
      <w:bookmarkStart w:id="54" w:name="_GoBack"/>
      <w:r w:rsidRPr="0029177B">
        <w:rPr>
          <w:rFonts w:hint="eastAsia"/>
          <w:sz w:val="36"/>
        </w:rPr>
        <w:t>調查委員：蔡培村、方萬富</w:t>
      </w:r>
      <w:bookmarkEnd w:id="54"/>
      <w:r w:rsidR="00A46F0D" w:rsidRPr="0029177B">
        <w:rPr>
          <w:bCs w:val="0"/>
          <w:sz w:val="36"/>
        </w:rPr>
        <w:t xml:space="preserve"> </w:t>
      </w:r>
    </w:p>
    <w:p w:rsidR="00477AAE" w:rsidRPr="00A67C92" w:rsidRDefault="00F838BB" w:rsidP="00A46F0D">
      <w:pPr>
        <w:overflowPunct/>
        <w:autoSpaceDE/>
        <w:autoSpaceDN/>
      </w:pPr>
      <w:bookmarkStart w:id="55" w:name="_Ref410380399"/>
      <w:bookmarkStart w:id="56" w:name="_Toc421794882"/>
      <w:bookmarkStart w:id="57" w:name="_Toc422834167"/>
      <w:bookmarkStart w:id="58" w:name="_Toc4467127"/>
      <w:r>
        <w:rPr>
          <w:rFonts w:hAnsi="標楷體" w:cs="新細明體"/>
          <w:bCs/>
          <w:noProof/>
          <w:sz w:val="24"/>
          <w:szCs w:val="24"/>
        </w:rPr>
        <w:lastRenderedPageBreak/>
        <w:pict>
          <v:shapetype id="_x0000_t202" coordsize="21600,21600" o:spt="202" path="m,l,21600r21600,l21600,xe">
            <v:stroke joinstyle="miter"/>
            <v:path gradientshapeok="t" o:connecttype="rect"/>
          </v:shapetype>
          <v:shape id="文字方塊 2" o:spid="_x0000_s1030" type="#_x0000_t202" style="position:absolute;left:0;text-align:left;margin-left:633.95pt;margin-top:-40.65pt;width:71.3pt;height:110.5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">
            <v:textbox style="mso-fit-shape-to-text:t">
              <w:txbxContent>
                <w:p w:rsidR="00191BAF" w:rsidRDefault="00191BAF">
                  <w:r>
                    <w:rPr>
                      <w:rFonts w:hint="eastAsia"/>
                    </w:rPr>
                    <w:t>公布版</w:t>
                  </w:r>
                </w:p>
              </w:txbxContent>
            </v:textbox>
          </v:shape>
        </w:pict>
      </w:r>
      <w:r w:rsidR="00CD7D4F" w:rsidRPr="00A67C92">
        <w:rPr>
          <w:rFonts w:hint="eastAsia"/>
        </w:rPr>
        <w:t>附表、莫拉克颱風募款金額未存入該捐款專戶，或存入金額與開立收據金額未符明細表</w:t>
      </w:r>
      <w:bookmarkEnd w:id="55"/>
    </w:p>
    <w:p w:rsidR="00CD7D4F" w:rsidRPr="00A67C92" w:rsidRDefault="00CD7D4F" w:rsidP="00477AAE">
      <w:pPr>
        <w:overflowPunct/>
        <w:autoSpaceDE/>
        <w:autoSpaceDN/>
        <w:jc w:val="right"/>
        <w:rPr>
          <w:bCs/>
        </w:rPr>
      </w:pPr>
      <w:r w:rsidRPr="00A67C92">
        <w:rPr>
          <w:rFonts w:hint="eastAsia"/>
          <w:sz w:val="24"/>
        </w:rPr>
        <w:t>單位：元</w:t>
      </w:r>
    </w:p>
    <w:tbl>
      <w:tblPr>
        <w:tblW w:w="1334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8"/>
        <w:gridCol w:w="1077"/>
        <w:gridCol w:w="1607"/>
        <w:gridCol w:w="1701"/>
        <w:gridCol w:w="2127"/>
        <w:gridCol w:w="2443"/>
        <w:gridCol w:w="3779"/>
        <w:gridCol w:w="15"/>
      </w:tblGrid>
      <w:tr w:rsidR="00A67C92" w:rsidRPr="00A67C92" w:rsidTr="0099576A">
        <w:trPr>
          <w:trHeight w:val="795"/>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編號</w:t>
            </w:r>
          </w:p>
        </w:tc>
        <w:tc>
          <w:tcPr>
            <w:tcW w:w="1077" w:type="dxa"/>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開立收</w:t>
            </w:r>
            <w:r w:rsidRPr="00A67C92">
              <w:rPr>
                <w:rFonts w:hAnsi="標楷體" w:cs="新細明體" w:hint="eastAsia"/>
                <w:bCs/>
                <w:sz w:val="24"/>
                <w:szCs w:val="24"/>
              </w:rPr>
              <w:br/>
              <w:t>據日期</w:t>
            </w:r>
          </w:p>
        </w:tc>
        <w:tc>
          <w:tcPr>
            <w:tcW w:w="1607" w:type="dxa"/>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開立收</w:t>
            </w:r>
            <w:r w:rsidRPr="00A67C92">
              <w:rPr>
                <w:rFonts w:hAnsi="標楷體" w:cs="新細明體"/>
                <w:bCs/>
                <w:sz w:val="24"/>
                <w:szCs w:val="24"/>
              </w:rPr>
              <w:br/>
            </w:r>
            <w:r w:rsidRPr="00A67C92">
              <w:rPr>
                <w:rFonts w:hAnsi="標楷體" w:cs="新細明體" w:hint="eastAsia"/>
                <w:bCs/>
                <w:sz w:val="24"/>
                <w:szCs w:val="24"/>
              </w:rPr>
              <w:t>據編號</w:t>
            </w:r>
          </w:p>
        </w:tc>
        <w:tc>
          <w:tcPr>
            <w:tcW w:w="1701" w:type="dxa"/>
            <w:vAlign w:val="center"/>
          </w:tcPr>
          <w:p w:rsidR="0099576A" w:rsidRPr="00A67C92" w:rsidRDefault="0099576A" w:rsidP="00023B97">
            <w:pPr>
              <w:widowControl/>
              <w:snapToGrid w:val="0"/>
              <w:spacing w:line="240" w:lineRule="atLeast"/>
              <w:jc w:val="center"/>
              <w:rPr>
                <w:rFonts w:hAnsi="標楷體" w:cs="新細明體"/>
                <w:bCs/>
                <w:sz w:val="24"/>
                <w:szCs w:val="24"/>
              </w:rPr>
            </w:pPr>
            <w:r w:rsidRPr="00A67C92">
              <w:rPr>
                <w:rFonts w:hAnsi="標楷體" w:cs="新細明體" w:hint="eastAsia"/>
                <w:bCs/>
                <w:sz w:val="24"/>
                <w:szCs w:val="24"/>
              </w:rPr>
              <w:t>捐款名</w:t>
            </w:r>
            <w:r w:rsidRPr="00A67C92">
              <w:rPr>
                <w:rFonts w:hAnsi="標楷體" w:cs="新細明體" w:hint="eastAsia"/>
                <w:bCs/>
                <w:sz w:val="24"/>
                <w:szCs w:val="24"/>
              </w:rPr>
              <w:br/>
              <w:t>冊金額</w:t>
            </w:r>
          </w:p>
        </w:tc>
        <w:tc>
          <w:tcPr>
            <w:tcW w:w="2127" w:type="dxa"/>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開立收據</w:t>
            </w:r>
            <w:r w:rsidRPr="00A67C92">
              <w:rPr>
                <w:rFonts w:hAnsi="標楷體" w:cs="新細明體"/>
                <w:bCs/>
                <w:sz w:val="24"/>
                <w:szCs w:val="24"/>
              </w:rPr>
              <w:br/>
            </w:r>
            <w:r w:rsidRPr="00A67C92">
              <w:rPr>
                <w:rFonts w:hAnsi="標楷體" w:cs="新細明體" w:hint="eastAsia"/>
                <w:bCs/>
                <w:sz w:val="24"/>
                <w:szCs w:val="24"/>
              </w:rPr>
              <w:t>金額(A)</w:t>
            </w:r>
          </w:p>
        </w:tc>
        <w:tc>
          <w:tcPr>
            <w:tcW w:w="2443" w:type="dxa"/>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存入專戶</w:t>
            </w:r>
            <w:r w:rsidRPr="00A67C92">
              <w:rPr>
                <w:rFonts w:hAnsi="標楷體" w:cs="新細明體"/>
                <w:bCs/>
                <w:sz w:val="24"/>
                <w:szCs w:val="24"/>
              </w:rPr>
              <w:br/>
            </w:r>
            <w:r w:rsidRPr="00A67C92">
              <w:rPr>
                <w:rFonts w:hAnsi="標楷體" w:cs="新細明體" w:hint="eastAsia"/>
                <w:bCs/>
                <w:sz w:val="24"/>
                <w:szCs w:val="24"/>
              </w:rPr>
              <w:t>金額(B)</w:t>
            </w:r>
          </w:p>
        </w:tc>
        <w:tc>
          <w:tcPr>
            <w:tcW w:w="3794" w:type="dxa"/>
            <w:gridSpan w:val="2"/>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差額</w:t>
            </w:r>
          </w:p>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(A)-(B)</w:t>
            </w:r>
          </w:p>
        </w:tc>
      </w:tr>
      <w:tr w:rsidR="00A67C92" w:rsidRPr="00A67C92" w:rsidTr="0099576A">
        <w:trPr>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980819</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1、29-35</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50,000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50,000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val="restart"/>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235,000</w:t>
            </w:r>
          </w:p>
          <w:p w:rsidR="0099576A" w:rsidRPr="00A67C92" w:rsidRDefault="0099576A" w:rsidP="00006683">
            <w:pPr>
              <w:overflowPunct/>
              <w:autoSpaceDE/>
              <w:autoSpaceDN/>
              <w:snapToGrid w:val="0"/>
              <w:spacing w:line="240" w:lineRule="atLeast"/>
              <w:jc w:val="right"/>
              <w:rPr>
                <w:rFonts w:hAnsi="標楷體" w:cs="新細明體"/>
                <w:bCs/>
                <w:sz w:val="24"/>
                <w:szCs w:val="24"/>
              </w:rPr>
            </w:pPr>
          </w:p>
          <w:p w:rsidR="0099576A" w:rsidRPr="00A67C92" w:rsidRDefault="0099576A" w:rsidP="00006683">
            <w:pPr>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 xml:space="preserve">　</w:t>
            </w: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2</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980820</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4</w:t>
            </w:r>
          </w:p>
        </w:tc>
        <w:tc>
          <w:tcPr>
            <w:tcW w:w="1701" w:type="dxa"/>
            <w:vMerge w:val="restart"/>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200,000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300,000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110,485</w:t>
            </w: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3</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980820</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5</w:t>
            </w:r>
          </w:p>
        </w:tc>
        <w:tc>
          <w:tcPr>
            <w:tcW w:w="1701" w:type="dxa"/>
            <w:vMerge/>
            <w:vAlign w:val="center"/>
          </w:tcPr>
          <w:p w:rsidR="0099576A" w:rsidRPr="00A67C92" w:rsidRDefault="0099576A" w:rsidP="00023B97">
            <w:pPr>
              <w:widowControl/>
              <w:snapToGrid w:val="0"/>
              <w:spacing w:line="240" w:lineRule="atLeast"/>
              <w:jc w:val="right"/>
              <w:rPr>
                <w:rFonts w:hAnsi="標楷體" w:cs="新細明體"/>
                <w:bCs/>
                <w:sz w:val="24"/>
                <w:szCs w:val="24"/>
              </w:rPr>
            </w:pP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15,000</w:t>
            </w:r>
          </w:p>
        </w:tc>
        <w:tc>
          <w:tcPr>
            <w:tcW w:w="2443" w:type="dxa"/>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47,200</w:t>
            </w: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4</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980820</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6</w:t>
            </w:r>
          </w:p>
        </w:tc>
        <w:tc>
          <w:tcPr>
            <w:tcW w:w="1701" w:type="dxa"/>
            <w:vMerge/>
            <w:vAlign w:val="center"/>
          </w:tcPr>
          <w:p w:rsidR="0099576A" w:rsidRPr="00A67C92" w:rsidRDefault="0099576A" w:rsidP="00023B97">
            <w:pPr>
              <w:widowControl/>
              <w:snapToGrid w:val="0"/>
              <w:spacing w:line="240" w:lineRule="atLeast"/>
              <w:jc w:val="right"/>
              <w:rPr>
                <w:rFonts w:hAnsi="標楷體" w:cs="新細明體"/>
                <w:bCs/>
                <w:sz w:val="24"/>
                <w:szCs w:val="24"/>
              </w:rPr>
            </w:pP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20,000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5</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980821</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8</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3,000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3,000</w:t>
            </w:r>
          </w:p>
        </w:tc>
        <w:tc>
          <w:tcPr>
            <w:tcW w:w="2443" w:type="dxa"/>
            <w:vMerge w:val="restart"/>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9,315</w:t>
            </w: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6</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980823</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13</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1,000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1,000</w:t>
            </w:r>
          </w:p>
        </w:tc>
        <w:tc>
          <w:tcPr>
            <w:tcW w:w="2443" w:type="dxa"/>
            <w:vMerge/>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cantSplit/>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7</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980823</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14</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2,000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2,000</w:t>
            </w:r>
          </w:p>
        </w:tc>
        <w:tc>
          <w:tcPr>
            <w:tcW w:w="2443" w:type="dxa"/>
            <w:vMerge/>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trHeight w:val="397"/>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8</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980822</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10</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11,000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11,000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p>
        </w:tc>
      </w:tr>
      <w:tr w:rsidR="00A67C92" w:rsidRPr="00A67C92" w:rsidTr="0099576A">
        <w:trPr>
          <w:trHeight w:val="850"/>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981021</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381</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200,000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val="restart"/>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 xml:space="preserve">412,935　</w:t>
            </w:r>
          </w:p>
          <w:p w:rsidR="0099576A" w:rsidRPr="00A67C92" w:rsidRDefault="0099576A" w:rsidP="00006683">
            <w:pPr>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 xml:space="preserve">　</w:t>
            </w:r>
          </w:p>
        </w:tc>
      </w:tr>
      <w:tr w:rsidR="00A67C92" w:rsidRPr="00A67C92" w:rsidTr="0099576A">
        <w:trPr>
          <w:trHeight w:val="850"/>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10</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981021</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382</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200,000</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noWrap/>
            <w:vAlign w:val="center"/>
          </w:tcPr>
          <w:p w:rsidR="0099576A" w:rsidRPr="00A67C92" w:rsidRDefault="0099576A" w:rsidP="00006683">
            <w:pPr>
              <w:overflowPunct/>
              <w:autoSpaceDE/>
              <w:autoSpaceDN/>
              <w:snapToGrid w:val="0"/>
              <w:spacing w:line="240" w:lineRule="atLeast"/>
              <w:jc w:val="right"/>
              <w:rPr>
                <w:rFonts w:hAnsi="標楷體" w:cs="新細明體"/>
                <w:bCs/>
                <w:sz w:val="24"/>
                <w:szCs w:val="24"/>
              </w:rPr>
            </w:pPr>
          </w:p>
        </w:tc>
      </w:tr>
      <w:tr w:rsidR="00A67C92" w:rsidRPr="00A67C92" w:rsidTr="0099576A">
        <w:trPr>
          <w:trHeight w:val="850"/>
        </w:trPr>
        <w:tc>
          <w:tcPr>
            <w:tcW w:w="598"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11</w:t>
            </w:r>
          </w:p>
        </w:tc>
        <w:tc>
          <w:tcPr>
            <w:tcW w:w="107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981021</w:t>
            </w:r>
          </w:p>
        </w:tc>
        <w:tc>
          <w:tcPr>
            <w:tcW w:w="1607" w:type="dxa"/>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383</w:t>
            </w:r>
          </w:p>
        </w:tc>
        <w:tc>
          <w:tcPr>
            <w:tcW w:w="1701" w:type="dxa"/>
            <w:vAlign w:val="center"/>
          </w:tcPr>
          <w:p w:rsidR="0099576A" w:rsidRPr="00A67C92" w:rsidRDefault="0099576A" w:rsidP="00023B97">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2127"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12,935</w:t>
            </w:r>
          </w:p>
        </w:tc>
        <w:tc>
          <w:tcPr>
            <w:tcW w:w="2443"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0</w:t>
            </w:r>
          </w:p>
        </w:tc>
        <w:tc>
          <w:tcPr>
            <w:tcW w:w="3794" w:type="dxa"/>
            <w:gridSpan w:val="2"/>
            <w:vMerge/>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p>
        </w:tc>
      </w:tr>
      <w:tr w:rsidR="00A67C92" w:rsidRPr="00A67C92" w:rsidTr="0099576A">
        <w:trPr>
          <w:gridAfter w:val="1"/>
          <w:wAfter w:w="15" w:type="dxa"/>
          <w:trHeight w:val="503"/>
        </w:trPr>
        <w:tc>
          <w:tcPr>
            <w:tcW w:w="3282" w:type="dxa"/>
            <w:gridSpan w:val="3"/>
            <w:noWrap/>
            <w:vAlign w:val="center"/>
          </w:tcPr>
          <w:p w:rsidR="0099576A" w:rsidRPr="00A67C92" w:rsidRDefault="0099576A" w:rsidP="00006683">
            <w:pPr>
              <w:widowControl/>
              <w:overflowPunct/>
              <w:autoSpaceDE/>
              <w:autoSpaceDN/>
              <w:snapToGrid w:val="0"/>
              <w:spacing w:line="240" w:lineRule="atLeast"/>
              <w:jc w:val="center"/>
              <w:rPr>
                <w:rFonts w:hAnsi="標楷體" w:cs="新細明體"/>
                <w:bCs/>
                <w:sz w:val="24"/>
                <w:szCs w:val="24"/>
              </w:rPr>
            </w:pPr>
            <w:r w:rsidRPr="00A67C92">
              <w:rPr>
                <w:rFonts w:hAnsi="標楷體" w:cs="新細明體" w:hint="eastAsia"/>
                <w:bCs/>
                <w:sz w:val="24"/>
                <w:szCs w:val="24"/>
              </w:rPr>
              <w:t xml:space="preserve">總計　</w:t>
            </w:r>
          </w:p>
        </w:tc>
        <w:tc>
          <w:tcPr>
            <w:tcW w:w="1701" w:type="dxa"/>
            <w:noWrap/>
            <w:vAlign w:val="center"/>
          </w:tcPr>
          <w:p w:rsidR="0099576A" w:rsidRPr="00A67C92" w:rsidRDefault="0099576A" w:rsidP="0033187D">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267,000</w:t>
            </w:r>
          </w:p>
        </w:tc>
        <w:tc>
          <w:tcPr>
            <w:tcW w:w="2127" w:type="dxa"/>
            <w:noWrap/>
            <w:vAlign w:val="center"/>
          </w:tcPr>
          <w:p w:rsidR="0099576A" w:rsidRPr="00A67C92" w:rsidRDefault="0099576A" w:rsidP="0033187D">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814,935</w:t>
            </w:r>
          </w:p>
        </w:tc>
        <w:tc>
          <w:tcPr>
            <w:tcW w:w="2443" w:type="dxa"/>
            <w:vAlign w:val="center"/>
          </w:tcPr>
          <w:p w:rsidR="0099576A" w:rsidRPr="00A67C92" w:rsidRDefault="0099576A" w:rsidP="0033187D">
            <w:pPr>
              <w:widowControl/>
              <w:snapToGrid w:val="0"/>
              <w:spacing w:line="240" w:lineRule="atLeast"/>
              <w:jc w:val="right"/>
              <w:rPr>
                <w:rFonts w:hAnsi="標楷體" w:cs="新細明體"/>
                <w:bCs/>
                <w:sz w:val="24"/>
                <w:szCs w:val="24"/>
              </w:rPr>
            </w:pPr>
            <w:r w:rsidRPr="00A67C92">
              <w:rPr>
                <w:rFonts w:hAnsi="標楷體" w:cs="新細明體" w:hint="eastAsia"/>
                <w:bCs/>
                <w:sz w:val="24"/>
                <w:szCs w:val="24"/>
              </w:rPr>
              <w:t>167,000</w:t>
            </w:r>
          </w:p>
        </w:tc>
        <w:tc>
          <w:tcPr>
            <w:tcW w:w="3779" w:type="dxa"/>
            <w:noWrap/>
            <w:vAlign w:val="center"/>
          </w:tcPr>
          <w:p w:rsidR="0099576A" w:rsidRPr="00A67C92" w:rsidRDefault="0099576A" w:rsidP="00006683">
            <w:pPr>
              <w:widowControl/>
              <w:overflowPunct/>
              <w:autoSpaceDE/>
              <w:autoSpaceDN/>
              <w:snapToGrid w:val="0"/>
              <w:spacing w:line="240" w:lineRule="atLeast"/>
              <w:jc w:val="right"/>
              <w:rPr>
                <w:rFonts w:hAnsi="標楷體" w:cs="新細明體"/>
                <w:bCs/>
                <w:sz w:val="24"/>
                <w:szCs w:val="24"/>
              </w:rPr>
            </w:pPr>
            <w:r w:rsidRPr="00A67C92">
              <w:rPr>
                <w:rFonts w:hAnsi="標楷體" w:cs="新細明體" w:hint="eastAsia"/>
                <w:bCs/>
                <w:sz w:val="24"/>
                <w:szCs w:val="24"/>
              </w:rPr>
              <w:t xml:space="preserve">647,935　</w:t>
            </w:r>
          </w:p>
        </w:tc>
      </w:tr>
    </w:tbl>
    <w:bookmarkEnd w:id="56"/>
    <w:bookmarkEnd w:id="57"/>
    <w:bookmarkEnd w:id="58"/>
    <w:p w:rsidR="00B77D18" w:rsidRPr="00A67C92" w:rsidRDefault="00E6158B" w:rsidP="00872830">
      <w:r w:rsidRPr="00A67C92">
        <w:rPr>
          <w:rFonts w:hint="eastAsia"/>
          <w:sz w:val="24"/>
        </w:rPr>
        <w:t>資料來源：</w:t>
      </w:r>
      <w:r w:rsidR="008862F8" w:rsidRPr="00A67C92">
        <w:rPr>
          <w:rFonts w:hint="eastAsia"/>
          <w:sz w:val="24"/>
        </w:rPr>
        <w:t>摘整審計部函復與高雄地檢署偵辦資料。</w:t>
      </w:r>
    </w:p>
    <w:sectPr w:rsidR="00B77D18" w:rsidRPr="00A67C92" w:rsidSect="00006683">
      <w:footerReference w:type="default" r:id="rId10"/>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8BB" w:rsidRDefault="00F838BB">
      <w:r>
        <w:separator/>
      </w:r>
    </w:p>
  </w:endnote>
  <w:endnote w:type="continuationSeparator" w:id="0">
    <w:p w:rsidR="00F838BB" w:rsidRDefault="00F8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7D" w:rsidRDefault="00170248">
    <w:pPr>
      <w:pStyle w:val="af3"/>
      <w:framePr w:wrap="around" w:vAnchor="text" w:hAnchor="margin" w:xAlign="center" w:y="1"/>
      <w:rPr>
        <w:rStyle w:val="ac"/>
        <w:sz w:val="24"/>
      </w:rPr>
    </w:pPr>
    <w:r>
      <w:rPr>
        <w:rStyle w:val="ac"/>
        <w:sz w:val="24"/>
      </w:rPr>
      <w:fldChar w:fldCharType="begin"/>
    </w:r>
    <w:r w:rsidR="0033187D">
      <w:rPr>
        <w:rStyle w:val="ac"/>
        <w:sz w:val="24"/>
      </w:rPr>
      <w:instrText xml:space="preserve">PAGE  </w:instrText>
    </w:r>
    <w:r>
      <w:rPr>
        <w:rStyle w:val="ac"/>
        <w:sz w:val="24"/>
      </w:rPr>
      <w:fldChar w:fldCharType="separate"/>
    </w:r>
    <w:r w:rsidR="0029177B">
      <w:rPr>
        <w:rStyle w:val="ac"/>
        <w:noProof/>
        <w:sz w:val="24"/>
      </w:rPr>
      <w:t>13</w:t>
    </w:r>
    <w:r>
      <w:rPr>
        <w:rStyle w:val="ac"/>
        <w:sz w:val="24"/>
      </w:rPr>
      <w:fldChar w:fldCharType="end"/>
    </w:r>
  </w:p>
  <w:p w:rsidR="0033187D" w:rsidRDefault="0033187D">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7D" w:rsidRDefault="0033187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8BB" w:rsidRDefault="00F838BB">
      <w:r>
        <w:separator/>
      </w:r>
    </w:p>
  </w:footnote>
  <w:footnote w:type="continuationSeparator" w:id="0">
    <w:p w:rsidR="00F838BB" w:rsidRDefault="00F838BB">
      <w:r>
        <w:continuationSeparator/>
      </w:r>
    </w:p>
  </w:footnote>
  <w:footnote w:id="1">
    <w:p w:rsidR="0033187D" w:rsidRDefault="0033187D" w:rsidP="00CD7D4F">
      <w:pPr>
        <w:pStyle w:val="afa"/>
      </w:pPr>
      <w:r>
        <w:rPr>
          <w:rStyle w:val="afc"/>
        </w:rPr>
        <w:footnoteRef/>
      </w:r>
      <w:r>
        <w:t xml:space="preserve"> </w:t>
      </w:r>
      <w:r w:rsidRPr="009B7281">
        <w:rPr>
          <w:rFonts w:hint="eastAsia"/>
        </w:rPr>
        <w:t>102</w:t>
      </w:r>
      <w:r w:rsidRPr="009B7281">
        <w:rPr>
          <w:rFonts w:hint="eastAsia"/>
        </w:rPr>
        <w:t>年</w:t>
      </w:r>
      <w:r w:rsidRPr="009B7281">
        <w:rPr>
          <w:rFonts w:hint="eastAsia"/>
        </w:rPr>
        <w:t>7</w:t>
      </w:r>
      <w:r w:rsidRPr="009B7281">
        <w:rPr>
          <w:rFonts w:hint="eastAsia"/>
        </w:rPr>
        <w:t>月</w:t>
      </w:r>
      <w:r w:rsidRPr="009B7281">
        <w:rPr>
          <w:rFonts w:hint="eastAsia"/>
        </w:rPr>
        <w:t>19</w:t>
      </w:r>
      <w:r w:rsidRPr="009B7281">
        <w:rPr>
          <w:rFonts w:hint="eastAsia"/>
        </w:rPr>
        <w:t>日行政院院臺規字第</w:t>
      </w:r>
      <w:r w:rsidRPr="009B7281">
        <w:rPr>
          <w:rFonts w:hint="eastAsia"/>
        </w:rPr>
        <w:t>1020141353</w:t>
      </w:r>
      <w:r w:rsidRPr="009B7281">
        <w:rPr>
          <w:rFonts w:hint="eastAsia"/>
        </w:rPr>
        <w:t>號公告第</w:t>
      </w:r>
      <w:r w:rsidRPr="009B7281">
        <w:rPr>
          <w:rFonts w:hint="eastAsia"/>
        </w:rPr>
        <w:t>4</w:t>
      </w:r>
      <w:r w:rsidRPr="009B7281">
        <w:rPr>
          <w:rFonts w:hint="eastAsia"/>
        </w:rPr>
        <w:t>條所列屬「內政部」之權責事項，自</w:t>
      </w:r>
      <w:r w:rsidRPr="009B7281">
        <w:rPr>
          <w:rFonts w:hint="eastAsia"/>
        </w:rPr>
        <w:t>102</w:t>
      </w:r>
      <w:r w:rsidRPr="009B7281">
        <w:rPr>
          <w:rFonts w:hint="eastAsia"/>
        </w:rPr>
        <w:t>年</w:t>
      </w:r>
      <w:r w:rsidRPr="009B7281">
        <w:rPr>
          <w:rFonts w:hint="eastAsia"/>
        </w:rPr>
        <w:t>7</w:t>
      </w:r>
      <w:r w:rsidRPr="009B7281">
        <w:rPr>
          <w:rFonts w:hint="eastAsia"/>
        </w:rPr>
        <w:t>月</w:t>
      </w:r>
      <w:r w:rsidRPr="009B7281">
        <w:rPr>
          <w:rFonts w:hint="eastAsia"/>
        </w:rPr>
        <w:t>23</w:t>
      </w:r>
      <w:r w:rsidRPr="009B7281">
        <w:rPr>
          <w:rFonts w:hint="eastAsia"/>
        </w:rPr>
        <w:t>日起改由「衛生福利部」管轄</w:t>
      </w:r>
    </w:p>
  </w:footnote>
  <w:footnote w:id="2">
    <w:p w:rsidR="0033187D" w:rsidRDefault="0033187D" w:rsidP="00CD7D4F">
      <w:pPr>
        <w:pStyle w:val="afa"/>
      </w:pPr>
      <w:r>
        <w:rPr>
          <w:rStyle w:val="afc"/>
        </w:rPr>
        <w:footnoteRef/>
      </w:r>
      <w:r>
        <w:t xml:space="preserve"> </w:t>
      </w:r>
      <w:r>
        <w:rPr>
          <w:rFonts w:hint="eastAsia"/>
        </w:rPr>
        <w:t>本院前調查：「</w:t>
      </w:r>
      <w:r w:rsidRPr="008719A1">
        <w:rPr>
          <w:color w:val="000000"/>
        </w:rPr>
        <w:t>莫拉克八八水災專案調查研議：莫拉克颱風造成重大災情，各界愛心捐贈物資與捐款源源不絕，主管機關對於勸募款項及財物，有無建立監督管理與運用機制</w:t>
      </w:r>
      <w:r>
        <w:rPr>
          <w:rFonts w:hint="eastAsia"/>
          <w:bCs/>
          <w:color w:val="000000"/>
        </w:rPr>
        <w:t>」乙案</w:t>
      </w:r>
      <w:r>
        <w:rPr>
          <w:rFonts w:hint="eastAsia"/>
        </w:rPr>
        <w:t>(</w:t>
      </w:r>
      <w:r>
        <w:rPr>
          <w:rFonts w:hint="eastAsia"/>
        </w:rPr>
        <w:t>案號：</w:t>
      </w:r>
      <w:r w:rsidRPr="00EC7CC3">
        <w:rPr>
          <w:rFonts w:hint="eastAsia"/>
        </w:rPr>
        <w:t>099</w:t>
      </w:r>
      <w:r w:rsidRPr="00EC7CC3">
        <w:rPr>
          <w:rFonts w:hint="eastAsia"/>
        </w:rPr>
        <w:t>內調</w:t>
      </w:r>
      <w:r w:rsidRPr="00EC7CC3">
        <w:rPr>
          <w:rFonts w:hint="eastAsia"/>
        </w:rPr>
        <w:t>0092</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6708D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A15E124C"/>
    <w:lvl w:ilvl="0" w:tplc="5C0464F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C8060E"/>
    <w:multiLevelType w:val="hybridMultilevel"/>
    <w:tmpl w:val="55422F8A"/>
    <w:lvl w:ilvl="0" w:tplc="34C8304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8"/>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683"/>
    <w:rsid w:val="00006961"/>
    <w:rsid w:val="000112BF"/>
    <w:rsid w:val="00012233"/>
    <w:rsid w:val="0001626B"/>
    <w:rsid w:val="00017318"/>
    <w:rsid w:val="00023B97"/>
    <w:rsid w:val="000246F7"/>
    <w:rsid w:val="00024829"/>
    <w:rsid w:val="00030702"/>
    <w:rsid w:val="0003114D"/>
    <w:rsid w:val="00036D76"/>
    <w:rsid w:val="000532A2"/>
    <w:rsid w:val="00057F32"/>
    <w:rsid w:val="00062A25"/>
    <w:rsid w:val="000660E5"/>
    <w:rsid w:val="00066D8F"/>
    <w:rsid w:val="00067FDF"/>
    <w:rsid w:val="00073CB5"/>
    <w:rsid w:val="0007425C"/>
    <w:rsid w:val="00077553"/>
    <w:rsid w:val="00084E7D"/>
    <w:rsid w:val="000851A2"/>
    <w:rsid w:val="00085220"/>
    <w:rsid w:val="0009352E"/>
    <w:rsid w:val="00096B96"/>
    <w:rsid w:val="000A030C"/>
    <w:rsid w:val="000A2AA0"/>
    <w:rsid w:val="000A2F3F"/>
    <w:rsid w:val="000B0B4A"/>
    <w:rsid w:val="000B279A"/>
    <w:rsid w:val="000B61D2"/>
    <w:rsid w:val="000B70A7"/>
    <w:rsid w:val="000B7E21"/>
    <w:rsid w:val="000C2BD4"/>
    <w:rsid w:val="000C4427"/>
    <w:rsid w:val="000C495F"/>
    <w:rsid w:val="000C52BD"/>
    <w:rsid w:val="000D30F3"/>
    <w:rsid w:val="000E0D54"/>
    <w:rsid w:val="000E6431"/>
    <w:rsid w:val="000E772A"/>
    <w:rsid w:val="000F0787"/>
    <w:rsid w:val="000F21A5"/>
    <w:rsid w:val="00102B9F"/>
    <w:rsid w:val="00107DDB"/>
    <w:rsid w:val="00112637"/>
    <w:rsid w:val="00112ABC"/>
    <w:rsid w:val="00114793"/>
    <w:rsid w:val="0012001E"/>
    <w:rsid w:val="00126A55"/>
    <w:rsid w:val="00133F08"/>
    <w:rsid w:val="001345E6"/>
    <w:rsid w:val="001378B0"/>
    <w:rsid w:val="00142E00"/>
    <w:rsid w:val="00147CC9"/>
    <w:rsid w:val="00152793"/>
    <w:rsid w:val="00153B7E"/>
    <w:rsid w:val="00153DEC"/>
    <w:rsid w:val="001545A9"/>
    <w:rsid w:val="001615C2"/>
    <w:rsid w:val="001637C7"/>
    <w:rsid w:val="0016480E"/>
    <w:rsid w:val="00170248"/>
    <w:rsid w:val="001714E5"/>
    <w:rsid w:val="00172709"/>
    <w:rsid w:val="00174297"/>
    <w:rsid w:val="00180E06"/>
    <w:rsid w:val="001817B3"/>
    <w:rsid w:val="00183014"/>
    <w:rsid w:val="00191BAF"/>
    <w:rsid w:val="001959C2"/>
    <w:rsid w:val="001A51E3"/>
    <w:rsid w:val="001A7968"/>
    <w:rsid w:val="001B2E98"/>
    <w:rsid w:val="001B3483"/>
    <w:rsid w:val="001B3C1E"/>
    <w:rsid w:val="001B4494"/>
    <w:rsid w:val="001B708C"/>
    <w:rsid w:val="001C0D8B"/>
    <w:rsid w:val="001C0DA8"/>
    <w:rsid w:val="001D4AD7"/>
    <w:rsid w:val="001D6EF0"/>
    <w:rsid w:val="001E0D8A"/>
    <w:rsid w:val="001E67BA"/>
    <w:rsid w:val="001E74C2"/>
    <w:rsid w:val="001F5A48"/>
    <w:rsid w:val="001F6260"/>
    <w:rsid w:val="00200007"/>
    <w:rsid w:val="002030A5"/>
    <w:rsid w:val="00203131"/>
    <w:rsid w:val="00212E88"/>
    <w:rsid w:val="00213C9C"/>
    <w:rsid w:val="00215893"/>
    <w:rsid w:val="0022009E"/>
    <w:rsid w:val="00223241"/>
    <w:rsid w:val="0022425C"/>
    <w:rsid w:val="002246DE"/>
    <w:rsid w:val="00252BC4"/>
    <w:rsid w:val="00254014"/>
    <w:rsid w:val="00256834"/>
    <w:rsid w:val="0026504D"/>
    <w:rsid w:val="00273A2F"/>
    <w:rsid w:val="00280986"/>
    <w:rsid w:val="00281ECE"/>
    <w:rsid w:val="002831C7"/>
    <w:rsid w:val="002840C6"/>
    <w:rsid w:val="0029177B"/>
    <w:rsid w:val="00295174"/>
    <w:rsid w:val="00296172"/>
    <w:rsid w:val="00296B92"/>
    <w:rsid w:val="002A2C22"/>
    <w:rsid w:val="002A3B80"/>
    <w:rsid w:val="002B02EB"/>
    <w:rsid w:val="002C0602"/>
    <w:rsid w:val="002C25B7"/>
    <w:rsid w:val="002D5C16"/>
    <w:rsid w:val="002E6D65"/>
    <w:rsid w:val="002F3DFF"/>
    <w:rsid w:val="002F5E05"/>
    <w:rsid w:val="00315A16"/>
    <w:rsid w:val="00316BEE"/>
    <w:rsid w:val="00317053"/>
    <w:rsid w:val="0032109C"/>
    <w:rsid w:val="00322B45"/>
    <w:rsid w:val="00322EA7"/>
    <w:rsid w:val="00323809"/>
    <w:rsid w:val="00323D41"/>
    <w:rsid w:val="00325414"/>
    <w:rsid w:val="00325B53"/>
    <w:rsid w:val="003302F1"/>
    <w:rsid w:val="0033187D"/>
    <w:rsid w:val="0034470E"/>
    <w:rsid w:val="00346021"/>
    <w:rsid w:val="00346057"/>
    <w:rsid w:val="00352DB0"/>
    <w:rsid w:val="0036000B"/>
    <w:rsid w:val="00361063"/>
    <w:rsid w:val="0037094A"/>
    <w:rsid w:val="00371ED3"/>
    <w:rsid w:val="00372FFC"/>
    <w:rsid w:val="0037728A"/>
    <w:rsid w:val="00380B7D"/>
    <w:rsid w:val="00381A99"/>
    <w:rsid w:val="003829C2"/>
    <w:rsid w:val="003830B2"/>
    <w:rsid w:val="00384724"/>
    <w:rsid w:val="003919B7"/>
    <w:rsid w:val="00391D57"/>
    <w:rsid w:val="00392292"/>
    <w:rsid w:val="00393171"/>
    <w:rsid w:val="003A1811"/>
    <w:rsid w:val="003B1017"/>
    <w:rsid w:val="003B3C07"/>
    <w:rsid w:val="003B6775"/>
    <w:rsid w:val="003C01F5"/>
    <w:rsid w:val="003C0B9A"/>
    <w:rsid w:val="003C5FE2"/>
    <w:rsid w:val="003D05FB"/>
    <w:rsid w:val="003D1B16"/>
    <w:rsid w:val="003D45BF"/>
    <w:rsid w:val="003D508A"/>
    <w:rsid w:val="003D537F"/>
    <w:rsid w:val="003D7B75"/>
    <w:rsid w:val="003E0208"/>
    <w:rsid w:val="003E4B57"/>
    <w:rsid w:val="003E662D"/>
    <w:rsid w:val="003F27E1"/>
    <w:rsid w:val="003F437A"/>
    <w:rsid w:val="003F5C2B"/>
    <w:rsid w:val="004023E9"/>
    <w:rsid w:val="0040454A"/>
    <w:rsid w:val="00406D08"/>
    <w:rsid w:val="00413CA5"/>
    <w:rsid w:val="00413F83"/>
    <w:rsid w:val="0041490C"/>
    <w:rsid w:val="004160FF"/>
    <w:rsid w:val="00416191"/>
    <w:rsid w:val="00416721"/>
    <w:rsid w:val="00416F75"/>
    <w:rsid w:val="00421EF0"/>
    <w:rsid w:val="004224FA"/>
    <w:rsid w:val="00423D07"/>
    <w:rsid w:val="0044346F"/>
    <w:rsid w:val="004510C5"/>
    <w:rsid w:val="00452FDF"/>
    <w:rsid w:val="00460419"/>
    <w:rsid w:val="0046520A"/>
    <w:rsid w:val="004672AB"/>
    <w:rsid w:val="004714FE"/>
    <w:rsid w:val="00477AAE"/>
    <w:rsid w:val="00477BAA"/>
    <w:rsid w:val="00495053"/>
    <w:rsid w:val="004A1F59"/>
    <w:rsid w:val="004A29BE"/>
    <w:rsid w:val="004A3225"/>
    <w:rsid w:val="004A33EE"/>
    <w:rsid w:val="004A3AA8"/>
    <w:rsid w:val="004B13C7"/>
    <w:rsid w:val="004B778F"/>
    <w:rsid w:val="004D141F"/>
    <w:rsid w:val="004D2742"/>
    <w:rsid w:val="004D2D69"/>
    <w:rsid w:val="004D6310"/>
    <w:rsid w:val="004E0062"/>
    <w:rsid w:val="004E05A1"/>
    <w:rsid w:val="004F5E57"/>
    <w:rsid w:val="004F6710"/>
    <w:rsid w:val="00500C3E"/>
    <w:rsid w:val="00502849"/>
    <w:rsid w:val="00503179"/>
    <w:rsid w:val="00504334"/>
    <w:rsid w:val="0050498D"/>
    <w:rsid w:val="005104D7"/>
    <w:rsid w:val="00510B9E"/>
    <w:rsid w:val="00536BC2"/>
    <w:rsid w:val="005425E1"/>
    <w:rsid w:val="005427C5"/>
    <w:rsid w:val="00542CF6"/>
    <w:rsid w:val="00553C03"/>
    <w:rsid w:val="00563692"/>
    <w:rsid w:val="00571679"/>
    <w:rsid w:val="005844E7"/>
    <w:rsid w:val="005908B8"/>
    <w:rsid w:val="005937D9"/>
    <w:rsid w:val="0059512E"/>
    <w:rsid w:val="005A6DD2"/>
    <w:rsid w:val="005B71F3"/>
    <w:rsid w:val="005C385D"/>
    <w:rsid w:val="005D3B20"/>
    <w:rsid w:val="005E39DC"/>
    <w:rsid w:val="005E4759"/>
    <w:rsid w:val="005E5C68"/>
    <w:rsid w:val="005E65C0"/>
    <w:rsid w:val="005F0390"/>
    <w:rsid w:val="00602376"/>
    <w:rsid w:val="006072CD"/>
    <w:rsid w:val="00612023"/>
    <w:rsid w:val="00614190"/>
    <w:rsid w:val="00622A99"/>
    <w:rsid w:val="00622E67"/>
    <w:rsid w:val="00626EDC"/>
    <w:rsid w:val="0063144B"/>
    <w:rsid w:val="006470EC"/>
    <w:rsid w:val="00651EDA"/>
    <w:rsid w:val="00652E1E"/>
    <w:rsid w:val="006542D6"/>
    <w:rsid w:val="0065598E"/>
    <w:rsid w:val="00655A71"/>
    <w:rsid w:val="00655AF2"/>
    <w:rsid w:val="00655BC5"/>
    <w:rsid w:val="006561B9"/>
    <w:rsid w:val="006568BE"/>
    <w:rsid w:val="0066025D"/>
    <w:rsid w:val="0066091A"/>
    <w:rsid w:val="006773EC"/>
    <w:rsid w:val="00680504"/>
    <w:rsid w:val="00681CD9"/>
    <w:rsid w:val="00683E30"/>
    <w:rsid w:val="00687024"/>
    <w:rsid w:val="00695E22"/>
    <w:rsid w:val="006A6111"/>
    <w:rsid w:val="006B704C"/>
    <w:rsid w:val="006B7093"/>
    <w:rsid w:val="006B7417"/>
    <w:rsid w:val="006D1007"/>
    <w:rsid w:val="006D1F0D"/>
    <w:rsid w:val="006D3691"/>
    <w:rsid w:val="006D3EAD"/>
    <w:rsid w:val="006E5EF0"/>
    <w:rsid w:val="006F3563"/>
    <w:rsid w:val="006F42B9"/>
    <w:rsid w:val="006F6103"/>
    <w:rsid w:val="00704E00"/>
    <w:rsid w:val="007209E7"/>
    <w:rsid w:val="00722457"/>
    <w:rsid w:val="00726182"/>
    <w:rsid w:val="00727635"/>
    <w:rsid w:val="00732329"/>
    <w:rsid w:val="007337CA"/>
    <w:rsid w:val="00734CE4"/>
    <w:rsid w:val="00735123"/>
    <w:rsid w:val="00741837"/>
    <w:rsid w:val="007453E6"/>
    <w:rsid w:val="0077041A"/>
    <w:rsid w:val="0077309D"/>
    <w:rsid w:val="007774EE"/>
    <w:rsid w:val="00781822"/>
    <w:rsid w:val="00783F21"/>
    <w:rsid w:val="00785793"/>
    <w:rsid w:val="00787159"/>
    <w:rsid w:val="0079043A"/>
    <w:rsid w:val="00791668"/>
    <w:rsid w:val="00791AA1"/>
    <w:rsid w:val="007A03D8"/>
    <w:rsid w:val="007A3793"/>
    <w:rsid w:val="007C1BA2"/>
    <w:rsid w:val="007C2B48"/>
    <w:rsid w:val="007D20E9"/>
    <w:rsid w:val="007D7881"/>
    <w:rsid w:val="007D7E3A"/>
    <w:rsid w:val="007E0E10"/>
    <w:rsid w:val="007E4768"/>
    <w:rsid w:val="007E777B"/>
    <w:rsid w:val="007F2070"/>
    <w:rsid w:val="007F7743"/>
    <w:rsid w:val="008053F5"/>
    <w:rsid w:val="00805FD7"/>
    <w:rsid w:val="00806B31"/>
    <w:rsid w:val="00807AF7"/>
    <w:rsid w:val="00810198"/>
    <w:rsid w:val="00811E26"/>
    <w:rsid w:val="00815DA8"/>
    <w:rsid w:val="0082194D"/>
    <w:rsid w:val="00826EF5"/>
    <w:rsid w:val="00831693"/>
    <w:rsid w:val="00840104"/>
    <w:rsid w:val="00840C1F"/>
    <w:rsid w:val="00841FC5"/>
    <w:rsid w:val="00845709"/>
    <w:rsid w:val="008576BD"/>
    <w:rsid w:val="00860463"/>
    <w:rsid w:val="0087077B"/>
    <w:rsid w:val="00872830"/>
    <w:rsid w:val="008733DA"/>
    <w:rsid w:val="00884CE5"/>
    <w:rsid w:val="008850E4"/>
    <w:rsid w:val="008862F8"/>
    <w:rsid w:val="00891B45"/>
    <w:rsid w:val="008939AB"/>
    <w:rsid w:val="008A12F5"/>
    <w:rsid w:val="008B1587"/>
    <w:rsid w:val="008B1B01"/>
    <w:rsid w:val="008B3BCD"/>
    <w:rsid w:val="008B6DF8"/>
    <w:rsid w:val="008C106C"/>
    <w:rsid w:val="008C10F1"/>
    <w:rsid w:val="008C1926"/>
    <w:rsid w:val="008C1E99"/>
    <w:rsid w:val="008D3C4D"/>
    <w:rsid w:val="008E0085"/>
    <w:rsid w:val="008E2AA6"/>
    <w:rsid w:val="008E311B"/>
    <w:rsid w:val="008F46E7"/>
    <w:rsid w:val="008F6F0B"/>
    <w:rsid w:val="0090615A"/>
    <w:rsid w:val="00907BA7"/>
    <w:rsid w:val="0091064E"/>
    <w:rsid w:val="00911FC5"/>
    <w:rsid w:val="009206FD"/>
    <w:rsid w:val="00926762"/>
    <w:rsid w:val="00931A10"/>
    <w:rsid w:val="009465BD"/>
    <w:rsid w:val="00947967"/>
    <w:rsid w:val="00955201"/>
    <w:rsid w:val="00965200"/>
    <w:rsid w:val="009668B3"/>
    <w:rsid w:val="00971471"/>
    <w:rsid w:val="009849C2"/>
    <w:rsid w:val="00984D24"/>
    <w:rsid w:val="009858EB"/>
    <w:rsid w:val="00990166"/>
    <w:rsid w:val="0099576A"/>
    <w:rsid w:val="009B0046"/>
    <w:rsid w:val="009C1440"/>
    <w:rsid w:val="009C2107"/>
    <w:rsid w:val="009C5D9E"/>
    <w:rsid w:val="009D2C3E"/>
    <w:rsid w:val="009E0625"/>
    <w:rsid w:val="009E3034"/>
    <w:rsid w:val="009E549F"/>
    <w:rsid w:val="009F28A8"/>
    <w:rsid w:val="009F473E"/>
    <w:rsid w:val="009F682A"/>
    <w:rsid w:val="00A022BE"/>
    <w:rsid w:val="00A24C95"/>
    <w:rsid w:val="00A2599A"/>
    <w:rsid w:val="00A26094"/>
    <w:rsid w:val="00A301BF"/>
    <w:rsid w:val="00A302B2"/>
    <w:rsid w:val="00A32767"/>
    <w:rsid w:val="00A331B4"/>
    <w:rsid w:val="00A3484E"/>
    <w:rsid w:val="00A356D3"/>
    <w:rsid w:val="00A35AE1"/>
    <w:rsid w:val="00A36ADA"/>
    <w:rsid w:val="00A438D8"/>
    <w:rsid w:val="00A46F0D"/>
    <w:rsid w:val="00A473F5"/>
    <w:rsid w:val="00A51F9D"/>
    <w:rsid w:val="00A5416A"/>
    <w:rsid w:val="00A551BA"/>
    <w:rsid w:val="00A607A2"/>
    <w:rsid w:val="00A639F4"/>
    <w:rsid w:val="00A64AA5"/>
    <w:rsid w:val="00A67C92"/>
    <w:rsid w:val="00A81A32"/>
    <w:rsid w:val="00A835BD"/>
    <w:rsid w:val="00A8377A"/>
    <w:rsid w:val="00A84936"/>
    <w:rsid w:val="00A907FB"/>
    <w:rsid w:val="00A94692"/>
    <w:rsid w:val="00A97B15"/>
    <w:rsid w:val="00AA305F"/>
    <w:rsid w:val="00AA42D5"/>
    <w:rsid w:val="00AB2FAB"/>
    <w:rsid w:val="00AB59A3"/>
    <w:rsid w:val="00AB5C14"/>
    <w:rsid w:val="00AC1EE7"/>
    <w:rsid w:val="00AC333F"/>
    <w:rsid w:val="00AC585C"/>
    <w:rsid w:val="00AD1925"/>
    <w:rsid w:val="00AD6886"/>
    <w:rsid w:val="00AE067D"/>
    <w:rsid w:val="00AF1181"/>
    <w:rsid w:val="00AF2F79"/>
    <w:rsid w:val="00AF4653"/>
    <w:rsid w:val="00AF7DB7"/>
    <w:rsid w:val="00B201E2"/>
    <w:rsid w:val="00B263AD"/>
    <w:rsid w:val="00B3072E"/>
    <w:rsid w:val="00B323A6"/>
    <w:rsid w:val="00B443E4"/>
    <w:rsid w:val="00B563EA"/>
    <w:rsid w:val="00B60E51"/>
    <w:rsid w:val="00B63A54"/>
    <w:rsid w:val="00B77D18"/>
    <w:rsid w:val="00B77FEE"/>
    <w:rsid w:val="00B8313A"/>
    <w:rsid w:val="00B93503"/>
    <w:rsid w:val="00BA31E8"/>
    <w:rsid w:val="00BA55E0"/>
    <w:rsid w:val="00BA6BD4"/>
    <w:rsid w:val="00BA6C7A"/>
    <w:rsid w:val="00BA6F66"/>
    <w:rsid w:val="00BB3752"/>
    <w:rsid w:val="00BB6688"/>
    <w:rsid w:val="00BC06C7"/>
    <w:rsid w:val="00BC26D4"/>
    <w:rsid w:val="00BE0C80"/>
    <w:rsid w:val="00BF2A42"/>
    <w:rsid w:val="00C03D8C"/>
    <w:rsid w:val="00C055EC"/>
    <w:rsid w:val="00C10DC9"/>
    <w:rsid w:val="00C12FB3"/>
    <w:rsid w:val="00C17341"/>
    <w:rsid w:val="00C24EEF"/>
    <w:rsid w:val="00C25CF6"/>
    <w:rsid w:val="00C26C36"/>
    <w:rsid w:val="00C32768"/>
    <w:rsid w:val="00C431DF"/>
    <w:rsid w:val="00C456BD"/>
    <w:rsid w:val="00C5213D"/>
    <w:rsid w:val="00C530DC"/>
    <w:rsid w:val="00C5350D"/>
    <w:rsid w:val="00C56B85"/>
    <w:rsid w:val="00C6123C"/>
    <w:rsid w:val="00C6311A"/>
    <w:rsid w:val="00C662B3"/>
    <w:rsid w:val="00C7084D"/>
    <w:rsid w:val="00C7315E"/>
    <w:rsid w:val="00C75895"/>
    <w:rsid w:val="00C83118"/>
    <w:rsid w:val="00C83C9F"/>
    <w:rsid w:val="00C94840"/>
    <w:rsid w:val="00CA4EE3"/>
    <w:rsid w:val="00CB027F"/>
    <w:rsid w:val="00CC0EBB"/>
    <w:rsid w:val="00CC6297"/>
    <w:rsid w:val="00CC7690"/>
    <w:rsid w:val="00CD1986"/>
    <w:rsid w:val="00CD4217"/>
    <w:rsid w:val="00CD54BF"/>
    <w:rsid w:val="00CD7D4F"/>
    <w:rsid w:val="00CE4D5C"/>
    <w:rsid w:val="00CF05DA"/>
    <w:rsid w:val="00CF58EB"/>
    <w:rsid w:val="00CF6FEC"/>
    <w:rsid w:val="00D0106E"/>
    <w:rsid w:val="00D06383"/>
    <w:rsid w:val="00D10F47"/>
    <w:rsid w:val="00D20E85"/>
    <w:rsid w:val="00D2346E"/>
    <w:rsid w:val="00D24615"/>
    <w:rsid w:val="00D27071"/>
    <w:rsid w:val="00D34D9E"/>
    <w:rsid w:val="00D37842"/>
    <w:rsid w:val="00D42DC2"/>
    <w:rsid w:val="00D443CC"/>
    <w:rsid w:val="00D537E1"/>
    <w:rsid w:val="00D55BB2"/>
    <w:rsid w:val="00D6091A"/>
    <w:rsid w:val="00D6605A"/>
    <w:rsid w:val="00D6695F"/>
    <w:rsid w:val="00D75644"/>
    <w:rsid w:val="00D77CA9"/>
    <w:rsid w:val="00D81656"/>
    <w:rsid w:val="00D833BB"/>
    <w:rsid w:val="00D83D87"/>
    <w:rsid w:val="00D84A6D"/>
    <w:rsid w:val="00D86A30"/>
    <w:rsid w:val="00D94280"/>
    <w:rsid w:val="00D9780A"/>
    <w:rsid w:val="00D97CB4"/>
    <w:rsid w:val="00D97DD4"/>
    <w:rsid w:val="00DA5A8A"/>
    <w:rsid w:val="00DB26CD"/>
    <w:rsid w:val="00DB441C"/>
    <w:rsid w:val="00DB44AF"/>
    <w:rsid w:val="00DC1F58"/>
    <w:rsid w:val="00DC339B"/>
    <w:rsid w:val="00DC5D40"/>
    <w:rsid w:val="00DC69A7"/>
    <w:rsid w:val="00DD1963"/>
    <w:rsid w:val="00DD30E9"/>
    <w:rsid w:val="00DD41C2"/>
    <w:rsid w:val="00DD4F47"/>
    <w:rsid w:val="00DD7FBB"/>
    <w:rsid w:val="00DE0B9F"/>
    <w:rsid w:val="00DE4238"/>
    <w:rsid w:val="00DE657F"/>
    <w:rsid w:val="00DF1218"/>
    <w:rsid w:val="00DF6462"/>
    <w:rsid w:val="00E02FA0"/>
    <w:rsid w:val="00E036DC"/>
    <w:rsid w:val="00E10454"/>
    <w:rsid w:val="00E112E5"/>
    <w:rsid w:val="00E12CC8"/>
    <w:rsid w:val="00E15352"/>
    <w:rsid w:val="00E21CC7"/>
    <w:rsid w:val="00E24D9E"/>
    <w:rsid w:val="00E25849"/>
    <w:rsid w:val="00E27FF9"/>
    <w:rsid w:val="00E3197E"/>
    <w:rsid w:val="00E342F8"/>
    <w:rsid w:val="00E351ED"/>
    <w:rsid w:val="00E41E40"/>
    <w:rsid w:val="00E6034B"/>
    <w:rsid w:val="00E6158B"/>
    <w:rsid w:val="00E6549E"/>
    <w:rsid w:val="00E65EDE"/>
    <w:rsid w:val="00E70F81"/>
    <w:rsid w:val="00E77055"/>
    <w:rsid w:val="00E77460"/>
    <w:rsid w:val="00E83ABC"/>
    <w:rsid w:val="00E844F2"/>
    <w:rsid w:val="00E863A8"/>
    <w:rsid w:val="00E90AD0"/>
    <w:rsid w:val="00E92FCB"/>
    <w:rsid w:val="00EA147F"/>
    <w:rsid w:val="00EA498C"/>
    <w:rsid w:val="00EA4A27"/>
    <w:rsid w:val="00EA4FA6"/>
    <w:rsid w:val="00EB1A25"/>
    <w:rsid w:val="00EB2CD8"/>
    <w:rsid w:val="00ED03AB"/>
    <w:rsid w:val="00ED1CD4"/>
    <w:rsid w:val="00ED1D2B"/>
    <w:rsid w:val="00ED64B5"/>
    <w:rsid w:val="00EE7CCA"/>
    <w:rsid w:val="00EF61CD"/>
    <w:rsid w:val="00F006B5"/>
    <w:rsid w:val="00F14D1E"/>
    <w:rsid w:val="00F16A14"/>
    <w:rsid w:val="00F21373"/>
    <w:rsid w:val="00F33F52"/>
    <w:rsid w:val="00F362D7"/>
    <w:rsid w:val="00F36C73"/>
    <w:rsid w:val="00F37D7B"/>
    <w:rsid w:val="00F5314C"/>
    <w:rsid w:val="00F5688C"/>
    <w:rsid w:val="00F635DD"/>
    <w:rsid w:val="00F648BC"/>
    <w:rsid w:val="00F6627B"/>
    <w:rsid w:val="00F7336E"/>
    <w:rsid w:val="00F734F2"/>
    <w:rsid w:val="00F75052"/>
    <w:rsid w:val="00F804D3"/>
    <w:rsid w:val="00F81CD2"/>
    <w:rsid w:val="00F82641"/>
    <w:rsid w:val="00F838BB"/>
    <w:rsid w:val="00F90F18"/>
    <w:rsid w:val="00F937E4"/>
    <w:rsid w:val="00F95EE7"/>
    <w:rsid w:val="00FA39E6"/>
    <w:rsid w:val="00FA7BC9"/>
    <w:rsid w:val="00FB33DD"/>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0EE108-C19C-4ECF-B9A6-C498D380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50">
    <w:name w:val="標題 5 字元"/>
    <w:basedOn w:val="a7"/>
    <w:link w:val="5"/>
    <w:rsid w:val="00256834"/>
    <w:rPr>
      <w:rFonts w:ascii="標楷體" w:eastAsia="標楷體" w:hAnsi="Arial"/>
      <w:bCs/>
      <w:kern w:val="32"/>
      <w:sz w:val="32"/>
      <w:szCs w:val="36"/>
    </w:rPr>
  </w:style>
  <w:style w:type="character" w:customStyle="1" w:styleId="40">
    <w:name w:val="標題 4 字元"/>
    <w:basedOn w:val="a7"/>
    <w:link w:val="4"/>
    <w:rsid w:val="003C01F5"/>
    <w:rPr>
      <w:rFonts w:ascii="標楷體" w:eastAsia="標楷體" w:hAnsi="Arial"/>
      <w:kern w:val="32"/>
      <w:sz w:val="32"/>
      <w:szCs w:val="36"/>
    </w:rPr>
  </w:style>
  <w:style w:type="character" w:customStyle="1" w:styleId="30">
    <w:name w:val="標題 3 字元"/>
    <w:basedOn w:val="a7"/>
    <w:link w:val="3"/>
    <w:rsid w:val="00452FDF"/>
    <w:rPr>
      <w:rFonts w:ascii="標楷體" w:eastAsia="標楷體" w:hAnsi="Arial"/>
      <w:bCs/>
      <w:kern w:val="32"/>
      <w:sz w:val="32"/>
      <w:szCs w:val="36"/>
    </w:rPr>
  </w:style>
  <w:style w:type="paragraph" w:styleId="afa">
    <w:name w:val="footnote text"/>
    <w:basedOn w:val="a6"/>
    <w:link w:val="afb"/>
    <w:uiPriority w:val="99"/>
    <w:semiHidden/>
    <w:unhideWhenUsed/>
    <w:rsid w:val="00CD7D4F"/>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CD7D4F"/>
    <w:rPr>
      <w:rFonts w:eastAsia="標楷體"/>
      <w:kern w:val="2"/>
    </w:rPr>
  </w:style>
  <w:style w:type="character" w:styleId="afc">
    <w:name w:val="footnote reference"/>
    <w:basedOn w:val="a7"/>
    <w:uiPriority w:val="99"/>
    <w:semiHidden/>
    <w:unhideWhenUsed/>
    <w:rsid w:val="00CD7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3031C-7BAC-4832-AB94-EBEFC8F2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14</Pages>
  <Words>1150</Words>
  <Characters>6559</Characters>
  <Application>Microsoft Office Word</Application>
  <DocSecurity>0</DocSecurity>
  <Lines>54</Lines>
  <Paragraphs>15</Paragraphs>
  <ScaleCrop>false</ScaleCrop>
  <Company>cy</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曾莉雯</cp:lastModifiedBy>
  <cp:revision>4</cp:revision>
  <cp:lastPrinted>2015-09-04T01:38:00Z</cp:lastPrinted>
  <dcterms:created xsi:type="dcterms:W3CDTF">2015-09-04T05:42:00Z</dcterms:created>
  <dcterms:modified xsi:type="dcterms:W3CDTF">2019-05-24T06:46:00Z</dcterms:modified>
</cp:coreProperties>
</file>