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08" w:rsidRPr="004311D5" w:rsidRDefault="00255E08" w:rsidP="00127D9F">
      <w:pPr>
        <w:pStyle w:val="a6"/>
        <w:kinsoku w:val="0"/>
        <w:spacing w:before="0"/>
        <w:ind w:left="0" w:firstLine="0"/>
        <w:jc w:val="center"/>
        <w:rPr>
          <w:b/>
          <w:bCs/>
          <w:snapToGrid/>
          <w:spacing w:val="200"/>
          <w:kern w:val="0"/>
          <w:sz w:val="40"/>
        </w:rPr>
      </w:pPr>
      <w:r w:rsidRPr="004311D5">
        <w:rPr>
          <w:rFonts w:hint="eastAsia"/>
          <w:b/>
          <w:bCs/>
          <w:snapToGrid/>
          <w:spacing w:val="200"/>
          <w:kern w:val="0"/>
          <w:sz w:val="40"/>
        </w:rPr>
        <w:t>調查報告</w:t>
      </w:r>
    </w:p>
    <w:p w:rsidR="00255E08" w:rsidRDefault="00255E08" w:rsidP="00B045D6">
      <w:pPr>
        <w:pStyle w:val="1"/>
        <w:kinsoku/>
        <w:ind w:left="2325" w:hanging="2325"/>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w:t>
      </w:r>
      <w:r w:rsidR="00AD7A12">
        <w:rPr>
          <w:rFonts w:hint="eastAsia"/>
        </w:rPr>
        <w:t xml:space="preserve">    </w:t>
      </w:r>
      <w:r w:rsidRPr="00B045D6">
        <w:rPr>
          <w:rFonts w:hint="eastAsia"/>
          <w:spacing w:val="20"/>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F572B" w:rsidRPr="00B045D6">
        <w:rPr>
          <w:rFonts w:hint="eastAsia"/>
          <w:spacing w:val="20"/>
        </w:rPr>
        <w:t>據</w:t>
      </w:r>
      <w:r w:rsidR="002F572B">
        <w:rPr>
          <w:rFonts w:hint="eastAsia"/>
        </w:rPr>
        <w:t>審計部</w:t>
      </w:r>
      <w:proofErr w:type="gramStart"/>
      <w:r w:rsidR="002F572B">
        <w:rPr>
          <w:rFonts w:hint="eastAsia"/>
        </w:rPr>
        <w:t>102</w:t>
      </w:r>
      <w:proofErr w:type="gramEnd"/>
      <w:r w:rsidR="002F572B">
        <w:rPr>
          <w:rFonts w:hint="eastAsia"/>
        </w:rPr>
        <w:t>年度</w:t>
      </w:r>
      <w:r w:rsidR="002F572B" w:rsidRPr="00AD7A12">
        <w:rPr>
          <w:rFonts w:hint="eastAsia"/>
          <w:color w:val="000000"/>
          <w:szCs w:val="32"/>
        </w:rPr>
        <w:t>中央政府</w:t>
      </w:r>
      <w:r w:rsidR="002F572B">
        <w:rPr>
          <w:rFonts w:hint="eastAsia"/>
        </w:rPr>
        <w:t>總決算審核報告，司法院所屬法院辦理刑事保證金發還作業之成效欠佳，截至102年10月底，各法院保管之刑事保證金仍高達37億餘元，相關清理、控管機制，確有深入瞭解之必要。</w:t>
      </w:r>
    </w:p>
    <w:p w:rsidR="003C765A" w:rsidRDefault="003C765A" w:rsidP="009276AE">
      <w:pPr>
        <w:pStyle w:val="1"/>
        <w:rPr>
          <w:szCs w:val="32"/>
        </w:rPr>
      </w:pPr>
      <w:bookmarkStart w:id="23" w:name="_Toc524892372"/>
      <w:r>
        <w:rPr>
          <w:rFonts w:hint="eastAsia"/>
          <w:szCs w:val="32"/>
        </w:rPr>
        <w:t>調查</w:t>
      </w:r>
      <w:r w:rsidR="004311D5">
        <w:rPr>
          <w:rFonts w:hint="eastAsia"/>
          <w:szCs w:val="32"/>
        </w:rPr>
        <w:t>意見</w:t>
      </w:r>
      <w:r>
        <w:rPr>
          <w:rFonts w:hint="eastAsia"/>
          <w:szCs w:val="32"/>
        </w:rPr>
        <w:t>：</w:t>
      </w:r>
    </w:p>
    <w:p w:rsidR="00183D41" w:rsidRDefault="00183D41" w:rsidP="00183D41">
      <w:pPr>
        <w:pStyle w:val="21"/>
        <w:ind w:leftChars="200" w:left="680" w:firstLine="680"/>
      </w:pPr>
      <w:r>
        <w:rPr>
          <w:rFonts w:hint="eastAsia"/>
        </w:rPr>
        <w:t>有關刑事保證金作業，司法院於提供本院</w:t>
      </w:r>
      <w:r w:rsidR="00046D35">
        <w:rPr>
          <w:rFonts w:hint="eastAsia"/>
        </w:rPr>
        <w:t>詢問</w:t>
      </w:r>
      <w:r>
        <w:rPr>
          <w:rFonts w:hint="eastAsia"/>
        </w:rPr>
        <w:t>之書面說明表示，刑事訴訟法第119條之1增訂施行前（</w:t>
      </w:r>
      <w:r w:rsidR="002D7A9E">
        <w:rPr>
          <w:rFonts w:hint="eastAsia"/>
        </w:rPr>
        <w:t>民國</w:t>
      </w:r>
      <w:r w:rsidR="002D7A9E">
        <w:rPr>
          <w:rFonts w:hAnsi="標楷體" w:hint="eastAsia"/>
        </w:rPr>
        <w:t>【</w:t>
      </w:r>
      <w:r w:rsidR="002D7A9E">
        <w:rPr>
          <w:rFonts w:hint="eastAsia"/>
        </w:rPr>
        <w:t>下同</w:t>
      </w:r>
      <w:r w:rsidR="002D7A9E">
        <w:rPr>
          <w:rFonts w:hAnsi="標楷體" w:hint="eastAsia"/>
        </w:rPr>
        <w:t>】</w:t>
      </w:r>
      <w:r>
        <w:rPr>
          <w:rFonts w:hint="eastAsia"/>
        </w:rPr>
        <w:t>103年12月17日以前），各法院係依辦理發還被告刑事保證金應行注意事項、辦理民刑事審判紀錄業務注意事項及法院辦理少年業務紀錄及執行參考手冊辦理；增訂施行後，各級法院應依辦理民刑事審判紀錄業務注意事項、法院辦理少年業務紀錄及執行參考</w:t>
      </w:r>
      <w:r w:rsidRPr="00C06C31">
        <w:rPr>
          <w:rFonts w:hint="eastAsia"/>
          <w:bCs/>
        </w:rPr>
        <w:t>手冊</w:t>
      </w:r>
      <w:r>
        <w:rPr>
          <w:rFonts w:hint="eastAsia"/>
        </w:rPr>
        <w:t>及刑事保證金</w:t>
      </w:r>
      <w:proofErr w:type="gramStart"/>
      <w:r>
        <w:rPr>
          <w:rFonts w:hint="eastAsia"/>
        </w:rPr>
        <w:t>存管計</w:t>
      </w:r>
      <w:proofErr w:type="gramEnd"/>
      <w:r>
        <w:rPr>
          <w:rFonts w:hint="eastAsia"/>
        </w:rPr>
        <w:t>息及發還作業辦法等規定辦理。該書面資料並說明，司法院依刑事訴訟法第119條之1授權，訂頒刑事保證金</w:t>
      </w:r>
      <w:proofErr w:type="gramStart"/>
      <w:r>
        <w:rPr>
          <w:rFonts w:hint="eastAsia"/>
        </w:rPr>
        <w:t>存管計</w:t>
      </w:r>
      <w:proofErr w:type="gramEnd"/>
      <w:r>
        <w:rPr>
          <w:rFonts w:hint="eastAsia"/>
        </w:rPr>
        <w:t>息及發還作業辦法，自103年12月18日施行。該辦法之規定已包</w:t>
      </w:r>
      <w:r w:rsidR="008E2C70">
        <w:rPr>
          <w:rFonts w:hint="eastAsia"/>
        </w:rPr>
        <w:t>含</w:t>
      </w:r>
      <w:r>
        <w:rPr>
          <w:rFonts w:hint="eastAsia"/>
        </w:rPr>
        <w:t>辦理發還被告刑事保證金應行注意事項所規範之事項，是前揭注意事項已自同日停止適用，</w:t>
      </w:r>
      <w:proofErr w:type="gramStart"/>
      <w:r>
        <w:rPr>
          <w:rFonts w:hint="eastAsia"/>
        </w:rPr>
        <w:t>合先敘</w:t>
      </w:r>
      <w:proofErr w:type="gramEnd"/>
      <w:r>
        <w:rPr>
          <w:rFonts w:hint="eastAsia"/>
        </w:rPr>
        <w:t>明。</w:t>
      </w:r>
    </w:p>
    <w:p w:rsidR="00C57E1D" w:rsidRDefault="00C57E1D" w:rsidP="00C57E1D">
      <w:pPr>
        <w:pStyle w:val="21"/>
        <w:ind w:leftChars="200" w:left="680" w:firstLine="680"/>
      </w:pPr>
      <w:r w:rsidRPr="00213C9C">
        <w:rPr>
          <w:rFonts w:hint="eastAsia"/>
          <w:bCs/>
        </w:rPr>
        <w:t>本</w:t>
      </w:r>
      <w:r w:rsidRPr="009C7FF2">
        <w:rPr>
          <w:rFonts w:hint="eastAsia"/>
          <w:bCs/>
        </w:rPr>
        <w:t>案經調</w:t>
      </w:r>
      <w:r>
        <w:rPr>
          <w:rFonts w:hint="eastAsia"/>
          <w:bCs/>
        </w:rPr>
        <w:t>閱司法院及</w:t>
      </w:r>
      <w:proofErr w:type="gramStart"/>
      <w:r>
        <w:rPr>
          <w:rFonts w:hint="eastAsia"/>
          <w:bCs/>
        </w:rPr>
        <w:t>審計部等</w:t>
      </w:r>
      <w:r w:rsidR="00183D41">
        <w:rPr>
          <w:rFonts w:hint="eastAsia"/>
          <w:bCs/>
        </w:rPr>
        <w:t>機關</w:t>
      </w:r>
      <w:proofErr w:type="gramEnd"/>
      <w:r w:rsidRPr="009C7FF2">
        <w:rPr>
          <w:rFonts w:hint="eastAsia"/>
          <w:bCs/>
        </w:rPr>
        <w:t>卷證資料，</w:t>
      </w:r>
      <w:r>
        <w:rPr>
          <w:rFonts w:hint="eastAsia"/>
          <w:bCs/>
        </w:rPr>
        <w:t>並於104年2月3日</w:t>
      </w:r>
      <w:r w:rsidR="00046D35">
        <w:rPr>
          <w:rFonts w:hint="eastAsia"/>
          <w:bCs/>
        </w:rPr>
        <w:t>詢問</w:t>
      </w:r>
      <w:r>
        <w:rPr>
          <w:rFonts w:hint="eastAsia"/>
          <w:bCs/>
        </w:rPr>
        <w:t>司法院相關業務主管人員，</w:t>
      </w:r>
      <w:proofErr w:type="gramStart"/>
      <w:r>
        <w:rPr>
          <w:rFonts w:hint="eastAsia"/>
          <w:bCs/>
        </w:rPr>
        <w:t>嗣</w:t>
      </w:r>
      <w:proofErr w:type="gramEnd"/>
      <w:r>
        <w:rPr>
          <w:rFonts w:hint="eastAsia"/>
          <w:bCs/>
        </w:rPr>
        <w:t>經該院補充說明到院後，業已</w:t>
      </w:r>
      <w:proofErr w:type="gramStart"/>
      <w:r>
        <w:rPr>
          <w:rFonts w:hint="eastAsia"/>
          <w:bCs/>
        </w:rPr>
        <w:t>調查竣事，</w:t>
      </w:r>
      <w:r w:rsidR="008D4F32">
        <w:rPr>
          <w:rFonts w:hint="eastAsia"/>
          <w:bCs/>
        </w:rPr>
        <w:t>茲</w:t>
      </w:r>
      <w:r>
        <w:rPr>
          <w:rFonts w:hint="eastAsia"/>
          <w:bCs/>
        </w:rPr>
        <w:t>綜整</w:t>
      </w:r>
      <w:proofErr w:type="gramEnd"/>
      <w:r>
        <w:rPr>
          <w:rFonts w:hint="eastAsia"/>
        </w:rPr>
        <w:t>調查意見如後：</w:t>
      </w:r>
    </w:p>
    <w:p w:rsidR="00A51A5C" w:rsidRPr="00591AF7" w:rsidRDefault="00644BFE" w:rsidP="00EC59DB">
      <w:pPr>
        <w:pStyle w:val="2"/>
        <w:kinsoku/>
        <w:ind w:left="1043"/>
        <w:rPr>
          <w:b/>
        </w:rPr>
      </w:pPr>
      <w:r w:rsidRPr="00591AF7">
        <w:rPr>
          <w:rFonts w:hint="eastAsia"/>
          <w:b/>
        </w:rPr>
        <w:t>司法院所屬</w:t>
      </w:r>
      <w:r w:rsidR="00A51A5C" w:rsidRPr="00591AF7">
        <w:rPr>
          <w:rFonts w:hint="eastAsia"/>
          <w:b/>
        </w:rPr>
        <w:t>各級法院</w:t>
      </w:r>
      <w:r w:rsidR="000B554D" w:rsidRPr="00591AF7">
        <w:rPr>
          <w:rFonts w:hint="eastAsia"/>
          <w:b/>
        </w:rPr>
        <w:t>未能確實</w:t>
      </w:r>
      <w:r w:rsidR="00474C3D" w:rsidRPr="00591AF7">
        <w:rPr>
          <w:rFonts w:hint="eastAsia"/>
          <w:b/>
        </w:rPr>
        <w:t>依相關規定</w:t>
      </w:r>
      <w:r w:rsidR="00542A1E" w:rsidRPr="00591AF7">
        <w:rPr>
          <w:rFonts w:hint="eastAsia"/>
          <w:b/>
        </w:rPr>
        <w:t>辦理刑事保證</w:t>
      </w:r>
      <w:r w:rsidR="00EC59DB" w:rsidRPr="00591AF7">
        <w:rPr>
          <w:rFonts w:hint="eastAsia"/>
          <w:b/>
        </w:rPr>
        <w:t>金</w:t>
      </w:r>
      <w:r w:rsidR="00591AF7">
        <w:rPr>
          <w:rFonts w:hint="eastAsia"/>
          <w:b/>
        </w:rPr>
        <w:t>發還</w:t>
      </w:r>
      <w:r w:rsidR="00542A1E" w:rsidRPr="00591AF7">
        <w:rPr>
          <w:rFonts w:hint="eastAsia"/>
          <w:b/>
        </w:rPr>
        <w:t>作業</w:t>
      </w:r>
      <w:r w:rsidR="000B554D" w:rsidRPr="00591AF7">
        <w:rPr>
          <w:rFonts w:hint="eastAsia"/>
          <w:b/>
        </w:rPr>
        <w:t>，復以</w:t>
      </w:r>
      <w:r w:rsidR="00542A1E" w:rsidRPr="00591AF7">
        <w:rPr>
          <w:rFonts w:hint="eastAsia"/>
          <w:b/>
        </w:rPr>
        <w:t>控管機制未</w:t>
      </w:r>
      <w:proofErr w:type="gramStart"/>
      <w:r w:rsidR="00542A1E" w:rsidRPr="00591AF7">
        <w:rPr>
          <w:rFonts w:hint="eastAsia"/>
          <w:b/>
        </w:rPr>
        <w:t>臻健全，</w:t>
      </w:r>
      <w:proofErr w:type="gramEnd"/>
      <w:r w:rsidR="000B554D" w:rsidRPr="00591AF7">
        <w:rPr>
          <w:rFonts w:hint="eastAsia"/>
          <w:b/>
        </w:rPr>
        <w:t>而有</w:t>
      </w:r>
      <w:r w:rsidR="00D87B71" w:rsidRPr="00591AF7">
        <w:rPr>
          <w:rFonts w:hint="eastAsia"/>
          <w:b/>
        </w:rPr>
        <w:t>「卷證銷</w:t>
      </w:r>
      <w:proofErr w:type="gramStart"/>
      <w:r w:rsidR="00D87B71" w:rsidRPr="00591AF7">
        <w:rPr>
          <w:rFonts w:hint="eastAsia"/>
          <w:b/>
        </w:rPr>
        <w:t>燬</w:t>
      </w:r>
      <w:proofErr w:type="gramEnd"/>
      <w:r w:rsidR="00D87B71" w:rsidRPr="00591AF7">
        <w:rPr>
          <w:rFonts w:hint="eastAsia"/>
          <w:b/>
        </w:rPr>
        <w:t>」、「院方書記官未通知發還」、「地檢署未通知發還」等情事，</w:t>
      </w:r>
      <w:r w:rsidR="00A51A5C" w:rsidRPr="00591AF7">
        <w:rPr>
          <w:rFonts w:hint="eastAsia"/>
          <w:b/>
        </w:rPr>
        <w:t>肇致</w:t>
      </w:r>
      <w:r w:rsidR="00542A1E" w:rsidRPr="00591AF7">
        <w:rPr>
          <w:rFonts w:hint="eastAsia"/>
          <w:b/>
        </w:rPr>
        <w:t>判決確定案件之</w:t>
      </w:r>
      <w:r w:rsidR="00A51A5C" w:rsidRPr="00591AF7">
        <w:rPr>
          <w:rFonts w:hint="eastAsia"/>
          <w:b/>
        </w:rPr>
        <w:t>刑事保證金</w:t>
      </w:r>
      <w:r w:rsidR="00EC59DB" w:rsidRPr="00591AF7">
        <w:rPr>
          <w:rFonts w:hint="eastAsia"/>
          <w:b/>
        </w:rPr>
        <w:t>遲遲無法發還，</w:t>
      </w:r>
      <w:r w:rsidR="00A51A5C" w:rsidRPr="00591AF7">
        <w:rPr>
          <w:rFonts w:hint="eastAsia"/>
          <w:b/>
        </w:rPr>
        <w:t>影響應受發還人之權益，核有不當：</w:t>
      </w:r>
    </w:p>
    <w:p w:rsidR="00403256" w:rsidRDefault="0021456E" w:rsidP="0096369F">
      <w:pPr>
        <w:pStyle w:val="3"/>
        <w:kinsoku/>
        <w:ind w:left="1394"/>
      </w:pPr>
      <w:r>
        <w:rPr>
          <w:rFonts w:hint="eastAsia"/>
        </w:rPr>
        <w:lastRenderedPageBreak/>
        <w:t>按</w:t>
      </w:r>
      <w:r w:rsidR="00403256">
        <w:rPr>
          <w:rFonts w:hint="eastAsia"/>
        </w:rPr>
        <w:t>辦理發還被告刑事保證金應行注意事項</w:t>
      </w:r>
      <w:r w:rsidR="00591AF7">
        <w:rPr>
          <w:rFonts w:hAnsi="標楷體" w:hint="eastAsia"/>
        </w:rPr>
        <w:t>（下稱應行注意事項）</w:t>
      </w:r>
      <w:r w:rsidR="00403256">
        <w:rPr>
          <w:rFonts w:hint="eastAsia"/>
        </w:rPr>
        <w:t>第1</w:t>
      </w:r>
      <w:r>
        <w:rPr>
          <w:rFonts w:hint="eastAsia"/>
        </w:rPr>
        <w:t>點</w:t>
      </w:r>
      <w:r w:rsidR="008B390F">
        <w:rPr>
          <w:rFonts w:hint="eastAsia"/>
        </w:rPr>
        <w:t>及辦理刑事審判紀錄業務注意事項</w:t>
      </w:r>
      <w:r w:rsidR="00591AF7">
        <w:rPr>
          <w:rFonts w:hAnsi="標楷體" w:hint="eastAsia"/>
        </w:rPr>
        <w:t>（</w:t>
      </w:r>
      <w:r w:rsidR="00591AF7">
        <w:rPr>
          <w:rFonts w:hint="eastAsia"/>
        </w:rPr>
        <w:t>下稱業務注意事項</w:t>
      </w:r>
      <w:r w:rsidR="00591AF7">
        <w:rPr>
          <w:rFonts w:hAnsi="標楷體" w:hint="eastAsia"/>
        </w:rPr>
        <w:t>）</w:t>
      </w:r>
      <w:r w:rsidR="008B390F">
        <w:rPr>
          <w:rFonts w:hint="eastAsia"/>
        </w:rPr>
        <w:t>第152</w:t>
      </w:r>
      <w:r>
        <w:rPr>
          <w:rFonts w:hint="eastAsia"/>
        </w:rPr>
        <w:t>點</w:t>
      </w:r>
      <w:r w:rsidR="008B390F">
        <w:rPr>
          <w:rFonts w:hint="eastAsia"/>
        </w:rPr>
        <w:t>第1項均規定，</w:t>
      </w:r>
      <w:r w:rsidR="00403256">
        <w:rPr>
          <w:rFonts w:hint="eastAsia"/>
        </w:rPr>
        <w:t>經判決無罪、</w:t>
      </w:r>
      <w:proofErr w:type="gramStart"/>
      <w:r w:rsidR="00403256">
        <w:rPr>
          <w:rFonts w:hint="eastAsia"/>
        </w:rPr>
        <w:t>免訴</w:t>
      </w:r>
      <w:proofErr w:type="gramEnd"/>
      <w:r w:rsidR="00403256">
        <w:rPr>
          <w:rFonts w:hint="eastAsia"/>
        </w:rPr>
        <w:t>、免刑、緩刑、不受理確定之案件，被告於審</w:t>
      </w:r>
      <w:r w:rsidR="00403256" w:rsidRPr="000F6D9B">
        <w:rPr>
          <w:rFonts w:hint="eastAsia"/>
        </w:rPr>
        <w:t>判</w:t>
      </w:r>
      <w:proofErr w:type="gramStart"/>
      <w:r w:rsidR="00403256" w:rsidRPr="000F6D9B">
        <w:rPr>
          <w:rFonts w:hint="eastAsia"/>
        </w:rPr>
        <w:t>中繳有刑事</w:t>
      </w:r>
      <w:proofErr w:type="gramEnd"/>
      <w:r w:rsidR="00403256" w:rsidRPr="000F6D9B">
        <w:rPr>
          <w:rFonts w:hint="eastAsia"/>
        </w:rPr>
        <w:t>保證金者，應不待其聲請，於判決確定後，即日查卷辦理發還。</w:t>
      </w:r>
      <w:r w:rsidR="002C3591" w:rsidRPr="000F6D9B">
        <w:rPr>
          <w:rFonts w:hint="eastAsia"/>
        </w:rPr>
        <w:t>又保證金如係向為確定判決之法院繳交者，依</w:t>
      </w:r>
      <w:r w:rsidR="002C3591">
        <w:rPr>
          <w:rFonts w:hint="eastAsia"/>
        </w:rPr>
        <w:t>該應行注意事項第2</w:t>
      </w:r>
      <w:r>
        <w:rPr>
          <w:rFonts w:hint="eastAsia"/>
        </w:rPr>
        <w:t>點</w:t>
      </w:r>
      <w:r w:rsidR="002C3591">
        <w:rPr>
          <w:rFonts w:hint="eastAsia"/>
        </w:rPr>
        <w:t>及業務注意事項第152</w:t>
      </w:r>
      <w:r>
        <w:rPr>
          <w:rFonts w:hint="eastAsia"/>
        </w:rPr>
        <w:t>點</w:t>
      </w:r>
      <w:r w:rsidR="002C3591">
        <w:rPr>
          <w:rFonts w:hint="eastAsia"/>
        </w:rPr>
        <w:t>第2項規定，為確定判決之法院應即通知被告或代繳人具領</w:t>
      </w:r>
      <w:r w:rsidR="0096369F">
        <w:rPr>
          <w:rFonts w:hint="eastAsia"/>
        </w:rPr>
        <w:t>；</w:t>
      </w:r>
      <w:r w:rsidR="002C3591">
        <w:rPr>
          <w:rFonts w:hint="eastAsia"/>
        </w:rPr>
        <w:t>如</w:t>
      </w:r>
      <w:r w:rsidR="002C3591" w:rsidRPr="000F6D9B">
        <w:rPr>
          <w:rFonts w:hint="eastAsia"/>
        </w:rPr>
        <w:t>係向下級</w:t>
      </w:r>
      <w:r w:rsidR="002C3591" w:rsidRPr="008C4871">
        <w:rPr>
          <w:rFonts w:hint="eastAsia"/>
        </w:rPr>
        <w:t>審法院繳交者，依該應行注意事項第</w:t>
      </w:r>
      <w:r w:rsidR="0096369F" w:rsidRPr="008C4871">
        <w:rPr>
          <w:rFonts w:hint="eastAsia"/>
        </w:rPr>
        <w:t>3</w:t>
      </w:r>
      <w:r w:rsidR="0078703C" w:rsidRPr="008C4871">
        <w:rPr>
          <w:rFonts w:hint="eastAsia"/>
        </w:rPr>
        <w:t>點</w:t>
      </w:r>
      <w:r w:rsidR="002C3591" w:rsidRPr="008C4871">
        <w:rPr>
          <w:rFonts w:hint="eastAsia"/>
        </w:rPr>
        <w:t>第1款及業務注意事項第15</w:t>
      </w:r>
      <w:r w:rsidR="0096369F" w:rsidRPr="008C4871">
        <w:rPr>
          <w:rFonts w:hint="eastAsia"/>
        </w:rPr>
        <w:t>3</w:t>
      </w:r>
      <w:r w:rsidR="0078703C" w:rsidRPr="008C4871">
        <w:rPr>
          <w:rFonts w:hint="eastAsia"/>
        </w:rPr>
        <w:t>點</w:t>
      </w:r>
      <w:r w:rsidR="002C3591" w:rsidRPr="008C4871">
        <w:rPr>
          <w:rFonts w:hint="eastAsia"/>
        </w:rPr>
        <w:t>第</w:t>
      </w:r>
      <w:r w:rsidR="0096369F" w:rsidRPr="008C4871">
        <w:rPr>
          <w:rFonts w:hint="eastAsia"/>
        </w:rPr>
        <w:t>1</w:t>
      </w:r>
      <w:r w:rsidR="002C3591" w:rsidRPr="008C4871">
        <w:rPr>
          <w:rFonts w:hint="eastAsia"/>
        </w:rPr>
        <w:t>項規定</w:t>
      </w:r>
      <w:r w:rsidR="0096369F" w:rsidRPr="008C4871">
        <w:rPr>
          <w:rFonts w:hint="eastAsia"/>
        </w:rPr>
        <w:t>，為確定判決之法院，除應通知該收繳保證金之法院發還外，並應即通知被告或代繳人。</w:t>
      </w:r>
      <w:r w:rsidR="00170AE0" w:rsidRPr="008C4871">
        <w:rPr>
          <w:rFonts w:hint="eastAsia"/>
        </w:rPr>
        <w:t>而有罪判決確定移送執行之案件，雖經檢察官執行完畢，仍未接獲通知發還刑事保證金或沒入者，依該業務注意事項</w:t>
      </w:r>
      <w:r w:rsidR="0096369F" w:rsidRPr="008C4871">
        <w:rPr>
          <w:rFonts w:hint="eastAsia"/>
        </w:rPr>
        <w:t>第154</w:t>
      </w:r>
      <w:r w:rsidR="0078703C" w:rsidRPr="008C4871">
        <w:rPr>
          <w:rFonts w:hint="eastAsia"/>
        </w:rPr>
        <w:t>點</w:t>
      </w:r>
      <w:r w:rsidR="0096369F" w:rsidRPr="008C4871">
        <w:rPr>
          <w:rFonts w:hint="eastAsia"/>
        </w:rPr>
        <w:t>規定，可向檢察署調卷查明確認已執行完畢並未經沒入後，即可辦理發還刑事保證金。若經檢察署函復卷宗已逾保存期限而銷</w:t>
      </w:r>
      <w:proofErr w:type="gramStart"/>
      <w:r w:rsidR="0096369F" w:rsidRPr="008C4871">
        <w:rPr>
          <w:rFonts w:hint="eastAsia"/>
        </w:rPr>
        <w:t>燬</w:t>
      </w:r>
      <w:proofErr w:type="gramEnd"/>
      <w:r w:rsidR="0096369F" w:rsidRPr="008C4871">
        <w:rPr>
          <w:rFonts w:hint="eastAsia"/>
        </w:rPr>
        <w:t>者，亦得於確認前揭事實無訛，並列印</w:t>
      </w:r>
      <w:r w:rsidR="0078703C" w:rsidRPr="008C4871">
        <w:rPr>
          <w:rFonts w:hint="eastAsia"/>
        </w:rPr>
        <w:t>「臺灣高等法院被告全國前案紀錄表」</w:t>
      </w:r>
      <w:r w:rsidR="0096369F" w:rsidRPr="008C4871">
        <w:rPr>
          <w:rFonts w:hint="eastAsia"/>
        </w:rPr>
        <w:t>交互核對無誤後</w:t>
      </w:r>
      <w:r w:rsidR="0096369F">
        <w:rPr>
          <w:rFonts w:hint="eastAsia"/>
        </w:rPr>
        <w:t>，依相關規定辦理發還。</w:t>
      </w:r>
      <w:r w:rsidR="00170AE0">
        <w:rPr>
          <w:rFonts w:hint="eastAsia"/>
        </w:rPr>
        <w:t>至刑事保證金通知發還，權利人受合法通知未領取者，依</w:t>
      </w:r>
      <w:r w:rsidR="0078703C">
        <w:rPr>
          <w:rFonts w:hint="eastAsia"/>
        </w:rPr>
        <w:t>該</w:t>
      </w:r>
      <w:r w:rsidR="00170AE0">
        <w:rPr>
          <w:rFonts w:hint="eastAsia"/>
        </w:rPr>
        <w:t>業務注意事項</w:t>
      </w:r>
      <w:r w:rsidR="0096369F">
        <w:rPr>
          <w:rFonts w:hint="eastAsia"/>
        </w:rPr>
        <w:t>第156</w:t>
      </w:r>
      <w:r w:rsidR="0078703C">
        <w:rPr>
          <w:rFonts w:hint="eastAsia"/>
        </w:rPr>
        <w:t>點</w:t>
      </w:r>
      <w:r w:rsidR="0096369F">
        <w:rPr>
          <w:rFonts w:hint="eastAsia"/>
        </w:rPr>
        <w:t>規定，應每年定期發函通知</w:t>
      </w:r>
      <w:r w:rsidR="008C4871">
        <w:rPr>
          <w:rFonts w:hint="eastAsia"/>
        </w:rPr>
        <w:t>權</w:t>
      </w:r>
      <w:r w:rsidR="0096369F">
        <w:rPr>
          <w:rFonts w:hint="eastAsia"/>
        </w:rPr>
        <w:t>利人領取，至第</w:t>
      </w:r>
      <w:r w:rsidR="00170AE0">
        <w:rPr>
          <w:rFonts w:hint="eastAsia"/>
        </w:rPr>
        <w:t>5</w:t>
      </w:r>
      <w:r w:rsidR="0096369F">
        <w:rPr>
          <w:rFonts w:hint="eastAsia"/>
        </w:rPr>
        <w:t>年仍未領取，且刑事保證金保管已逾10年，</w:t>
      </w:r>
      <w:proofErr w:type="gramStart"/>
      <w:r w:rsidR="0096369F">
        <w:rPr>
          <w:rFonts w:hint="eastAsia"/>
        </w:rPr>
        <w:t>得暫解</w:t>
      </w:r>
      <w:proofErr w:type="gramEnd"/>
      <w:r w:rsidR="0096369F">
        <w:rPr>
          <w:rFonts w:hint="eastAsia"/>
        </w:rPr>
        <w:t>繳國庫</w:t>
      </w:r>
      <w:proofErr w:type="gramStart"/>
      <w:r w:rsidR="0096369F">
        <w:rPr>
          <w:rFonts w:hint="eastAsia"/>
        </w:rPr>
        <w:t>為宜時</w:t>
      </w:r>
      <w:proofErr w:type="gramEnd"/>
      <w:r w:rsidR="0096369F">
        <w:rPr>
          <w:rFonts w:hint="eastAsia"/>
        </w:rPr>
        <w:t>，應於通知書上載明</w:t>
      </w:r>
      <w:r w:rsidR="00170AE0">
        <w:rPr>
          <w:rFonts w:hint="eastAsia"/>
        </w:rPr>
        <w:t>「如再逾期未領，刑事保證金將暫繳國庫，但權利人得隨時聲請發還」</w:t>
      </w:r>
      <w:r w:rsidR="0078703C">
        <w:rPr>
          <w:rFonts w:hint="eastAsia"/>
        </w:rPr>
        <w:t>，</w:t>
      </w:r>
      <w:r w:rsidR="0096369F">
        <w:rPr>
          <w:rFonts w:hint="eastAsia"/>
        </w:rPr>
        <w:t>如仍未領取，應簽請院長核准辦理繳庫。</w:t>
      </w:r>
    </w:p>
    <w:p w:rsidR="00EF315E" w:rsidRDefault="00E80530" w:rsidP="0096369F">
      <w:pPr>
        <w:pStyle w:val="3"/>
        <w:kinsoku/>
        <w:ind w:left="1394"/>
      </w:pPr>
      <w:proofErr w:type="gramStart"/>
      <w:r>
        <w:rPr>
          <w:rFonts w:hint="eastAsia"/>
        </w:rPr>
        <w:t>102</w:t>
      </w:r>
      <w:proofErr w:type="gramEnd"/>
      <w:r>
        <w:rPr>
          <w:rFonts w:hint="eastAsia"/>
        </w:rPr>
        <w:t>年度中央政府總決算審核報告之審核意見指出，截至102年10月底止，各法院保管刑事保證金</w:t>
      </w:r>
      <w:r w:rsidR="00DB6DFB">
        <w:rPr>
          <w:rFonts w:hint="eastAsia"/>
        </w:rPr>
        <w:t>新臺幣(下同)</w:t>
      </w:r>
      <w:r>
        <w:rPr>
          <w:rFonts w:hint="eastAsia"/>
        </w:rPr>
        <w:t>37億2,458萬餘元（12,940件），除</w:t>
      </w:r>
      <w:r>
        <w:rPr>
          <w:rFonts w:hint="eastAsia"/>
        </w:rPr>
        <w:lastRenderedPageBreak/>
        <w:t>保管近10年案件金額計35億4,085萬餘元（11,311件）外，仍保管63至92年間之案件金額1億8,372萬餘元（1,629件）。依司法院</w:t>
      </w:r>
      <w:r w:rsidR="00C57694">
        <w:rPr>
          <w:rFonts w:hint="eastAsia"/>
        </w:rPr>
        <w:t>刑事廳</w:t>
      </w:r>
      <w:proofErr w:type="gramStart"/>
      <w:r>
        <w:rPr>
          <w:rFonts w:hint="eastAsia"/>
        </w:rPr>
        <w:t>10</w:t>
      </w:r>
      <w:r w:rsidR="00C57694">
        <w:rPr>
          <w:rFonts w:hint="eastAsia"/>
        </w:rPr>
        <w:t>4</w:t>
      </w:r>
      <w:r>
        <w:rPr>
          <w:rFonts w:hint="eastAsia"/>
        </w:rPr>
        <w:t>年</w:t>
      </w:r>
      <w:r w:rsidR="00C57694">
        <w:rPr>
          <w:rFonts w:hint="eastAsia"/>
        </w:rPr>
        <w:t>4</w:t>
      </w:r>
      <w:r>
        <w:rPr>
          <w:rFonts w:hint="eastAsia"/>
        </w:rPr>
        <w:t>月</w:t>
      </w:r>
      <w:r w:rsidR="00C57694">
        <w:rPr>
          <w:rFonts w:hint="eastAsia"/>
        </w:rPr>
        <w:t>27</w:t>
      </w:r>
      <w:r>
        <w:rPr>
          <w:rFonts w:hint="eastAsia"/>
        </w:rPr>
        <w:t>日廳刑一字</w:t>
      </w:r>
      <w:proofErr w:type="gramEnd"/>
      <w:r>
        <w:rPr>
          <w:rFonts w:hint="eastAsia"/>
        </w:rPr>
        <w:t>第</w:t>
      </w:r>
      <w:r w:rsidR="00C57694">
        <w:rPr>
          <w:rFonts w:hint="eastAsia"/>
        </w:rPr>
        <w:t>1040010105</w:t>
      </w:r>
      <w:r>
        <w:rPr>
          <w:rFonts w:hint="eastAsia"/>
        </w:rPr>
        <w:t>號</w:t>
      </w:r>
      <w:proofErr w:type="gramStart"/>
      <w:r>
        <w:rPr>
          <w:rFonts w:hint="eastAsia"/>
        </w:rPr>
        <w:t>函復本院</w:t>
      </w:r>
      <w:proofErr w:type="gramEnd"/>
      <w:r>
        <w:rPr>
          <w:rFonts w:hint="eastAsia"/>
        </w:rPr>
        <w:t>，</w:t>
      </w:r>
      <w:r w:rsidR="00C57694">
        <w:rPr>
          <w:rFonts w:hint="eastAsia"/>
        </w:rPr>
        <w:t>截至102年10月底止，</w:t>
      </w:r>
      <w:r>
        <w:rPr>
          <w:rFonts w:hint="eastAsia"/>
        </w:rPr>
        <w:t>各級法院保管刑事保證金案件，屬判決確定者，</w:t>
      </w:r>
      <w:r w:rsidR="00C57694">
        <w:rPr>
          <w:rFonts w:hint="eastAsia"/>
        </w:rPr>
        <w:t>至少</w:t>
      </w:r>
      <w:r w:rsidR="00C57694">
        <w:rPr>
          <w:rStyle w:val="af5"/>
        </w:rPr>
        <w:footnoteReference w:id="1"/>
      </w:r>
      <w:r w:rsidR="00C57694">
        <w:rPr>
          <w:rFonts w:hint="eastAsia"/>
        </w:rPr>
        <w:t>21,786</w:t>
      </w:r>
      <w:r>
        <w:rPr>
          <w:rFonts w:hint="eastAsia"/>
        </w:rPr>
        <w:t>件</w:t>
      </w:r>
      <w:r w:rsidR="002F68C9">
        <w:rPr>
          <w:rStyle w:val="af5"/>
        </w:rPr>
        <w:footnoteReference w:id="2"/>
      </w:r>
      <w:r>
        <w:rPr>
          <w:rFonts w:hint="eastAsia"/>
        </w:rPr>
        <w:t>，金額</w:t>
      </w:r>
      <w:r w:rsidR="00C57694">
        <w:rPr>
          <w:rFonts w:hint="eastAsia"/>
        </w:rPr>
        <w:t>17億1,964萬4,730</w:t>
      </w:r>
      <w:r>
        <w:rPr>
          <w:rFonts w:hint="eastAsia"/>
        </w:rPr>
        <w:t>元</w:t>
      </w:r>
      <w:r w:rsidR="00DB55A2">
        <w:rPr>
          <w:rFonts w:hint="eastAsia"/>
        </w:rPr>
        <w:t>，其中為</w:t>
      </w:r>
      <w:r w:rsidR="00DB55A2" w:rsidRPr="00DB55A2">
        <w:rPr>
          <w:rFonts w:hint="eastAsia"/>
        </w:rPr>
        <w:t>63年至92年保管</w:t>
      </w:r>
      <w:r w:rsidR="00DB55A2">
        <w:rPr>
          <w:rFonts w:hint="eastAsia"/>
        </w:rPr>
        <w:t>者計有</w:t>
      </w:r>
      <w:r w:rsidR="00C57694">
        <w:rPr>
          <w:rFonts w:hint="eastAsia"/>
        </w:rPr>
        <w:t>7,962</w:t>
      </w:r>
      <w:r w:rsidR="00DB55A2">
        <w:rPr>
          <w:rFonts w:hint="eastAsia"/>
        </w:rPr>
        <w:t>件，</w:t>
      </w:r>
      <w:r w:rsidR="00C57694">
        <w:rPr>
          <w:rFonts w:hint="eastAsia"/>
        </w:rPr>
        <w:t>5億1,910萬4,500</w:t>
      </w:r>
      <w:r w:rsidR="00DB55A2">
        <w:rPr>
          <w:rFonts w:hint="eastAsia"/>
        </w:rPr>
        <w:t>元，</w:t>
      </w:r>
      <w:r w:rsidR="00DB55A2" w:rsidRPr="00DB55A2">
        <w:rPr>
          <w:rFonts w:hint="eastAsia"/>
        </w:rPr>
        <w:t>93年至102年10月底保管</w:t>
      </w:r>
      <w:r w:rsidR="00DB55A2">
        <w:rPr>
          <w:rFonts w:hint="eastAsia"/>
        </w:rPr>
        <w:t>者，計有</w:t>
      </w:r>
      <w:r w:rsidR="00C57694">
        <w:rPr>
          <w:rFonts w:hint="eastAsia"/>
        </w:rPr>
        <w:t>13,824</w:t>
      </w:r>
      <w:r w:rsidR="00DB55A2">
        <w:rPr>
          <w:rFonts w:hint="eastAsia"/>
        </w:rPr>
        <w:t>件</w:t>
      </w:r>
      <w:r w:rsidR="00C57694">
        <w:rPr>
          <w:rFonts w:hint="eastAsia"/>
        </w:rPr>
        <w:t>，12億54萬230</w:t>
      </w:r>
      <w:r w:rsidR="00DB55A2">
        <w:rPr>
          <w:rFonts w:hint="eastAsia"/>
        </w:rPr>
        <w:t>元。</w:t>
      </w:r>
    </w:p>
    <w:p w:rsidR="00C8311C" w:rsidRDefault="00F82968" w:rsidP="0096369F">
      <w:pPr>
        <w:pStyle w:val="3"/>
        <w:kinsoku/>
        <w:ind w:left="1394"/>
      </w:pPr>
      <w:r>
        <w:rPr>
          <w:rFonts w:hint="eastAsia"/>
        </w:rPr>
        <w:t>截至102年10月底，各級法院保管刑事保證金尚未發還之原因，依據</w:t>
      </w:r>
      <w:r w:rsidR="00C97C96">
        <w:rPr>
          <w:rFonts w:hint="eastAsia"/>
        </w:rPr>
        <w:t>前揭司法院刑事廳104年4月27日</w:t>
      </w:r>
      <w:r>
        <w:rPr>
          <w:rFonts w:hint="eastAsia"/>
        </w:rPr>
        <w:t>函所</w:t>
      </w:r>
      <w:r w:rsidR="00591AF7">
        <w:rPr>
          <w:rFonts w:hint="eastAsia"/>
        </w:rPr>
        <w:t>述，</w:t>
      </w:r>
      <w:r>
        <w:rPr>
          <w:rFonts w:hint="eastAsia"/>
        </w:rPr>
        <w:t>包括</w:t>
      </w:r>
      <w:r w:rsidR="00591AF7">
        <w:rPr>
          <w:rFonts w:hAnsi="標楷體" w:hint="eastAsia"/>
        </w:rPr>
        <w:t>：</w:t>
      </w:r>
      <w:r w:rsidR="00B91268">
        <w:rPr>
          <w:rFonts w:hint="eastAsia"/>
        </w:rPr>
        <w:t>書記官漏未通知發還、地檢署漏未通知（或尚未接獲地檢署通知）發還、</w:t>
      </w:r>
      <w:r>
        <w:rPr>
          <w:rFonts w:hint="eastAsia"/>
        </w:rPr>
        <w:t>卷證銷</w:t>
      </w:r>
      <w:proofErr w:type="gramStart"/>
      <w:r>
        <w:rPr>
          <w:rFonts w:hint="eastAsia"/>
        </w:rPr>
        <w:t>燬</w:t>
      </w:r>
      <w:proofErr w:type="gramEnd"/>
      <w:r>
        <w:rPr>
          <w:rFonts w:hint="eastAsia"/>
        </w:rPr>
        <w:t>、具保人（繳款人、受發還人</w:t>
      </w:r>
      <w:r w:rsidR="0087010F">
        <w:rPr>
          <w:rFonts w:hint="eastAsia"/>
        </w:rPr>
        <w:t>、權利人</w:t>
      </w:r>
      <w:r>
        <w:rPr>
          <w:rFonts w:hint="eastAsia"/>
        </w:rPr>
        <w:t>）死亡、行蹤不明或居所遷移、遷出國外、出境或通緝中、戶籍設在戶政機關無法通知、</w:t>
      </w:r>
      <w:r w:rsidR="00CD2065">
        <w:rPr>
          <w:rFonts w:hint="eastAsia"/>
        </w:rPr>
        <w:t>已通知</w:t>
      </w:r>
      <w:r>
        <w:rPr>
          <w:rFonts w:hint="eastAsia"/>
        </w:rPr>
        <w:t>領款人（具保人、權利人）</w:t>
      </w:r>
      <w:r w:rsidR="00926F52">
        <w:rPr>
          <w:rFonts w:hint="eastAsia"/>
        </w:rPr>
        <w:t>卻</w:t>
      </w:r>
      <w:r>
        <w:rPr>
          <w:rFonts w:hint="eastAsia"/>
        </w:rPr>
        <w:t>未具領、案件尚未執行或執行尚未完畢</w:t>
      </w:r>
      <w:r w:rsidR="00CD2065">
        <w:rPr>
          <w:rFonts w:hint="eastAsia"/>
        </w:rPr>
        <w:t>及通知地檢署確定執行請代為發還</w:t>
      </w:r>
      <w:r w:rsidR="00B91268">
        <w:rPr>
          <w:rFonts w:hint="eastAsia"/>
        </w:rPr>
        <w:t>及</w:t>
      </w:r>
      <w:r w:rsidR="00CD2065">
        <w:rPr>
          <w:rFonts w:hint="eastAsia"/>
        </w:rPr>
        <w:t>地檢署</w:t>
      </w:r>
      <w:proofErr w:type="gramStart"/>
      <w:r w:rsidR="00CD2065">
        <w:rPr>
          <w:rFonts w:hint="eastAsia"/>
        </w:rPr>
        <w:t>未覆等</w:t>
      </w:r>
      <w:proofErr w:type="gramEnd"/>
      <w:r>
        <w:rPr>
          <w:rFonts w:hint="eastAsia"/>
        </w:rPr>
        <w:t>。</w:t>
      </w:r>
    </w:p>
    <w:p w:rsidR="00F82968" w:rsidRDefault="00B91268" w:rsidP="0096369F">
      <w:pPr>
        <w:pStyle w:val="3"/>
        <w:kinsoku/>
        <w:ind w:left="1394"/>
      </w:pPr>
      <w:r>
        <w:rPr>
          <w:rFonts w:hint="eastAsia"/>
        </w:rPr>
        <w:t>按應行注意事項第2點及業務注意事項第152點第2項規定，確定判決之</w:t>
      </w:r>
      <w:proofErr w:type="gramStart"/>
      <w:r>
        <w:rPr>
          <w:rFonts w:hint="eastAsia"/>
        </w:rPr>
        <w:t>法院</w:t>
      </w:r>
      <w:r w:rsidR="00302479">
        <w:rPr>
          <w:rFonts w:hint="eastAsia"/>
        </w:rPr>
        <w:t>均有通知</w:t>
      </w:r>
      <w:proofErr w:type="gramEnd"/>
      <w:r w:rsidR="00302479">
        <w:rPr>
          <w:rFonts w:hint="eastAsia"/>
        </w:rPr>
        <w:t>收繳保證金之法院及</w:t>
      </w:r>
      <w:r>
        <w:rPr>
          <w:rFonts w:hint="eastAsia"/>
        </w:rPr>
        <w:t>被告或代繳人</w:t>
      </w:r>
      <w:r w:rsidR="00302479">
        <w:rPr>
          <w:rFonts w:hint="eastAsia"/>
        </w:rPr>
        <w:t>之義務，惟臺灣</w:t>
      </w:r>
      <w:proofErr w:type="gramStart"/>
      <w:r w:rsidR="00302479">
        <w:rPr>
          <w:rFonts w:hint="eastAsia"/>
        </w:rPr>
        <w:t>臺</w:t>
      </w:r>
      <w:proofErr w:type="gramEnd"/>
      <w:r w:rsidR="00302479">
        <w:rPr>
          <w:rFonts w:hint="eastAsia"/>
        </w:rPr>
        <w:t>北地方法院</w:t>
      </w:r>
      <w:r w:rsidR="00591AF7">
        <w:rPr>
          <w:rFonts w:hint="eastAsia"/>
        </w:rPr>
        <w:t>、臺灣新竹地方法院、臺灣苗栗地方法院、臺灣</w:t>
      </w:r>
      <w:proofErr w:type="gramStart"/>
      <w:r w:rsidR="00591AF7">
        <w:rPr>
          <w:rFonts w:hint="eastAsia"/>
        </w:rPr>
        <w:t>臺</w:t>
      </w:r>
      <w:proofErr w:type="gramEnd"/>
      <w:r w:rsidR="00591AF7">
        <w:rPr>
          <w:rFonts w:hint="eastAsia"/>
        </w:rPr>
        <w:t>中地方法院及臺灣南投地方法院</w:t>
      </w:r>
      <w:r w:rsidR="00302479">
        <w:rPr>
          <w:rFonts w:hint="eastAsia"/>
        </w:rPr>
        <w:t>等5法院，卻有院方書記官未通知發還之情事；</w:t>
      </w:r>
      <w:r w:rsidR="00926F52">
        <w:rPr>
          <w:rFonts w:hint="eastAsia"/>
        </w:rPr>
        <w:t>次</w:t>
      </w:r>
      <w:r w:rsidR="008F3DC4">
        <w:rPr>
          <w:rFonts w:hint="eastAsia"/>
        </w:rPr>
        <w:t>按該業務注意事項第154點規定，</w:t>
      </w:r>
      <w:r w:rsidR="00926F52">
        <w:rPr>
          <w:rFonts w:hint="eastAsia"/>
        </w:rPr>
        <w:t>地檢署應通知法院發還或沒入刑事保證金，如未接獲通知，法院可向地檢署查明相關事項後辦理發還，惟臺灣高等法院臺中分院</w:t>
      </w:r>
      <w:r w:rsidR="00591AF7">
        <w:rPr>
          <w:rFonts w:hint="eastAsia"/>
        </w:rPr>
        <w:t>、臺灣高</w:t>
      </w:r>
      <w:r w:rsidR="00591AF7">
        <w:rPr>
          <w:rFonts w:hint="eastAsia"/>
        </w:rPr>
        <w:lastRenderedPageBreak/>
        <w:t>等法院臺南分院、臺灣高等法院高雄分院、臺灣</w:t>
      </w:r>
      <w:proofErr w:type="gramStart"/>
      <w:r w:rsidR="00591AF7">
        <w:rPr>
          <w:rFonts w:hint="eastAsia"/>
        </w:rPr>
        <w:t>臺</w:t>
      </w:r>
      <w:proofErr w:type="gramEnd"/>
      <w:r w:rsidR="00591AF7">
        <w:rPr>
          <w:rFonts w:hint="eastAsia"/>
        </w:rPr>
        <w:t>北地方法院、臺灣新竹地方法院、臺灣苗栗地方法院、臺灣</w:t>
      </w:r>
      <w:proofErr w:type="gramStart"/>
      <w:r w:rsidR="00591AF7">
        <w:rPr>
          <w:rFonts w:hint="eastAsia"/>
        </w:rPr>
        <w:t>臺</w:t>
      </w:r>
      <w:proofErr w:type="gramEnd"/>
      <w:r w:rsidR="00591AF7">
        <w:rPr>
          <w:rFonts w:hint="eastAsia"/>
        </w:rPr>
        <w:t>中地方法院、臺灣南投地方法院、臺灣雲林地方法院、臺灣嘉義地方法院、臺灣花蓮地方法院及臺灣宜蘭地方法院</w:t>
      </w:r>
      <w:r w:rsidR="00926F52">
        <w:rPr>
          <w:rFonts w:hint="eastAsia"/>
        </w:rPr>
        <w:t>等1</w:t>
      </w:r>
      <w:r w:rsidR="00466E3E">
        <w:rPr>
          <w:rFonts w:hint="eastAsia"/>
        </w:rPr>
        <w:t>2</w:t>
      </w:r>
      <w:r w:rsidR="00926F52">
        <w:rPr>
          <w:rFonts w:hint="eastAsia"/>
        </w:rPr>
        <w:t>法院，卻有地檢署未通知（未接獲地檢署通知）之情事；</w:t>
      </w:r>
      <w:proofErr w:type="gramStart"/>
      <w:r w:rsidR="00926F52">
        <w:rPr>
          <w:rFonts w:hint="eastAsia"/>
        </w:rPr>
        <w:t>復按該</w:t>
      </w:r>
      <w:proofErr w:type="gramEnd"/>
      <w:r w:rsidR="002B7DA1">
        <w:rPr>
          <w:rFonts w:hint="eastAsia"/>
        </w:rPr>
        <w:t>業務注意事項第154點規定</w:t>
      </w:r>
      <w:r w:rsidR="002B7DA1" w:rsidRPr="008C4871">
        <w:rPr>
          <w:rFonts w:hint="eastAsia"/>
        </w:rPr>
        <w:t>卷宗已逾保存期限而銷</w:t>
      </w:r>
      <w:proofErr w:type="gramStart"/>
      <w:r w:rsidR="002B7DA1" w:rsidRPr="008C4871">
        <w:rPr>
          <w:rFonts w:hint="eastAsia"/>
        </w:rPr>
        <w:t>燬</w:t>
      </w:r>
      <w:proofErr w:type="gramEnd"/>
      <w:r w:rsidR="002B7DA1" w:rsidRPr="008C4871">
        <w:rPr>
          <w:rFonts w:hint="eastAsia"/>
        </w:rPr>
        <w:t>者，亦得於確認事實</w:t>
      </w:r>
      <w:r w:rsidR="002B7DA1">
        <w:rPr>
          <w:rFonts w:hint="eastAsia"/>
        </w:rPr>
        <w:t>無訛，並列印</w:t>
      </w:r>
      <w:r>
        <w:rPr>
          <w:rFonts w:hint="eastAsia"/>
        </w:rPr>
        <w:t>「臺灣高等法院被告全國前案紀錄表」</w:t>
      </w:r>
      <w:r w:rsidR="002B7DA1">
        <w:rPr>
          <w:rFonts w:hint="eastAsia"/>
        </w:rPr>
        <w:t>交互核對無誤後，依相關規定辦理發還</w:t>
      </w:r>
      <w:r>
        <w:rPr>
          <w:rFonts w:hint="eastAsia"/>
        </w:rPr>
        <w:t>，惟</w:t>
      </w:r>
      <w:r w:rsidR="00591AF7">
        <w:rPr>
          <w:rFonts w:hint="eastAsia"/>
        </w:rPr>
        <w:t>臺灣高等法院、臺灣</w:t>
      </w:r>
      <w:proofErr w:type="gramStart"/>
      <w:r w:rsidR="00591AF7">
        <w:rPr>
          <w:rFonts w:hint="eastAsia"/>
        </w:rPr>
        <w:t>臺</w:t>
      </w:r>
      <w:proofErr w:type="gramEnd"/>
      <w:r w:rsidR="00591AF7">
        <w:rPr>
          <w:rFonts w:hint="eastAsia"/>
        </w:rPr>
        <w:t>北地方法院、臺灣士林地方法院、臺灣新北地方法院、臺灣新竹地方法院及臺灣彰化地方法院</w:t>
      </w:r>
      <w:r w:rsidR="00745794">
        <w:rPr>
          <w:rFonts w:hint="eastAsia"/>
        </w:rPr>
        <w:t>等6法院</w:t>
      </w:r>
      <w:r>
        <w:rPr>
          <w:rFonts w:hint="eastAsia"/>
        </w:rPr>
        <w:t>卻</w:t>
      </w:r>
      <w:proofErr w:type="gramStart"/>
      <w:r>
        <w:rPr>
          <w:rFonts w:hint="eastAsia"/>
        </w:rPr>
        <w:t>仍</w:t>
      </w:r>
      <w:r w:rsidR="00745794">
        <w:rPr>
          <w:rFonts w:hint="eastAsia"/>
        </w:rPr>
        <w:t>有卷證</w:t>
      </w:r>
      <w:proofErr w:type="gramEnd"/>
      <w:r w:rsidR="00745794">
        <w:rPr>
          <w:rFonts w:hint="eastAsia"/>
        </w:rPr>
        <w:t>銷</w:t>
      </w:r>
      <w:proofErr w:type="gramStart"/>
      <w:r w:rsidR="00745794">
        <w:rPr>
          <w:rFonts w:hint="eastAsia"/>
        </w:rPr>
        <w:t>燬</w:t>
      </w:r>
      <w:proofErr w:type="gramEnd"/>
      <w:r w:rsidR="00745794">
        <w:rPr>
          <w:rFonts w:hint="eastAsia"/>
        </w:rPr>
        <w:t>，現存資料不全，致通知困難</w:t>
      </w:r>
      <w:r>
        <w:rPr>
          <w:rFonts w:hint="eastAsia"/>
        </w:rPr>
        <w:t>而無法發還之情事</w:t>
      </w:r>
      <w:r w:rsidR="00926F52">
        <w:rPr>
          <w:rFonts w:hint="eastAsia"/>
        </w:rPr>
        <w:t>。是</w:t>
      </w:r>
      <w:proofErr w:type="gramStart"/>
      <w:r w:rsidR="00926F52">
        <w:rPr>
          <w:rFonts w:hint="eastAsia"/>
        </w:rPr>
        <w:t>以</w:t>
      </w:r>
      <w:proofErr w:type="gramEnd"/>
      <w:r w:rsidR="00926F52">
        <w:rPr>
          <w:rFonts w:hint="eastAsia"/>
        </w:rPr>
        <w:t>，</w:t>
      </w:r>
      <w:r>
        <w:rPr>
          <w:rFonts w:hint="eastAsia"/>
        </w:rPr>
        <w:t>相關法院辦理刑事保證金</w:t>
      </w:r>
      <w:r w:rsidR="00591AF7">
        <w:rPr>
          <w:rFonts w:hint="eastAsia"/>
        </w:rPr>
        <w:t>發還</w:t>
      </w:r>
      <w:r>
        <w:rPr>
          <w:rFonts w:hint="eastAsia"/>
        </w:rPr>
        <w:t>業務未依該</w:t>
      </w:r>
      <w:r w:rsidR="00926F52">
        <w:rPr>
          <w:rFonts w:hint="eastAsia"/>
        </w:rPr>
        <w:t>應行注意事項及</w:t>
      </w:r>
      <w:r>
        <w:rPr>
          <w:rFonts w:hint="eastAsia"/>
        </w:rPr>
        <w:t>業務注意事項之規定辦理，或</w:t>
      </w:r>
      <w:r w:rsidR="00926F52">
        <w:rPr>
          <w:rFonts w:hint="eastAsia"/>
        </w:rPr>
        <w:t>有</w:t>
      </w:r>
      <w:r>
        <w:rPr>
          <w:rFonts w:hint="eastAsia"/>
        </w:rPr>
        <w:t>相關基本資料建置不全或保存不當</w:t>
      </w:r>
      <w:r w:rsidR="00926F52">
        <w:rPr>
          <w:rFonts w:hint="eastAsia"/>
        </w:rPr>
        <w:t>之情事</w:t>
      </w:r>
      <w:r>
        <w:rPr>
          <w:rFonts w:hint="eastAsia"/>
        </w:rPr>
        <w:t>。</w:t>
      </w:r>
    </w:p>
    <w:p w:rsidR="005177DD" w:rsidRDefault="005177DD" w:rsidP="0096369F">
      <w:pPr>
        <w:pStyle w:val="3"/>
        <w:kinsoku/>
        <w:ind w:left="1394"/>
      </w:pPr>
      <w:r>
        <w:rPr>
          <w:rFonts w:hint="eastAsia"/>
        </w:rPr>
        <w:t>又司法院提供本院104年2月3日</w:t>
      </w:r>
      <w:r w:rsidR="00046D35">
        <w:rPr>
          <w:rFonts w:hint="eastAsia"/>
        </w:rPr>
        <w:t>詢問</w:t>
      </w:r>
      <w:r>
        <w:rPr>
          <w:rFonts w:hint="eastAsia"/>
        </w:rPr>
        <w:t>之書面說明中，有關各級法院辦理刑事保證金業務之程序及控管機制部分，臺灣高等法院臺南分院表示，目前尚無電腦控管機制</w:t>
      </w:r>
      <w:r w:rsidR="00591AF7">
        <w:rPr>
          <w:rFonts w:hint="eastAsia"/>
        </w:rPr>
        <w:t>，</w:t>
      </w:r>
      <w:r>
        <w:rPr>
          <w:rFonts w:hint="eastAsia"/>
        </w:rPr>
        <w:t>及辦理交保之法院、檢察機關承辦書記官如未落實於卷面欄位詳實填載，後續接辦人員</w:t>
      </w:r>
      <w:proofErr w:type="gramStart"/>
      <w:r>
        <w:rPr>
          <w:rFonts w:hint="eastAsia"/>
        </w:rPr>
        <w:t>恐有疏未</w:t>
      </w:r>
      <w:proofErr w:type="gramEnd"/>
      <w:r>
        <w:rPr>
          <w:rFonts w:hint="eastAsia"/>
        </w:rPr>
        <w:t>注意致漏未發還之虞等語。又</w:t>
      </w:r>
      <w:proofErr w:type="gramStart"/>
      <w:r w:rsidR="00F1623F">
        <w:rPr>
          <w:rFonts w:hint="eastAsia"/>
        </w:rPr>
        <w:t>詢</w:t>
      </w:r>
      <w:proofErr w:type="gramEnd"/>
      <w:r w:rsidR="00F1623F">
        <w:rPr>
          <w:rFonts w:hint="eastAsia"/>
        </w:rPr>
        <w:t>據</w:t>
      </w:r>
      <w:r>
        <w:rPr>
          <w:rFonts w:hint="eastAsia"/>
        </w:rPr>
        <w:t>司法院相關人員</w:t>
      </w:r>
      <w:r w:rsidR="00F1623F">
        <w:rPr>
          <w:rFonts w:hint="eastAsia"/>
        </w:rPr>
        <w:t>表示，舊法並沒有規定未接獲通知時，多久要向檢方調卷處理，且目前查到的相關函示並無相關規定，而有關法院實際有無稽核書記官依規定辦理，則不甚了解</w:t>
      </w:r>
      <w:r w:rsidR="008C4871">
        <w:rPr>
          <w:rFonts w:hint="eastAsia"/>
        </w:rPr>
        <w:t>等語</w:t>
      </w:r>
      <w:r w:rsidR="00F1623F">
        <w:rPr>
          <w:rFonts w:hint="eastAsia"/>
        </w:rPr>
        <w:t>。顯見，各級法院辦理刑事保證金</w:t>
      </w:r>
      <w:r w:rsidR="009F6BCC">
        <w:rPr>
          <w:rFonts w:hint="eastAsia"/>
        </w:rPr>
        <w:t>發還</w:t>
      </w:r>
      <w:r w:rsidR="00F1623F">
        <w:rPr>
          <w:rFonts w:hint="eastAsia"/>
        </w:rPr>
        <w:t>業務之控管機制尚未健全。</w:t>
      </w:r>
    </w:p>
    <w:p w:rsidR="00FB6B62" w:rsidRDefault="009F6BCC" w:rsidP="0096369F">
      <w:pPr>
        <w:pStyle w:val="3"/>
        <w:kinsoku/>
        <w:ind w:left="1394"/>
      </w:pPr>
      <w:proofErr w:type="gramStart"/>
      <w:r>
        <w:rPr>
          <w:rFonts w:hint="eastAsia"/>
        </w:rPr>
        <w:t>綜</w:t>
      </w:r>
      <w:proofErr w:type="gramEnd"/>
      <w:r w:rsidR="00C76338">
        <w:rPr>
          <w:rFonts w:hint="eastAsia"/>
        </w:rPr>
        <w:t>上</w:t>
      </w:r>
      <w:r w:rsidR="00737BD3">
        <w:rPr>
          <w:rFonts w:hint="eastAsia"/>
        </w:rPr>
        <w:t>述</w:t>
      </w:r>
      <w:r w:rsidR="00FB6B62">
        <w:rPr>
          <w:rFonts w:hint="eastAsia"/>
        </w:rPr>
        <w:t>，</w:t>
      </w:r>
      <w:r w:rsidR="004C3789">
        <w:rPr>
          <w:rFonts w:hint="eastAsia"/>
        </w:rPr>
        <w:t>司法院所屬</w:t>
      </w:r>
      <w:r w:rsidR="00FB6B62">
        <w:rPr>
          <w:rFonts w:hint="eastAsia"/>
        </w:rPr>
        <w:t>各</w:t>
      </w:r>
      <w:r w:rsidR="004C3789">
        <w:rPr>
          <w:rFonts w:hint="eastAsia"/>
        </w:rPr>
        <w:t>級</w:t>
      </w:r>
      <w:r w:rsidR="00FB6B62">
        <w:rPr>
          <w:rFonts w:hint="eastAsia"/>
        </w:rPr>
        <w:t>法院辦理刑事保證金</w:t>
      </w:r>
      <w:r>
        <w:rPr>
          <w:rFonts w:hint="eastAsia"/>
        </w:rPr>
        <w:t>發還</w:t>
      </w:r>
      <w:r w:rsidR="00FB6B62">
        <w:rPr>
          <w:rFonts w:hint="eastAsia"/>
        </w:rPr>
        <w:t>業務雖有「辦理發還被告刑事保證金應行注意事項」、「辦理刑事審判紀錄業務注意事項」及「法</w:t>
      </w:r>
      <w:r w:rsidR="00FB6B62">
        <w:rPr>
          <w:rFonts w:hint="eastAsia"/>
        </w:rPr>
        <w:lastRenderedPageBreak/>
        <w:t>院辦理少年業務紀錄及執行參考手冊」可</w:t>
      </w:r>
      <w:r w:rsidR="004C3789">
        <w:rPr>
          <w:rFonts w:hint="eastAsia"/>
        </w:rPr>
        <w:t>資遵循，惟未能確實依相關規定辦理，復以控管機制未</w:t>
      </w:r>
      <w:proofErr w:type="gramStart"/>
      <w:r w:rsidR="004C3789">
        <w:rPr>
          <w:rFonts w:hint="eastAsia"/>
        </w:rPr>
        <w:t>臻健全，</w:t>
      </w:r>
      <w:proofErr w:type="gramEnd"/>
      <w:r w:rsidR="004C3789">
        <w:rPr>
          <w:rFonts w:hint="eastAsia"/>
        </w:rPr>
        <w:t>肇致</w:t>
      </w:r>
      <w:r w:rsidR="008625CE">
        <w:rPr>
          <w:rFonts w:hint="eastAsia"/>
        </w:rPr>
        <w:t>63年</w:t>
      </w:r>
      <w:proofErr w:type="gramStart"/>
      <w:r w:rsidR="008625CE">
        <w:rPr>
          <w:rFonts w:hint="eastAsia"/>
        </w:rPr>
        <w:t>迄</w:t>
      </w:r>
      <w:proofErr w:type="gramEnd"/>
      <w:r w:rsidR="00C76338">
        <w:rPr>
          <w:rFonts w:hint="eastAsia"/>
        </w:rPr>
        <w:t>102年10月底</w:t>
      </w:r>
      <w:r w:rsidR="008625CE">
        <w:rPr>
          <w:rFonts w:hint="eastAsia"/>
        </w:rPr>
        <w:t>，</w:t>
      </w:r>
      <w:r w:rsidR="00FB6B62">
        <w:rPr>
          <w:rFonts w:hint="eastAsia"/>
        </w:rPr>
        <w:t>各</w:t>
      </w:r>
      <w:r w:rsidR="004C3789">
        <w:rPr>
          <w:rFonts w:hint="eastAsia"/>
        </w:rPr>
        <w:t>級</w:t>
      </w:r>
      <w:r w:rsidR="00FB6B62">
        <w:rPr>
          <w:rFonts w:hint="eastAsia"/>
        </w:rPr>
        <w:t>法院未發還判決確定</w:t>
      </w:r>
      <w:r w:rsidR="00C76338">
        <w:rPr>
          <w:rFonts w:hint="eastAsia"/>
        </w:rPr>
        <w:t>之</w:t>
      </w:r>
      <w:r w:rsidR="00FB6B62">
        <w:rPr>
          <w:rFonts w:hint="eastAsia"/>
        </w:rPr>
        <w:t>刑事保證金</w:t>
      </w:r>
      <w:r w:rsidR="004C3789">
        <w:rPr>
          <w:rFonts w:hint="eastAsia"/>
        </w:rPr>
        <w:t>案件至少有21,786件，金額17億1,964萬4,730元，影響應受發還人之權益，核有不當。</w:t>
      </w:r>
    </w:p>
    <w:p w:rsidR="00EC59DB" w:rsidRDefault="008948B0" w:rsidP="00EC59DB">
      <w:pPr>
        <w:pStyle w:val="2"/>
        <w:kinsoku/>
        <w:ind w:left="1043"/>
      </w:pPr>
      <w:r w:rsidRPr="000C07C8">
        <w:rPr>
          <w:rFonts w:hint="eastAsia"/>
          <w:b/>
        </w:rPr>
        <w:t>部分法院清理久懸刑事保證金</w:t>
      </w:r>
      <w:r w:rsidR="00051781" w:rsidRPr="000C07C8">
        <w:rPr>
          <w:rFonts w:hint="eastAsia"/>
          <w:b/>
        </w:rPr>
        <w:t>之</w:t>
      </w:r>
      <w:r w:rsidRPr="000C07C8">
        <w:rPr>
          <w:rFonts w:hint="eastAsia"/>
          <w:b/>
        </w:rPr>
        <w:t>成效欠佳</w:t>
      </w:r>
      <w:r w:rsidR="00EC59DB" w:rsidRPr="000C07C8">
        <w:rPr>
          <w:rFonts w:hint="eastAsia"/>
          <w:b/>
        </w:rPr>
        <w:t>，</w:t>
      </w:r>
      <w:r w:rsidRPr="000C07C8">
        <w:rPr>
          <w:rFonts w:hint="eastAsia"/>
          <w:b/>
        </w:rPr>
        <w:t>影響應受發還人之權益，核有不當</w:t>
      </w:r>
      <w:r w:rsidR="00EC59DB">
        <w:rPr>
          <w:rFonts w:hint="eastAsia"/>
        </w:rPr>
        <w:t>：</w:t>
      </w:r>
    </w:p>
    <w:p w:rsidR="00E43EED" w:rsidRDefault="006939F0" w:rsidP="005C46F2">
      <w:pPr>
        <w:pStyle w:val="3"/>
        <w:kinsoku/>
        <w:ind w:left="1394"/>
      </w:pPr>
      <w:r>
        <w:rPr>
          <w:rFonts w:hint="eastAsia"/>
        </w:rPr>
        <w:t>為清理久懸刑事保證金，司法院雖於97年9月8日及101年6月28日函請</w:t>
      </w:r>
      <w:r w:rsidR="000C07C8">
        <w:rPr>
          <w:rFonts w:hint="eastAsia"/>
        </w:rPr>
        <w:t>各級</w:t>
      </w:r>
      <w:r>
        <w:rPr>
          <w:rFonts w:hint="eastAsia"/>
        </w:rPr>
        <w:t>法院積極辦理發還作業</w:t>
      </w:r>
      <w:r w:rsidR="006E1BBF">
        <w:rPr>
          <w:rFonts w:hAnsi="標楷體" w:hint="eastAsia"/>
        </w:rPr>
        <w:t>；</w:t>
      </w:r>
      <w:proofErr w:type="gramStart"/>
      <w:r>
        <w:rPr>
          <w:rFonts w:hint="eastAsia"/>
        </w:rPr>
        <w:t>惟</w:t>
      </w:r>
      <w:proofErr w:type="gramEnd"/>
      <w:r w:rsidR="006817B1">
        <w:rPr>
          <w:rFonts w:hint="eastAsia"/>
        </w:rPr>
        <w:t>依據</w:t>
      </w:r>
      <w:r w:rsidR="007B040E">
        <w:rPr>
          <w:rFonts w:hint="eastAsia"/>
        </w:rPr>
        <w:t>司法院秘書長103年12月26日</w:t>
      </w:r>
      <w:proofErr w:type="gramStart"/>
      <w:r w:rsidR="007B040E">
        <w:rPr>
          <w:rFonts w:hint="eastAsia"/>
        </w:rPr>
        <w:t>秘台廳刑</w:t>
      </w:r>
      <w:proofErr w:type="gramEnd"/>
      <w:r w:rsidR="007B040E">
        <w:rPr>
          <w:rFonts w:hint="eastAsia"/>
        </w:rPr>
        <w:t>一字第1030031905號</w:t>
      </w:r>
      <w:r w:rsidR="009621DE">
        <w:rPr>
          <w:rFonts w:hint="eastAsia"/>
        </w:rPr>
        <w:t>函及該</w:t>
      </w:r>
      <w:r w:rsidR="007B040E">
        <w:rPr>
          <w:rFonts w:hint="eastAsia"/>
        </w:rPr>
        <w:t>院刑事廳</w:t>
      </w:r>
      <w:proofErr w:type="gramStart"/>
      <w:r w:rsidR="007B040E">
        <w:rPr>
          <w:rFonts w:hint="eastAsia"/>
        </w:rPr>
        <w:t>104年4月27日廳刑一字</w:t>
      </w:r>
      <w:proofErr w:type="gramEnd"/>
      <w:r w:rsidR="007B040E">
        <w:rPr>
          <w:rFonts w:hint="eastAsia"/>
        </w:rPr>
        <w:t>第1040010105號函</w:t>
      </w:r>
      <w:r w:rsidR="000C07C8">
        <w:rPr>
          <w:rFonts w:hint="eastAsia"/>
        </w:rPr>
        <w:t>所示</w:t>
      </w:r>
      <w:r w:rsidR="006817B1">
        <w:rPr>
          <w:rFonts w:hint="eastAsia"/>
        </w:rPr>
        <w:t>，</w:t>
      </w:r>
      <w:r w:rsidR="00CA5588">
        <w:rPr>
          <w:rFonts w:hint="eastAsia"/>
        </w:rPr>
        <w:t>除臺灣高雄地方法院</w:t>
      </w:r>
      <w:r w:rsidR="00CA5588">
        <w:rPr>
          <w:rStyle w:val="af5"/>
        </w:rPr>
        <w:footnoteReference w:id="3"/>
      </w:r>
      <w:r w:rsidR="00CA5588">
        <w:rPr>
          <w:rFonts w:hint="eastAsia"/>
        </w:rPr>
        <w:t>及臺灣高等法院高雄分院</w:t>
      </w:r>
      <w:r w:rsidR="00CA5588">
        <w:rPr>
          <w:rStyle w:val="af5"/>
        </w:rPr>
        <w:footnoteReference w:id="4"/>
      </w:r>
      <w:r w:rsidR="00CA5588">
        <w:rPr>
          <w:rFonts w:hint="eastAsia"/>
        </w:rPr>
        <w:t>外</w:t>
      </w:r>
      <w:r w:rsidR="006817B1">
        <w:rPr>
          <w:rFonts w:hint="eastAsia"/>
        </w:rPr>
        <w:t>，</w:t>
      </w:r>
      <w:r w:rsidR="00E26FDF">
        <w:rPr>
          <w:rFonts w:hint="eastAsia"/>
        </w:rPr>
        <w:t>101年至103年10月間，93年以前</w:t>
      </w:r>
      <w:r w:rsidR="000C07C8">
        <w:rPr>
          <w:rFonts w:hint="eastAsia"/>
        </w:rPr>
        <w:t>之</w:t>
      </w:r>
      <w:r w:rsidR="00E26FDF">
        <w:rPr>
          <w:rFonts w:hint="eastAsia"/>
        </w:rPr>
        <w:t>案件</w:t>
      </w:r>
      <w:r w:rsidR="000C07C8">
        <w:rPr>
          <w:rFonts w:hint="eastAsia"/>
        </w:rPr>
        <w:t>經判決確定且已發還保證金者，</w:t>
      </w:r>
      <w:r w:rsidR="00E26FDF">
        <w:rPr>
          <w:rFonts w:hint="eastAsia"/>
        </w:rPr>
        <w:t>占該期間判決確定</w:t>
      </w:r>
      <w:r w:rsidR="000C07C8">
        <w:rPr>
          <w:rFonts w:hint="eastAsia"/>
        </w:rPr>
        <w:t>應發還保證金全部</w:t>
      </w:r>
      <w:r w:rsidR="00E26FDF">
        <w:rPr>
          <w:rFonts w:hint="eastAsia"/>
        </w:rPr>
        <w:t>案件之比率</w:t>
      </w:r>
      <w:r w:rsidR="001411BA">
        <w:rPr>
          <w:rFonts w:hint="eastAsia"/>
        </w:rPr>
        <w:t>(即發還率)</w:t>
      </w:r>
      <w:r w:rsidR="000C07C8">
        <w:rPr>
          <w:rFonts w:hint="eastAsia"/>
        </w:rPr>
        <w:t>最</w:t>
      </w:r>
      <w:r w:rsidR="00E26FDF">
        <w:rPr>
          <w:rFonts w:hint="eastAsia"/>
        </w:rPr>
        <w:t>低之</w:t>
      </w:r>
      <w:r w:rsidR="000C07C8">
        <w:rPr>
          <w:rFonts w:hint="eastAsia"/>
        </w:rPr>
        <w:t>3</w:t>
      </w:r>
      <w:r w:rsidR="00E26FDF">
        <w:rPr>
          <w:rFonts w:hint="eastAsia"/>
        </w:rPr>
        <w:t>法院，分別為臺灣士林地方法院</w:t>
      </w:r>
      <w:r w:rsidR="001411BA">
        <w:rPr>
          <w:rFonts w:hint="eastAsia"/>
        </w:rPr>
        <w:t>(1.61％)</w:t>
      </w:r>
      <w:r w:rsidR="00E26FDF">
        <w:rPr>
          <w:rFonts w:hint="eastAsia"/>
        </w:rPr>
        <w:t>、臺灣桃園地方法院</w:t>
      </w:r>
      <w:r w:rsidR="001411BA">
        <w:rPr>
          <w:rFonts w:hint="eastAsia"/>
        </w:rPr>
        <w:t>(</w:t>
      </w:r>
      <w:r w:rsidR="00146F72">
        <w:rPr>
          <w:rFonts w:hint="eastAsia"/>
        </w:rPr>
        <w:t>6.30％</w:t>
      </w:r>
      <w:r w:rsidR="001411BA">
        <w:rPr>
          <w:rFonts w:hint="eastAsia"/>
        </w:rPr>
        <w:t>)</w:t>
      </w:r>
      <w:r w:rsidR="00146F72">
        <w:rPr>
          <w:rFonts w:hint="eastAsia"/>
        </w:rPr>
        <w:t>及</w:t>
      </w:r>
      <w:r w:rsidR="00E43EED">
        <w:rPr>
          <w:rFonts w:hint="eastAsia"/>
        </w:rPr>
        <w:t>臺灣</w:t>
      </w:r>
      <w:r w:rsidR="00E26FDF">
        <w:rPr>
          <w:rFonts w:hint="eastAsia"/>
        </w:rPr>
        <w:t>花蓮地方法院</w:t>
      </w:r>
      <w:r w:rsidR="001411BA">
        <w:rPr>
          <w:rFonts w:hint="eastAsia"/>
        </w:rPr>
        <w:t>(</w:t>
      </w:r>
      <w:r w:rsidR="00E26FDF">
        <w:rPr>
          <w:rFonts w:hint="eastAsia"/>
        </w:rPr>
        <w:t>7.78％</w:t>
      </w:r>
      <w:r w:rsidR="001411BA">
        <w:rPr>
          <w:rFonts w:hint="eastAsia"/>
        </w:rPr>
        <w:t>)</w:t>
      </w:r>
      <w:r w:rsidR="00E43EED">
        <w:rPr>
          <w:rFonts w:hint="eastAsia"/>
        </w:rPr>
        <w:t>。另</w:t>
      </w:r>
      <w:r w:rsidR="000C19AD">
        <w:rPr>
          <w:rFonts w:hint="eastAsia"/>
        </w:rPr>
        <w:t>臺灣新北地方法院及臺灣基隆地方法院</w:t>
      </w:r>
      <w:r w:rsidR="001411BA">
        <w:rPr>
          <w:rFonts w:hint="eastAsia"/>
        </w:rPr>
        <w:t>之發還率</w:t>
      </w:r>
      <w:r w:rsidR="000C19AD">
        <w:rPr>
          <w:rFonts w:hint="eastAsia"/>
        </w:rPr>
        <w:t>亦僅20.42％及20.00％。</w:t>
      </w:r>
    </w:p>
    <w:p w:rsidR="00BB4141" w:rsidRDefault="00BB4141" w:rsidP="007308CA">
      <w:pPr>
        <w:pStyle w:val="3"/>
      </w:pPr>
      <w:r>
        <w:rPr>
          <w:rFonts w:hint="eastAsia"/>
        </w:rPr>
        <w:t>司法院提供本院104年2月3日</w:t>
      </w:r>
      <w:r w:rsidR="00046D35">
        <w:rPr>
          <w:rFonts w:hint="eastAsia"/>
        </w:rPr>
        <w:t>詢問</w:t>
      </w:r>
      <w:r>
        <w:rPr>
          <w:rFonts w:hint="eastAsia"/>
        </w:rPr>
        <w:t>之書面資料中，臺灣桃園地方法院</w:t>
      </w:r>
      <w:r w:rsidR="009904A5">
        <w:rPr>
          <w:rFonts w:hint="eastAsia"/>
        </w:rPr>
        <w:t>雖稱</w:t>
      </w:r>
      <w:r w:rsidR="004B4F21">
        <w:rPr>
          <w:rFonts w:hAnsi="標楷體" w:hint="eastAsia"/>
        </w:rPr>
        <w:t>：</w:t>
      </w:r>
      <w:r>
        <w:rPr>
          <w:rFonts w:hint="eastAsia"/>
        </w:rPr>
        <w:t>依應行注意事項（92年2月24日修正）規定，「經判決無罪、</w:t>
      </w:r>
      <w:proofErr w:type="gramStart"/>
      <w:r>
        <w:rPr>
          <w:rFonts w:hint="eastAsia"/>
        </w:rPr>
        <w:t>免訴</w:t>
      </w:r>
      <w:proofErr w:type="gramEnd"/>
      <w:r>
        <w:rPr>
          <w:rFonts w:hint="eastAsia"/>
        </w:rPr>
        <w:t>、免刑、緩刑、不受理確定之案件，被告於審判</w:t>
      </w:r>
      <w:proofErr w:type="gramStart"/>
      <w:r>
        <w:rPr>
          <w:rFonts w:hint="eastAsia"/>
        </w:rPr>
        <w:t>中繳有刑事</w:t>
      </w:r>
      <w:proofErr w:type="gramEnd"/>
      <w:r>
        <w:rPr>
          <w:rFonts w:hint="eastAsia"/>
        </w:rPr>
        <w:t>保證金者，應不待其聲請，於判決確定後，即日查卷辦理發還。」其餘不論係一審或上訴審判處有罪確定，由為有罪確定判決之法院將卷證函送檢察</w:t>
      </w:r>
      <w:r>
        <w:rPr>
          <w:rFonts w:hint="eastAsia"/>
        </w:rPr>
        <w:lastRenderedPageBreak/>
        <w:t>署執行，保證金部分則由檢察署執行時統籌處理。故</w:t>
      </w:r>
      <w:r w:rsidRPr="00CA3969">
        <w:rPr>
          <w:rFonts w:hAnsi="標楷體" w:cs="細明體" w:hint="eastAsia"/>
        </w:rPr>
        <w:t>清查93年以前案件中，33件可由</w:t>
      </w:r>
      <w:r>
        <w:rPr>
          <w:rFonts w:hAnsi="標楷體" w:cs="細明體" w:hint="eastAsia"/>
        </w:rPr>
        <w:t>該</w:t>
      </w:r>
      <w:r w:rsidRPr="00CA3969">
        <w:rPr>
          <w:rFonts w:hAnsi="標楷體" w:cs="細明體" w:hint="eastAsia"/>
        </w:rPr>
        <w:t>院發還，其餘491件為一審未結或已結未確定、上訴審未結或已結未確定、一二審有罪判決確定應送檢察署執行後由檢察署發還之案件</w:t>
      </w:r>
      <w:r w:rsidR="004B4F21">
        <w:rPr>
          <w:rFonts w:hAnsi="標楷體" w:cs="細明體" w:hint="eastAsia"/>
        </w:rPr>
        <w:t>等詞</w:t>
      </w:r>
      <w:r w:rsidRPr="00CA3969">
        <w:rPr>
          <w:rFonts w:hAnsi="標楷體" w:cs="細明體" w:hint="eastAsia"/>
        </w:rPr>
        <w:t>。</w:t>
      </w:r>
      <w:r w:rsidR="009904A5">
        <w:rPr>
          <w:rFonts w:hAnsi="標楷體" w:cs="細明體" w:hint="eastAsia"/>
        </w:rPr>
        <w:t>惟有罪判決定之案件，依據</w:t>
      </w:r>
      <w:r w:rsidR="009904A5">
        <w:rPr>
          <w:rFonts w:hint="eastAsia"/>
        </w:rPr>
        <w:t>業務注意事項第154點之規定，送檢察署執行後，</w:t>
      </w:r>
      <w:proofErr w:type="gramStart"/>
      <w:r w:rsidR="003155B1">
        <w:rPr>
          <w:rFonts w:hint="eastAsia"/>
        </w:rPr>
        <w:t>倘非由該署收受</w:t>
      </w:r>
      <w:proofErr w:type="gramEnd"/>
      <w:r w:rsidR="003155B1">
        <w:rPr>
          <w:rFonts w:hint="eastAsia"/>
        </w:rPr>
        <w:t>刑事保證金者，</w:t>
      </w:r>
      <w:proofErr w:type="gramStart"/>
      <w:r w:rsidR="003155B1">
        <w:rPr>
          <w:rFonts w:hint="eastAsia"/>
        </w:rPr>
        <w:t>該署係通知</w:t>
      </w:r>
      <w:proofErr w:type="gramEnd"/>
      <w:r w:rsidR="003155B1">
        <w:rPr>
          <w:rFonts w:hint="eastAsia"/>
        </w:rPr>
        <w:t>法院發還，尚非由地檢署發還，是以臺灣桃園地方法院之說辭容有誤解。</w:t>
      </w:r>
      <w:r w:rsidR="00243499">
        <w:rPr>
          <w:rFonts w:hAnsi="標楷體" w:cs="細明體" w:hint="eastAsia"/>
        </w:rPr>
        <w:t>又</w:t>
      </w:r>
      <w:r w:rsidR="00243499">
        <w:rPr>
          <w:rFonts w:hint="eastAsia"/>
        </w:rPr>
        <w:t>臺灣士林地方法院</w:t>
      </w:r>
      <w:r w:rsidR="003155B1">
        <w:rPr>
          <w:rFonts w:hint="eastAsia"/>
        </w:rPr>
        <w:t>稱</w:t>
      </w:r>
      <w:r w:rsidR="00243499">
        <w:rPr>
          <w:rFonts w:hint="eastAsia"/>
        </w:rPr>
        <w:t>，</w:t>
      </w:r>
      <w:r w:rsidR="00243499" w:rsidRPr="00CA3969">
        <w:rPr>
          <w:rFonts w:hAnsi="標楷體" w:hint="eastAsia"/>
        </w:rPr>
        <w:t>101年至103年10月</w:t>
      </w:r>
      <w:r w:rsidR="00243499">
        <w:rPr>
          <w:rFonts w:hAnsi="標楷體" w:hint="eastAsia"/>
        </w:rPr>
        <w:t>間，該</w:t>
      </w:r>
      <w:proofErr w:type="gramStart"/>
      <w:r w:rsidR="00243499" w:rsidRPr="00CA3969">
        <w:rPr>
          <w:rFonts w:hAnsi="標楷體" w:hint="eastAsia"/>
        </w:rPr>
        <w:t>院均未接獲</w:t>
      </w:r>
      <w:proofErr w:type="gramEnd"/>
      <w:r w:rsidR="00243499" w:rsidRPr="00CA3969">
        <w:rPr>
          <w:rFonts w:hAnsi="標楷體" w:hint="eastAsia"/>
        </w:rPr>
        <w:t>臺灣士林地方法院檢察署聲請發還93年以前案件刑事保證金之通知，該期間內唯一發還之1件刑事保證金，係已准予發還案件，經</w:t>
      </w:r>
      <w:r w:rsidR="00243499">
        <w:rPr>
          <w:rFonts w:hAnsi="標楷體" w:hint="eastAsia"/>
        </w:rPr>
        <w:t>該</w:t>
      </w:r>
      <w:r w:rsidR="00243499" w:rsidRPr="00CA3969">
        <w:rPr>
          <w:rFonts w:hAnsi="標楷體" w:hint="eastAsia"/>
        </w:rPr>
        <w:t>院多次發函通知具保人，具保人才到院領取保證金</w:t>
      </w:r>
      <w:r w:rsidR="003155B1">
        <w:rPr>
          <w:rFonts w:hAnsi="標楷體" w:hint="eastAsia"/>
        </w:rPr>
        <w:t>等語，</w:t>
      </w:r>
      <w:r w:rsidR="004C2ADC">
        <w:rPr>
          <w:rFonts w:hAnsi="標楷體" w:hint="eastAsia"/>
        </w:rPr>
        <w:t>惟依</w:t>
      </w:r>
      <w:r w:rsidR="004C2ADC">
        <w:rPr>
          <w:rFonts w:hint="eastAsia"/>
        </w:rPr>
        <w:t>該業務注意事項第154點規定，該院</w:t>
      </w:r>
      <w:r w:rsidR="004B4F21">
        <w:rPr>
          <w:rFonts w:hint="eastAsia"/>
        </w:rPr>
        <w:t>雖</w:t>
      </w:r>
      <w:r w:rsidR="003155B1">
        <w:rPr>
          <w:rFonts w:hAnsi="標楷體" w:hint="eastAsia"/>
        </w:rPr>
        <w:t>未接獲地檢署之通知，</w:t>
      </w:r>
      <w:r w:rsidR="004B4F21">
        <w:rPr>
          <w:rFonts w:hAnsi="標楷體" w:hint="eastAsia"/>
        </w:rPr>
        <w:t>仍</w:t>
      </w:r>
      <w:r w:rsidR="004C2ADC" w:rsidRPr="00BF335D">
        <w:rPr>
          <w:rFonts w:hint="eastAsia"/>
        </w:rPr>
        <w:t>可向該</w:t>
      </w:r>
      <w:r w:rsidR="003155B1" w:rsidRPr="00BF335D">
        <w:rPr>
          <w:rFonts w:hint="eastAsia"/>
        </w:rPr>
        <w:t>署調卷查明</w:t>
      </w:r>
      <w:r w:rsidR="003155B1">
        <w:rPr>
          <w:rFonts w:hint="eastAsia"/>
        </w:rPr>
        <w:t>確認，</w:t>
      </w:r>
      <w:r w:rsidR="004C2ADC">
        <w:rPr>
          <w:rFonts w:hint="eastAsia"/>
        </w:rPr>
        <w:t>是</w:t>
      </w:r>
      <w:proofErr w:type="gramStart"/>
      <w:r w:rsidR="004C2ADC">
        <w:rPr>
          <w:rFonts w:hint="eastAsia"/>
        </w:rPr>
        <w:t>以</w:t>
      </w:r>
      <w:proofErr w:type="gramEnd"/>
      <w:r w:rsidR="004C2ADC">
        <w:rPr>
          <w:rFonts w:hint="eastAsia"/>
        </w:rPr>
        <w:t>，該院清理久懸刑事保證金有欠積極。</w:t>
      </w:r>
    </w:p>
    <w:p w:rsidR="006939F0" w:rsidRPr="00BA7AD9" w:rsidRDefault="006939F0" w:rsidP="007308CA">
      <w:pPr>
        <w:pStyle w:val="3"/>
      </w:pPr>
      <w:r>
        <w:rPr>
          <w:rFonts w:hint="eastAsia"/>
        </w:rPr>
        <w:t>綜上，</w:t>
      </w:r>
      <w:r w:rsidR="001C0DB8">
        <w:rPr>
          <w:rFonts w:hint="eastAsia"/>
        </w:rPr>
        <w:t>101年至103年10月</w:t>
      </w:r>
      <w:r w:rsidR="00AB09EB">
        <w:rPr>
          <w:rFonts w:hint="eastAsia"/>
        </w:rPr>
        <w:t>間</w:t>
      </w:r>
      <w:r w:rsidR="00EC50FC">
        <w:rPr>
          <w:rFonts w:hint="eastAsia"/>
        </w:rPr>
        <w:t>，</w:t>
      </w:r>
      <w:r w:rsidR="00AB09EB">
        <w:rPr>
          <w:rFonts w:hint="eastAsia"/>
        </w:rPr>
        <w:t>部分法院</w:t>
      </w:r>
      <w:r w:rsidR="00EC50FC">
        <w:rPr>
          <w:rFonts w:hint="eastAsia"/>
        </w:rPr>
        <w:t>清理判定</w:t>
      </w:r>
      <w:proofErr w:type="gramStart"/>
      <w:r w:rsidR="00EC50FC">
        <w:rPr>
          <w:rFonts w:hint="eastAsia"/>
        </w:rPr>
        <w:t>確決且</w:t>
      </w:r>
      <w:proofErr w:type="gramEnd"/>
      <w:r w:rsidR="00EC50FC">
        <w:rPr>
          <w:rFonts w:hint="eastAsia"/>
        </w:rPr>
        <w:t>為93年以前案件之刑事保證金結果，</w:t>
      </w:r>
      <w:r w:rsidR="00AB09EB">
        <w:rPr>
          <w:rFonts w:hint="eastAsia"/>
        </w:rPr>
        <w:t>仍有發還件數占該期間判決確定件數不及</w:t>
      </w:r>
      <w:r w:rsidR="00A97490">
        <w:rPr>
          <w:rFonts w:hint="eastAsia"/>
        </w:rPr>
        <w:t>一</w:t>
      </w:r>
      <w:r w:rsidR="00AB09EB">
        <w:rPr>
          <w:rFonts w:hint="eastAsia"/>
        </w:rPr>
        <w:t>成或僅約</w:t>
      </w:r>
      <w:r w:rsidR="00A97490">
        <w:rPr>
          <w:rFonts w:hint="eastAsia"/>
        </w:rPr>
        <w:t>二</w:t>
      </w:r>
      <w:r w:rsidR="00AB09EB">
        <w:rPr>
          <w:rFonts w:hint="eastAsia"/>
        </w:rPr>
        <w:t>成之情事，</w:t>
      </w:r>
      <w:r w:rsidR="00B27741">
        <w:rPr>
          <w:rFonts w:hint="eastAsia"/>
        </w:rPr>
        <w:t>顯見部分法</w:t>
      </w:r>
      <w:r w:rsidR="008948B0">
        <w:rPr>
          <w:rFonts w:hint="eastAsia"/>
        </w:rPr>
        <w:t>院</w:t>
      </w:r>
      <w:r w:rsidR="00B27741">
        <w:rPr>
          <w:rFonts w:hint="eastAsia"/>
        </w:rPr>
        <w:t>清理久懸刑事保證金有欠積極，</w:t>
      </w:r>
      <w:r w:rsidR="00AB09EB">
        <w:rPr>
          <w:rFonts w:hint="eastAsia"/>
        </w:rPr>
        <w:t>致</w:t>
      </w:r>
      <w:r w:rsidR="00AC0FE3">
        <w:rPr>
          <w:rFonts w:hint="eastAsia"/>
        </w:rPr>
        <w:t>成效欠佳</w:t>
      </w:r>
      <w:r w:rsidR="00AB09EB">
        <w:rPr>
          <w:rFonts w:hint="eastAsia"/>
        </w:rPr>
        <w:t>，影響應受發還人之權益，核有不當</w:t>
      </w:r>
      <w:r w:rsidR="00AC0FE3">
        <w:rPr>
          <w:rFonts w:hint="eastAsia"/>
        </w:rPr>
        <w:t>。</w:t>
      </w:r>
    </w:p>
    <w:p w:rsidR="001159A9" w:rsidRDefault="00AF54F9" w:rsidP="005E5DC6">
      <w:pPr>
        <w:pStyle w:val="2"/>
      </w:pPr>
      <w:r w:rsidRPr="004B4F21">
        <w:rPr>
          <w:rFonts w:hint="eastAsia"/>
          <w:b/>
        </w:rPr>
        <w:t>刑事訴訟法第119條之1</w:t>
      </w:r>
      <w:r w:rsidR="004B4F21">
        <w:rPr>
          <w:rFonts w:hint="eastAsia"/>
          <w:b/>
        </w:rPr>
        <w:t>增訂</w:t>
      </w:r>
      <w:r w:rsidRPr="004B4F21">
        <w:rPr>
          <w:rFonts w:hint="eastAsia"/>
          <w:b/>
        </w:rPr>
        <w:t>施行</w:t>
      </w:r>
      <w:r w:rsidR="00B020E6" w:rsidRPr="004B4F21">
        <w:rPr>
          <w:rFonts w:hint="eastAsia"/>
          <w:b/>
        </w:rPr>
        <w:t>後，各級法院</w:t>
      </w:r>
      <w:r w:rsidR="001159A9" w:rsidRPr="004B4F21">
        <w:rPr>
          <w:rFonts w:hint="eastAsia"/>
          <w:b/>
        </w:rPr>
        <w:t>依「刑事保證金</w:t>
      </w:r>
      <w:proofErr w:type="gramStart"/>
      <w:r w:rsidR="001159A9" w:rsidRPr="004B4F21">
        <w:rPr>
          <w:rFonts w:hint="eastAsia"/>
          <w:b/>
        </w:rPr>
        <w:t>存管計</w:t>
      </w:r>
      <w:proofErr w:type="gramEnd"/>
      <w:r w:rsidR="001159A9" w:rsidRPr="004B4F21">
        <w:rPr>
          <w:rFonts w:hint="eastAsia"/>
          <w:b/>
        </w:rPr>
        <w:t>息及發還作業辦法」辦理發還刑事保證金</w:t>
      </w:r>
      <w:r w:rsidR="00B020E6" w:rsidRPr="004B4F21">
        <w:rPr>
          <w:rFonts w:hint="eastAsia"/>
          <w:b/>
        </w:rPr>
        <w:t>，</w:t>
      </w:r>
      <w:r w:rsidR="00D0085B" w:rsidRPr="004B4F21">
        <w:rPr>
          <w:rFonts w:hint="eastAsia"/>
          <w:b/>
        </w:rPr>
        <w:t>依部分法院之說明，</w:t>
      </w:r>
      <w:r w:rsidR="001159A9" w:rsidRPr="004B4F21">
        <w:rPr>
          <w:rFonts w:hint="eastAsia"/>
          <w:b/>
        </w:rPr>
        <w:t>實務上</w:t>
      </w:r>
      <w:r w:rsidR="00B020E6" w:rsidRPr="004B4F21">
        <w:rPr>
          <w:rFonts w:hint="eastAsia"/>
          <w:b/>
        </w:rPr>
        <w:t>仍存有</w:t>
      </w:r>
      <w:r w:rsidR="001159A9" w:rsidRPr="004B4F21">
        <w:rPr>
          <w:rFonts w:hint="eastAsia"/>
          <w:b/>
        </w:rPr>
        <w:t>困難</w:t>
      </w:r>
      <w:r w:rsidR="00B020E6" w:rsidRPr="004B4F21">
        <w:rPr>
          <w:rFonts w:hint="eastAsia"/>
          <w:b/>
        </w:rPr>
        <w:t>，</w:t>
      </w:r>
      <w:proofErr w:type="gramStart"/>
      <w:r w:rsidR="00B020E6" w:rsidRPr="004B4F21">
        <w:rPr>
          <w:rFonts w:hint="eastAsia"/>
          <w:b/>
        </w:rPr>
        <w:t>司法院允宜</w:t>
      </w:r>
      <w:proofErr w:type="gramEnd"/>
      <w:r w:rsidR="00EC13B6" w:rsidRPr="004B4F21">
        <w:rPr>
          <w:rFonts w:hint="eastAsia"/>
          <w:b/>
        </w:rPr>
        <w:t>再</w:t>
      </w:r>
      <w:r w:rsidR="004B4F21">
        <w:rPr>
          <w:rFonts w:hint="eastAsia"/>
          <w:b/>
        </w:rPr>
        <w:t>深入</w:t>
      </w:r>
      <w:proofErr w:type="gramStart"/>
      <w:r w:rsidR="004B4F21">
        <w:rPr>
          <w:rFonts w:hint="eastAsia"/>
          <w:b/>
        </w:rPr>
        <w:t>研</w:t>
      </w:r>
      <w:proofErr w:type="gramEnd"/>
      <w:r w:rsidR="00EC13B6" w:rsidRPr="004B4F21">
        <w:rPr>
          <w:rFonts w:hint="eastAsia"/>
          <w:b/>
        </w:rPr>
        <w:t>酌檢討修正；另</w:t>
      </w:r>
      <w:r w:rsidR="00D0085B" w:rsidRPr="004B4F21">
        <w:rPr>
          <w:rFonts w:hint="eastAsia"/>
          <w:b/>
        </w:rPr>
        <w:t>對於有</w:t>
      </w:r>
      <w:r w:rsidR="00EC13B6" w:rsidRPr="004B4F21">
        <w:rPr>
          <w:rFonts w:hint="eastAsia"/>
          <w:b/>
        </w:rPr>
        <w:t>影響具保人權益之虞者，應善盡查證之方式，</w:t>
      </w:r>
      <w:r w:rsidR="00A4435A" w:rsidRPr="004B4F21">
        <w:rPr>
          <w:rFonts w:hint="eastAsia"/>
          <w:b/>
        </w:rPr>
        <w:t>其查證亦宜有「稽核」機制，以</w:t>
      </w:r>
      <w:r w:rsidR="00EC13B6" w:rsidRPr="004B4F21">
        <w:rPr>
          <w:rFonts w:hint="eastAsia"/>
          <w:b/>
        </w:rPr>
        <w:t>避免日後發生紛爭</w:t>
      </w:r>
      <w:r w:rsidR="00C4342E">
        <w:rPr>
          <w:rFonts w:hint="eastAsia"/>
        </w:rPr>
        <w:t>：</w:t>
      </w:r>
    </w:p>
    <w:p w:rsidR="00DE7C94" w:rsidRPr="00AF583F" w:rsidRDefault="00DB43BF" w:rsidP="00DE7C94">
      <w:pPr>
        <w:pStyle w:val="3"/>
        <w:rPr>
          <w:lang w:val="zh-TW"/>
        </w:rPr>
      </w:pPr>
      <w:r>
        <w:rPr>
          <w:rFonts w:hint="eastAsia"/>
          <w:lang w:val="zh-TW"/>
        </w:rPr>
        <w:t>按</w:t>
      </w:r>
      <w:r w:rsidR="00FA5908" w:rsidRPr="00AF583F">
        <w:rPr>
          <w:rFonts w:hint="eastAsia"/>
          <w:lang w:val="zh-TW"/>
        </w:rPr>
        <w:t>刑事訴訟法第119條之1規定：「</w:t>
      </w:r>
      <w:r w:rsidR="00FA5908">
        <w:rPr>
          <w:rFonts w:hint="eastAsia"/>
        </w:rPr>
        <w:t>以現金繳納保</w:t>
      </w:r>
      <w:r w:rsidR="00FA5908">
        <w:rPr>
          <w:rFonts w:hint="eastAsia"/>
        </w:rPr>
        <w:lastRenderedPageBreak/>
        <w:t>證金具保者，保證金應給付利息，並於依前條第3項規定發還時，實收利息併發還之。其應受發還人所在不明，或因其他事故不能發還者，法院或檢察官應公告之；自公告之日起滿10年，無人聲請發還者，歸屬國庫。依第118條規定沒入保證金時，實收利息</w:t>
      </w:r>
      <w:proofErr w:type="gramStart"/>
      <w:r w:rsidR="00FA5908">
        <w:rPr>
          <w:rFonts w:hint="eastAsia"/>
        </w:rPr>
        <w:t>併</w:t>
      </w:r>
      <w:proofErr w:type="gramEnd"/>
      <w:r w:rsidR="00FA5908">
        <w:rPr>
          <w:rFonts w:hint="eastAsia"/>
        </w:rPr>
        <w:t>沒入之。刑事</w:t>
      </w:r>
      <w:proofErr w:type="gramStart"/>
      <w:r w:rsidR="00FA5908">
        <w:rPr>
          <w:rFonts w:hint="eastAsia"/>
        </w:rPr>
        <w:t>保證金存管</w:t>
      </w:r>
      <w:proofErr w:type="gramEnd"/>
      <w:r w:rsidR="00FA5908">
        <w:rPr>
          <w:rFonts w:hint="eastAsia"/>
        </w:rPr>
        <w:t>、計息及發還作業辦法，由司法院會同行政院定之。</w:t>
      </w:r>
      <w:r w:rsidR="00FA5908" w:rsidRPr="00AF583F">
        <w:rPr>
          <w:rFonts w:hint="eastAsia"/>
        </w:rPr>
        <w:t>」</w:t>
      </w:r>
      <w:r w:rsidR="00AF583F" w:rsidRPr="00AF583F">
        <w:rPr>
          <w:rFonts w:hint="eastAsia"/>
        </w:rPr>
        <w:t>刑事訴訟法施行法第7條</w:t>
      </w:r>
      <w:r w:rsidR="009A31FB">
        <w:rPr>
          <w:rFonts w:hint="eastAsia"/>
        </w:rPr>
        <w:t>之7</w:t>
      </w:r>
      <w:r w:rsidR="00AF583F" w:rsidRPr="00AF583F">
        <w:rPr>
          <w:rFonts w:hint="eastAsia"/>
        </w:rPr>
        <w:t>規定：「中華民國</w:t>
      </w:r>
      <w:r w:rsidR="009A31FB">
        <w:rPr>
          <w:rFonts w:hint="eastAsia"/>
        </w:rPr>
        <w:t>103</w:t>
      </w:r>
      <w:r w:rsidR="00AF583F" w:rsidRPr="00AF583F">
        <w:rPr>
          <w:rFonts w:hint="eastAsia"/>
        </w:rPr>
        <w:t>年</w:t>
      </w:r>
      <w:r w:rsidR="009A31FB">
        <w:rPr>
          <w:rFonts w:hint="eastAsia"/>
        </w:rPr>
        <w:t>5</w:t>
      </w:r>
      <w:r w:rsidR="00AF583F" w:rsidRPr="00AF583F">
        <w:rPr>
          <w:rFonts w:hint="eastAsia"/>
        </w:rPr>
        <w:t>月</w:t>
      </w:r>
      <w:r w:rsidR="009A31FB">
        <w:rPr>
          <w:rFonts w:hint="eastAsia"/>
        </w:rPr>
        <w:t>30</w:t>
      </w:r>
      <w:r w:rsidR="00AF583F" w:rsidRPr="00AF583F">
        <w:rPr>
          <w:rFonts w:hint="eastAsia"/>
        </w:rPr>
        <w:t>日修正通過之刑事訴訟法第</w:t>
      </w:r>
      <w:r w:rsidR="009A31FB">
        <w:rPr>
          <w:rFonts w:hint="eastAsia"/>
        </w:rPr>
        <w:t>119</w:t>
      </w:r>
      <w:r w:rsidR="00AF583F" w:rsidRPr="00AF583F">
        <w:rPr>
          <w:rFonts w:hint="eastAsia"/>
        </w:rPr>
        <w:t>條之</w:t>
      </w:r>
      <w:r w:rsidR="009A31FB">
        <w:rPr>
          <w:rFonts w:hint="eastAsia"/>
        </w:rPr>
        <w:t>1</w:t>
      </w:r>
      <w:r w:rsidR="00AF583F" w:rsidRPr="00AF583F">
        <w:rPr>
          <w:rFonts w:hint="eastAsia"/>
        </w:rPr>
        <w:t>，自修正公布後</w:t>
      </w:r>
      <w:r w:rsidR="009A31FB">
        <w:rPr>
          <w:rFonts w:hint="eastAsia"/>
        </w:rPr>
        <w:t>6</w:t>
      </w:r>
      <w:r w:rsidR="00AF583F" w:rsidRPr="00AF583F">
        <w:rPr>
          <w:rFonts w:hint="eastAsia"/>
        </w:rPr>
        <w:t>個月施行。自繳納之翌日起至前項所定施行之日止已逾</w:t>
      </w:r>
      <w:r w:rsidR="009A31FB">
        <w:rPr>
          <w:rFonts w:hint="eastAsia"/>
        </w:rPr>
        <w:t>10</w:t>
      </w:r>
      <w:r w:rsidR="00AF583F" w:rsidRPr="00AF583F">
        <w:rPr>
          <w:rFonts w:hint="eastAsia"/>
        </w:rPr>
        <w:t>年之刑事保證金，於本法施行後經公告領取者，自公告之日起已滿</w:t>
      </w:r>
      <w:r w:rsidR="009A31FB">
        <w:rPr>
          <w:rFonts w:hint="eastAsia"/>
        </w:rPr>
        <w:t>2</w:t>
      </w:r>
      <w:r w:rsidR="00AF583F" w:rsidRPr="00AF583F">
        <w:rPr>
          <w:rFonts w:hint="eastAsia"/>
        </w:rPr>
        <w:t>年，無人聲請發還者，歸屬國庫。自繳納之翌日起至第</w:t>
      </w:r>
      <w:r w:rsidR="009A31FB">
        <w:rPr>
          <w:rFonts w:hint="eastAsia"/>
        </w:rPr>
        <w:t>1</w:t>
      </w:r>
      <w:r w:rsidR="00AF583F" w:rsidRPr="00AF583F">
        <w:rPr>
          <w:rFonts w:hint="eastAsia"/>
        </w:rPr>
        <w:t>項所定施行之日止未逾</w:t>
      </w:r>
      <w:r w:rsidR="009A31FB">
        <w:rPr>
          <w:rFonts w:hint="eastAsia"/>
        </w:rPr>
        <w:t>10</w:t>
      </w:r>
      <w:r w:rsidR="00AF583F" w:rsidRPr="00AF583F">
        <w:rPr>
          <w:rFonts w:hint="eastAsia"/>
        </w:rPr>
        <w:t>年之刑事保證金，於本法施行後經公告領取者，適用刑事訴訟法第</w:t>
      </w:r>
      <w:r w:rsidR="009A31FB">
        <w:rPr>
          <w:rFonts w:hint="eastAsia"/>
        </w:rPr>
        <w:t>119</w:t>
      </w:r>
      <w:r w:rsidR="00AF583F" w:rsidRPr="00AF583F">
        <w:rPr>
          <w:rFonts w:hint="eastAsia"/>
        </w:rPr>
        <w:t>條之</w:t>
      </w:r>
      <w:r w:rsidR="009A31FB">
        <w:rPr>
          <w:rFonts w:hint="eastAsia"/>
        </w:rPr>
        <w:t>1</w:t>
      </w:r>
      <w:r w:rsidR="00AF583F" w:rsidRPr="00AF583F">
        <w:rPr>
          <w:rFonts w:hint="eastAsia"/>
        </w:rPr>
        <w:t>第</w:t>
      </w:r>
      <w:r w:rsidR="009A31FB">
        <w:rPr>
          <w:rFonts w:hint="eastAsia"/>
        </w:rPr>
        <w:t>1</w:t>
      </w:r>
      <w:r w:rsidR="00AF583F" w:rsidRPr="00AF583F">
        <w:rPr>
          <w:rFonts w:hint="eastAsia"/>
        </w:rPr>
        <w:t>項後段之規定。</w:t>
      </w:r>
      <w:r w:rsidR="00AF583F" w:rsidRPr="00AF583F">
        <w:rPr>
          <w:rFonts w:hint="eastAsia"/>
          <w:lang w:val="zh-TW"/>
        </w:rPr>
        <w:t>」</w:t>
      </w:r>
      <w:r w:rsidR="00FD62A3" w:rsidRPr="00AF583F">
        <w:rPr>
          <w:rFonts w:hint="eastAsia"/>
          <w:lang w:val="zh-TW"/>
        </w:rPr>
        <w:t>刑事保證金</w:t>
      </w:r>
      <w:proofErr w:type="gramStart"/>
      <w:r w:rsidR="00FD62A3" w:rsidRPr="00AF583F">
        <w:rPr>
          <w:rFonts w:hint="eastAsia"/>
          <w:lang w:val="zh-TW"/>
        </w:rPr>
        <w:t>存管計</w:t>
      </w:r>
      <w:proofErr w:type="gramEnd"/>
      <w:r w:rsidR="00FD62A3" w:rsidRPr="00AF583F">
        <w:rPr>
          <w:rFonts w:hint="eastAsia"/>
          <w:lang w:val="zh-TW"/>
        </w:rPr>
        <w:t>息及發還作業辦法</w:t>
      </w:r>
      <w:r w:rsidR="00DE7C94" w:rsidRPr="00AF583F">
        <w:rPr>
          <w:rFonts w:hint="eastAsia"/>
          <w:lang w:val="zh-TW"/>
        </w:rPr>
        <w:t>第8條第4項規定：「</w:t>
      </w:r>
      <w:r w:rsidR="00DE7C94">
        <w:rPr>
          <w:rFonts w:hint="eastAsia"/>
        </w:rPr>
        <w:t>經判決有罪確定移送檢察機關執行之案件，法院自裁判確定移送執行之日起，逾</w:t>
      </w:r>
      <w:r w:rsidR="009A31FB">
        <w:rPr>
          <w:rFonts w:hint="eastAsia"/>
        </w:rPr>
        <w:t>1</w:t>
      </w:r>
      <w:r w:rsidR="00DE7C94">
        <w:rPr>
          <w:rFonts w:hint="eastAsia"/>
        </w:rPr>
        <w:t>年未接獲檢察機關通知者，應主動函</w:t>
      </w:r>
      <w:proofErr w:type="gramStart"/>
      <w:r w:rsidR="00DE7C94">
        <w:rPr>
          <w:rFonts w:hint="eastAsia"/>
        </w:rPr>
        <w:t>詢</w:t>
      </w:r>
      <w:proofErr w:type="gramEnd"/>
      <w:r w:rsidR="00DE7C94">
        <w:rPr>
          <w:rFonts w:hint="eastAsia"/>
        </w:rPr>
        <w:t>檢察機關得否發還刑事保證金、利息。</w:t>
      </w:r>
      <w:r w:rsidR="00DE7C94" w:rsidRPr="00AF583F">
        <w:rPr>
          <w:rFonts w:hint="eastAsia"/>
          <w:lang w:val="zh-TW"/>
        </w:rPr>
        <w:t>」同辦法第19條規定：「法院或檢察機關辦理發還刑事保證金、利息，應受發還人所在不明，或因其他事故不能發還者之公告，應載明『自公告之日起滿10年，無人聲請發還者，刑事保證金及利息歸屬國庫』。前項公告，於本法第119條之1施行前，繳納已逾10年之刑事保證金者，應載明『自公告之日起已滿2年，無人聲請發還者，刑事保證金及利息歸屬國庫』。前二項公告期間為20日；公告應張貼於法院或檢察機關</w:t>
      </w:r>
      <w:proofErr w:type="gramStart"/>
      <w:r w:rsidR="00DE7C94" w:rsidRPr="00AF583F">
        <w:rPr>
          <w:rFonts w:hint="eastAsia"/>
          <w:lang w:val="zh-TW"/>
        </w:rPr>
        <w:t>牌示處</w:t>
      </w:r>
      <w:proofErr w:type="gramEnd"/>
      <w:r w:rsidR="00DE7C94" w:rsidRPr="00AF583F">
        <w:rPr>
          <w:rFonts w:hint="eastAsia"/>
          <w:lang w:val="zh-TW"/>
        </w:rPr>
        <w:t>，並登載公報、新聞紙或以其他適當方法將公告內容廣泛周知。」</w:t>
      </w:r>
    </w:p>
    <w:p w:rsidR="00814440" w:rsidRPr="00814440" w:rsidRDefault="00DB43BF" w:rsidP="00D0085B">
      <w:pPr>
        <w:pStyle w:val="3"/>
        <w:rPr>
          <w:rFonts w:hAnsi="標楷體" w:cs="標楷體"/>
          <w:lang w:val="zh-TW"/>
        </w:rPr>
      </w:pPr>
      <w:r>
        <w:rPr>
          <w:rFonts w:hint="eastAsia"/>
        </w:rPr>
        <w:lastRenderedPageBreak/>
        <w:t>查</w:t>
      </w:r>
      <w:r w:rsidR="00814440">
        <w:rPr>
          <w:rFonts w:hint="eastAsia"/>
        </w:rPr>
        <w:t>刑事訴訟法第119條之1施行日（103年12月18日）各級法院保管及暫繳國庫刑事保證金總計15,422件，36億2,214萬8,069元，扣除臺灣高雄地方法院無法</w:t>
      </w:r>
      <w:proofErr w:type="gramStart"/>
      <w:r w:rsidR="00814440">
        <w:rPr>
          <w:rFonts w:hint="eastAsia"/>
        </w:rPr>
        <w:t>釐</w:t>
      </w:r>
      <w:proofErr w:type="gramEnd"/>
      <w:r w:rsidR="00814440">
        <w:rPr>
          <w:rFonts w:hint="eastAsia"/>
        </w:rPr>
        <w:t>清其保管之2,</w:t>
      </w:r>
      <w:proofErr w:type="gramStart"/>
      <w:r w:rsidR="00814440">
        <w:rPr>
          <w:rFonts w:hint="eastAsia"/>
        </w:rPr>
        <w:t>267件</w:t>
      </w:r>
      <w:r w:rsidR="004B4F21">
        <w:rPr>
          <w:rFonts w:hint="eastAsia"/>
        </w:rPr>
        <w:t>究</w:t>
      </w:r>
      <w:proofErr w:type="gramEnd"/>
      <w:r w:rsidR="00814440">
        <w:rPr>
          <w:rFonts w:hint="eastAsia"/>
        </w:rPr>
        <w:t>屬判決確定與否之案件外，其餘各級法院保管及暫繳國庫刑事保證金件數共計13,155件</w:t>
      </w:r>
      <w:r w:rsidR="00FB2EC9">
        <w:rPr>
          <w:rFonts w:hint="eastAsia"/>
        </w:rPr>
        <w:t>（34億3,743萬6,598元）</w:t>
      </w:r>
      <w:r w:rsidR="00814440">
        <w:rPr>
          <w:rFonts w:hint="eastAsia"/>
        </w:rPr>
        <w:t>，其中，屬判決確定者為5,422件（6億</w:t>
      </w:r>
      <w:r w:rsidR="00FB2EC9">
        <w:rPr>
          <w:rFonts w:hint="eastAsia"/>
        </w:rPr>
        <w:t>3,640萬4,380元</w:t>
      </w:r>
      <w:r w:rsidR="00814440">
        <w:rPr>
          <w:rFonts w:hint="eastAsia"/>
        </w:rPr>
        <w:t>），占該13,155件之41.2</w:t>
      </w:r>
      <w:r>
        <w:rPr>
          <w:rFonts w:hint="eastAsia"/>
        </w:rPr>
        <w:t>2</w:t>
      </w:r>
      <w:r w:rsidR="00814440">
        <w:rPr>
          <w:rFonts w:hint="eastAsia"/>
        </w:rPr>
        <w:t>％。而保管及暫繳國庫</w:t>
      </w:r>
      <w:r w:rsidR="002A29F9">
        <w:rPr>
          <w:rFonts w:hint="eastAsia"/>
        </w:rPr>
        <w:t>案件屬判決確定</w:t>
      </w:r>
      <w:r w:rsidR="00814440">
        <w:rPr>
          <w:rFonts w:hint="eastAsia"/>
        </w:rPr>
        <w:t>件數前</w:t>
      </w:r>
      <w:r w:rsidR="00A97490">
        <w:rPr>
          <w:rFonts w:hint="eastAsia"/>
        </w:rPr>
        <w:t>三</w:t>
      </w:r>
      <w:r w:rsidR="00814440">
        <w:rPr>
          <w:rFonts w:hint="eastAsia"/>
        </w:rPr>
        <w:t>高之法院分別為臺灣新北地方法院1,516件（1億365萬7,100元）、臺灣桃園地方法院981件（6,979萬7,700元）及臺灣</w:t>
      </w:r>
      <w:proofErr w:type="gramStart"/>
      <w:r w:rsidR="00814440">
        <w:rPr>
          <w:rFonts w:hint="eastAsia"/>
        </w:rPr>
        <w:t>臺</w:t>
      </w:r>
      <w:proofErr w:type="gramEnd"/>
      <w:r w:rsidR="00814440">
        <w:rPr>
          <w:rFonts w:hint="eastAsia"/>
        </w:rPr>
        <w:t>北地方法院954件（2億4,817萬7,650元）。</w:t>
      </w:r>
      <w:r w:rsidR="002A29F9">
        <w:rPr>
          <w:rFonts w:hint="eastAsia"/>
        </w:rPr>
        <w:t>至於屬判決確定金額前</w:t>
      </w:r>
      <w:r w:rsidR="005E1B83">
        <w:rPr>
          <w:rFonts w:hint="eastAsia"/>
        </w:rPr>
        <w:t>三</w:t>
      </w:r>
      <w:r w:rsidR="002A29F9">
        <w:rPr>
          <w:rFonts w:hint="eastAsia"/>
        </w:rPr>
        <w:t>高之法院分別為臺灣</w:t>
      </w:r>
      <w:proofErr w:type="gramStart"/>
      <w:r w:rsidR="002A29F9">
        <w:rPr>
          <w:rFonts w:hint="eastAsia"/>
        </w:rPr>
        <w:t>臺</w:t>
      </w:r>
      <w:proofErr w:type="gramEnd"/>
      <w:r w:rsidR="002A29F9">
        <w:rPr>
          <w:rFonts w:hint="eastAsia"/>
        </w:rPr>
        <w:t>北地方法院2億4,817萬7,650元、臺灣士林地方法院1億1,939萬5,700元及臺灣新北地方法院1億365萬7,100元。</w:t>
      </w:r>
    </w:p>
    <w:p w:rsidR="00D0085B" w:rsidRPr="0071135E" w:rsidRDefault="00D0085B" w:rsidP="00C4342E">
      <w:pPr>
        <w:pStyle w:val="3"/>
      </w:pPr>
      <w:r>
        <w:rPr>
          <w:rFonts w:hint="eastAsia"/>
        </w:rPr>
        <w:t>司法院提供本院104年2月3日</w:t>
      </w:r>
      <w:r w:rsidR="00046D35">
        <w:rPr>
          <w:rFonts w:hint="eastAsia"/>
        </w:rPr>
        <w:t>詢問</w:t>
      </w:r>
      <w:r>
        <w:rPr>
          <w:rFonts w:hint="eastAsia"/>
        </w:rPr>
        <w:t>之書面資料中，臺灣桃園地方法院表示</w:t>
      </w:r>
      <w:r w:rsidR="00C73F04">
        <w:rPr>
          <w:rFonts w:hint="eastAsia"/>
        </w:rPr>
        <w:t>，</w:t>
      </w:r>
      <w:r>
        <w:rPr>
          <w:rFonts w:hint="eastAsia"/>
        </w:rPr>
        <w:t>前</w:t>
      </w:r>
      <w:proofErr w:type="gramStart"/>
      <w:r>
        <w:rPr>
          <w:rFonts w:hint="eastAsia"/>
        </w:rPr>
        <w:t>揭存管計</w:t>
      </w:r>
      <w:proofErr w:type="gramEnd"/>
      <w:r w:rsidR="00DB43BF">
        <w:rPr>
          <w:rFonts w:hint="eastAsia"/>
        </w:rPr>
        <w:t>息</w:t>
      </w:r>
      <w:r>
        <w:rPr>
          <w:rFonts w:hint="eastAsia"/>
        </w:rPr>
        <w:t>及發還作業辦法實務上之困難包括該辦法</w:t>
      </w:r>
      <w:r w:rsidRPr="0071135E">
        <w:rPr>
          <w:rFonts w:hAnsi="標楷體" w:hint="eastAsia"/>
        </w:rPr>
        <w:t>第8條第4項「逾1年未接獲檢察機關通知者，應主動函</w:t>
      </w:r>
      <w:proofErr w:type="gramStart"/>
      <w:r w:rsidRPr="0071135E">
        <w:rPr>
          <w:rFonts w:hAnsi="標楷體" w:hint="eastAsia"/>
        </w:rPr>
        <w:t>詢</w:t>
      </w:r>
      <w:proofErr w:type="gramEnd"/>
      <w:r w:rsidRPr="0071135E">
        <w:rPr>
          <w:rFonts w:hAnsi="標楷體" w:hint="eastAsia"/>
        </w:rPr>
        <w:t>檢察機關得否發還」，執行面有困難，因刑事科各股送執行之案件</w:t>
      </w:r>
      <w:proofErr w:type="gramStart"/>
      <w:r w:rsidRPr="0071135E">
        <w:rPr>
          <w:rFonts w:hAnsi="標楷體" w:hint="eastAsia"/>
        </w:rPr>
        <w:t>眾多，</w:t>
      </w:r>
      <w:proofErr w:type="gramEnd"/>
      <w:r w:rsidRPr="0071135E">
        <w:rPr>
          <w:rFonts w:hAnsi="標楷體" w:hint="eastAsia"/>
        </w:rPr>
        <w:t>且人事更動頻繁，如何「確實」監督各股於案件送執行逾1年後「主動」函</w:t>
      </w:r>
      <w:proofErr w:type="gramStart"/>
      <w:r w:rsidRPr="0071135E">
        <w:rPr>
          <w:rFonts w:hAnsi="標楷體" w:hint="eastAsia"/>
        </w:rPr>
        <w:t>詢</w:t>
      </w:r>
      <w:proofErr w:type="gramEnd"/>
      <w:r w:rsidRPr="0071135E">
        <w:rPr>
          <w:rFonts w:hAnsi="標楷體" w:hint="eastAsia"/>
        </w:rPr>
        <w:t>檢察機關？（蓋案件業已送執行，各股即無相關案件之交保資料可供參考，無法期待各股承辦人對於已送執行之案件追蹤其後續執行、退保之情形，純粹以人工監督無法達到確實稽核之效果）；該辦法第19條所謂應受發還人所在不明，或因其他事故不能發還者之公告，除張貼</w:t>
      </w:r>
      <w:proofErr w:type="gramStart"/>
      <w:r w:rsidRPr="0071135E">
        <w:rPr>
          <w:rFonts w:hAnsi="標楷體" w:hint="eastAsia"/>
        </w:rPr>
        <w:t>牌示處</w:t>
      </w:r>
      <w:proofErr w:type="gramEnd"/>
      <w:r w:rsidRPr="0071135E">
        <w:rPr>
          <w:rFonts w:hAnsi="標楷體" w:hint="eastAsia"/>
        </w:rPr>
        <w:t>，並應登載公報…</w:t>
      </w:r>
      <w:proofErr w:type="gramStart"/>
      <w:r w:rsidRPr="0071135E">
        <w:rPr>
          <w:rFonts w:hAnsi="標楷體" w:hint="eastAsia"/>
        </w:rPr>
        <w:t>…</w:t>
      </w:r>
      <w:proofErr w:type="gramEnd"/>
      <w:r w:rsidRPr="0071135E">
        <w:rPr>
          <w:rFonts w:hAnsi="標楷體" w:hint="eastAsia"/>
        </w:rPr>
        <w:t>，是否可登載於司法院公報？或網路公告？方式可否</w:t>
      </w:r>
      <w:r w:rsidRPr="0071135E">
        <w:rPr>
          <w:rFonts w:hAnsi="標楷體" w:hint="eastAsia"/>
        </w:rPr>
        <w:lastRenderedPageBreak/>
        <w:t>明示確認；就該院所保管之保證金逾10年部分，如因調取卷宗發現卷宗已銷</w:t>
      </w:r>
      <w:proofErr w:type="gramStart"/>
      <w:r w:rsidRPr="0071135E">
        <w:rPr>
          <w:rFonts w:hAnsi="標楷體" w:cs="標楷體" w:hint="eastAsia"/>
          <w:lang w:val="zh-TW"/>
        </w:rPr>
        <w:t>燬</w:t>
      </w:r>
      <w:proofErr w:type="gramEnd"/>
      <w:r w:rsidRPr="0071135E">
        <w:rPr>
          <w:rFonts w:hAnsi="標楷體" w:hint="eastAsia"/>
        </w:rPr>
        <w:t>或具保人資料欠缺完整無法查考，則應如何通知，是否上級可函示統一辦理；</w:t>
      </w:r>
      <w:r w:rsidRPr="0071135E">
        <w:rPr>
          <w:rFonts w:hAnsi="標楷體" w:cs="標楷體" w:hint="eastAsia"/>
          <w:lang w:val="zh-TW"/>
        </w:rPr>
        <w:t>卷宗銷</w:t>
      </w:r>
      <w:proofErr w:type="gramStart"/>
      <w:r w:rsidRPr="0071135E">
        <w:rPr>
          <w:rFonts w:hAnsi="標楷體" w:cs="標楷體" w:hint="eastAsia"/>
          <w:lang w:val="zh-TW"/>
        </w:rPr>
        <w:t>燬</w:t>
      </w:r>
      <w:proofErr w:type="gramEnd"/>
      <w:r w:rsidRPr="0071135E">
        <w:rPr>
          <w:rFonts w:hAnsi="標楷體" w:cs="標楷體" w:hint="eastAsia"/>
          <w:lang w:val="zh-TW"/>
        </w:rPr>
        <w:t>或具保人資料欠缺無法查證時，該如何通知及公告，是否得請上級函示統一辦理</w:t>
      </w:r>
      <w:r w:rsidR="0071135E" w:rsidRPr="0071135E">
        <w:rPr>
          <w:rFonts w:hAnsi="標楷體" w:cs="標楷體" w:hint="eastAsia"/>
          <w:lang w:val="zh-TW"/>
        </w:rPr>
        <w:t>等語</w:t>
      </w:r>
      <w:r w:rsidRPr="0071135E">
        <w:rPr>
          <w:rFonts w:hAnsi="標楷體" w:cs="標楷體" w:hint="eastAsia"/>
          <w:lang w:val="zh-TW"/>
        </w:rPr>
        <w:t>。</w:t>
      </w:r>
      <w:r w:rsidR="0071135E">
        <w:rPr>
          <w:rFonts w:hAnsi="標楷體" w:cs="標楷體" w:hint="eastAsia"/>
          <w:lang w:val="zh-TW"/>
        </w:rPr>
        <w:t>而</w:t>
      </w:r>
      <w:r w:rsidR="00FD62A3" w:rsidRPr="0071135E">
        <w:rPr>
          <w:rFonts w:hAnsi="標楷體" w:cs="標楷體" w:hint="eastAsia"/>
          <w:lang w:val="zh-TW"/>
        </w:rPr>
        <w:t>臺灣嘉義地方法院</w:t>
      </w:r>
      <w:r w:rsidR="0071135E">
        <w:rPr>
          <w:rFonts w:hAnsi="標楷體" w:cs="標楷體" w:hint="eastAsia"/>
          <w:lang w:val="zh-TW"/>
        </w:rPr>
        <w:t>則</w:t>
      </w:r>
      <w:r w:rsidR="00FD62A3" w:rsidRPr="0071135E">
        <w:rPr>
          <w:rFonts w:hAnsi="標楷體" w:cs="標楷體" w:hint="eastAsia"/>
          <w:lang w:val="zh-TW"/>
        </w:rPr>
        <w:t>表示，目前</w:t>
      </w:r>
      <w:r w:rsidR="0071135E" w:rsidRPr="0071135E">
        <w:rPr>
          <w:rFonts w:hAnsi="標楷體" w:cs="標楷體" w:hint="eastAsia"/>
          <w:lang w:val="zh-TW"/>
        </w:rPr>
        <w:t>上揭</w:t>
      </w:r>
      <w:r w:rsidR="00FD62A3" w:rsidRPr="0071135E">
        <w:rPr>
          <w:rFonts w:hAnsi="標楷體" w:cs="標楷體" w:hint="eastAsia"/>
          <w:lang w:val="zh-TW"/>
        </w:rPr>
        <w:t>作業辦法並無相關規定發函通知具保人後，需經過多久時間，具保人未前來辦理領款時，可以進入公告階段，適用上恐有疑義</w:t>
      </w:r>
      <w:r w:rsidR="0071135E">
        <w:rPr>
          <w:rFonts w:hAnsi="標楷體" w:cs="標楷體" w:hint="eastAsia"/>
          <w:lang w:val="zh-TW"/>
        </w:rPr>
        <w:t>等語</w:t>
      </w:r>
      <w:r w:rsidR="00FD62A3" w:rsidRPr="0071135E">
        <w:rPr>
          <w:rFonts w:hAnsi="標楷體" w:cs="標楷體" w:hint="eastAsia"/>
          <w:lang w:val="zh-TW"/>
        </w:rPr>
        <w:t>。</w:t>
      </w:r>
      <w:r w:rsidR="0071135E">
        <w:rPr>
          <w:rFonts w:hAnsi="標楷體" w:cs="標楷體" w:hint="eastAsia"/>
          <w:lang w:val="zh-TW"/>
        </w:rPr>
        <w:t>另</w:t>
      </w:r>
      <w:r w:rsidR="00FD62A3" w:rsidRPr="0071135E">
        <w:rPr>
          <w:rFonts w:hAnsi="標楷體" w:cs="標楷體" w:hint="eastAsia"/>
          <w:lang w:val="zh-TW"/>
        </w:rPr>
        <w:t>司法院刑事廳</w:t>
      </w:r>
      <w:proofErr w:type="gramStart"/>
      <w:r w:rsidR="00FD62A3" w:rsidRPr="0071135E">
        <w:rPr>
          <w:rFonts w:hAnsi="標楷體" w:cs="標楷體" w:hint="eastAsia"/>
          <w:lang w:val="zh-TW"/>
        </w:rPr>
        <w:t>104年4月27日廳刑一字</w:t>
      </w:r>
      <w:proofErr w:type="gramEnd"/>
      <w:r w:rsidR="00FD62A3" w:rsidRPr="0071135E">
        <w:rPr>
          <w:rFonts w:hAnsi="標楷體" w:cs="標楷體" w:hint="eastAsia"/>
          <w:lang w:val="zh-TW"/>
        </w:rPr>
        <w:t>第1040010105號函</w:t>
      </w:r>
      <w:r w:rsidR="004B4F21">
        <w:rPr>
          <w:rFonts w:hAnsi="標楷體" w:cs="標楷體" w:hint="eastAsia"/>
          <w:lang w:val="zh-TW"/>
        </w:rPr>
        <w:t>中</w:t>
      </w:r>
      <w:r w:rsidR="00FD62A3" w:rsidRPr="0071135E">
        <w:rPr>
          <w:rFonts w:hAnsi="標楷體" w:cs="標楷體" w:hint="eastAsia"/>
          <w:lang w:val="zh-TW"/>
        </w:rPr>
        <w:t>，臺灣南投地方法院</w:t>
      </w:r>
      <w:r w:rsidR="0071135E">
        <w:rPr>
          <w:rFonts w:hAnsi="標楷體" w:cs="標楷體" w:hint="eastAsia"/>
          <w:lang w:val="zh-TW"/>
        </w:rPr>
        <w:t>亦</w:t>
      </w:r>
      <w:r w:rsidR="00FD62A3" w:rsidRPr="0071135E">
        <w:rPr>
          <w:rFonts w:hAnsi="標楷體" w:cs="標楷體" w:hint="eastAsia"/>
          <w:lang w:val="zh-TW"/>
        </w:rPr>
        <w:t>表示，就經合法通知具保人、繼承人具領，具保人（繼承人）無正當理由</w:t>
      </w:r>
      <w:proofErr w:type="gramStart"/>
      <w:r w:rsidR="00FD62A3" w:rsidRPr="0071135E">
        <w:rPr>
          <w:rFonts w:hAnsi="標楷體" w:cs="標楷體" w:hint="eastAsia"/>
          <w:lang w:val="zh-TW"/>
        </w:rPr>
        <w:t>未</w:t>
      </w:r>
      <w:r w:rsidR="004B4F21">
        <w:rPr>
          <w:rFonts w:hAnsi="標楷體" w:cs="標楷體" w:hint="eastAsia"/>
          <w:lang w:val="zh-TW"/>
        </w:rPr>
        <w:t>予</w:t>
      </w:r>
      <w:r w:rsidR="00FD62A3" w:rsidRPr="0071135E">
        <w:rPr>
          <w:rFonts w:hAnsi="標楷體" w:cs="標楷體" w:hint="eastAsia"/>
          <w:lang w:val="zh-TW"/>
        </w:rPr>
        <w:t>具領</w:t>
      </w:r>
      <w:proofErr w:type="gramEnd"/>
      <w:r w:rsidR="00FD62A3" w:rsidRPr="0071135E">
        <w:rPr>
          <w:rFonts w:hAnsi="標楷體" w:cs="標楷體" w:hint="eastAsia"/>
          <w:lang w:val="zh-TW"/>
        </w:rPr>
        <w:t>之情形，是否屬可「公告」之事由有疑義</w:t>
      </w:r>
      <w:r w:rsidR="0071135E">
        <w:rPr>
          <w:rFonts w:hAnsi="標楷體" w:cs="標楷體" w:hint="eastAsia"/>
          <w:lang w:val="zh-TW"/>
        </w:rPr>
        <w:t>等語</w:t>
      </w:r>
      <w:r w:rsidR="00FD62A3" w:rsidRPr="0071135E">
        <w:rPr>
          <w:rFonts w:hAnsi="標楷體" w:cs="標楷體" w:hint="eastAsia"/>
          <w:lang w:val="zh-TW"/>
        </w:rPr>
        <w:t>。</w:t>
      </w:r>
      <w:r w:rsidR="0071135E">
        <w:rPr>
          <w:rFonts w:hAnsi="標楷體" w:cs="標楷體" w:hint="eastAsia"/>
          <w:lang w:val="zh-TW"/>
        </w:rPr>
        <w:t>顯見，</w:t>
      </w:r>
      <w:r w:rsidR="0071135E" w:rsidRPr="0071135E">
        <w:rPr>
          <w:rFonts w:hAnsi="標楷體" w:cs="標楷體" w:hint="eastAsia"/>
          <w:lang w:val="zh-TW"/>
        </w:rPr>
        <w:t>部分法院</w:t>
      </w:r>
      <w:r w:rsidR="0071135E">
        <w:rPr>
          <w:rFonts w:hAnsi="標楷體" w:cs="標楷體" w:hint="eastAsia"/>
          <w:lang w:val="zh-TW"/>
        </w:rPr>
        <w:t>在</w:t>
      </w:r>
      <w:r w:rsidR="0071135E">
        <w:rPr>
          <w:rFonts w:hint="eastAsia"/>
        </w:rPr>
        <w:t>刑事訴</w:t>
      </w:r>
      <w:r w:rsidR="002D7A9E">
        <w:rPr>
          <w:rFonts w:hint="eastAsia"/>
        </w:rPr>
        <w:t>訟</w:t>
      </w:r>
      <w:r w:rsidR="0071135E">
        <w:rPr>
          <w:rFonts w:hint="eastAsia"/>
        </w:rPr>
        <w:t>法第119條之1規定於103年12月18日施行後，辦理刑事保證金發還作業，實務上仍有相關疑義及困難。</w:t>
      </w:r>
    </w:p>
    <w:p w:rsidR="0071135E" w:rsidRDefault="00737BD3" w:rsidP="00C4342E">
      <w:pPr>
        <w:pStyle w:val="3"/>
      </w:pPr>
      <w:proofErr w:type="gramStart"/>
      <w:r>
        <w:rPr>
          <w:rFonts w:hint="eastAsia"/>
        </w:rPr>
        <w:t>綜</w:t>
      </w:r>
      <w:proofErr w:type="gramEnd"/>
      <w:r w:rsidR="004733CF">
        <w:rPr>
          <w:rFonts w:hint="eastAsia"/>
        </w:rPr>
        <w:t>上述，刑事訴訟法第119條之1施行日，各法院保管及暫繳國庫有關判決確定案件之刑事保證金金額仍高達6億3,640萬4,380元以上，該</w:t>
      </w:r>
      <w:r>
        <w:rPr>
          <w:rFonts w:hint="eastAsia"/>
        </w:rPr>
        <w:t>條文</w:t>
      </w:r>
      <w:r w:rsidR="004733CF">
        <w:rPr>
          <w:rFonts w:hint="eastAsia"/>
        </w:rPr>
        <w:t>施行後，各級法院依</w:t>
      </w:r>
      <w:r w:rsidR="004733CF" w:rsidRPr="00DB43BF">
        <w:rPr>
          <w:rFonts w:hint="eastAsia"/>
          <w:lang w:val="zh-TW"/>
        </w:rPr>
        <w:t>刑事保證金</w:t>
      </w:r>
      <w:proofErr w:type="gramStart"/>
      <w:r w:rsidR="004733CF" w:rsidRPr="00DB43BF">
        <w:rPr>
          <w:rFonts w:hint="eastAsia"/>
          <w:lang w:val="zh-TW"/>
        </w:rPr>
        <w:t>存管計</w:t>
      </w:r>
      <w:proofErr w:type="gramEnd"/>
      <w:r w:rsidR="004733CF" w:rsidRPr="00DB43BF">
        <w:rPr>
          <w:rFonts w:hint="eastAsia"/>
          <w:lang w:val="zh-TW"/>
        </w:rPr>
        <w:t>息及發還作業辦法辦理相關發還作業，惟部分法院表示實務上仍有相關疑義及困難，</w:t>
      </w:r>
      <w:proofErr w:type="gramStart"/>
      <w:r w:rsidR="004733CF">
        <w:rPr>
          <w:rFonts w:hint="eastAsia"/>
        </w:rPr>
        <w:t>司法院允宜</w:t>
      </w:r>
      <w:proofErr w:type="gramEnd"/>
      <w:r w:rsidR="004733CF">
        <w:rPr>
          <w:rFonts w:hint="eastAsia"/>
        </w:rPr>
        <w:t>再</w:t>
      </w:r>
      <w:r>
        <w:rPr>
          <w:rFonts w:hint="eastAsia"/>
        </w:rPr>
        <w:t>深入</w:t>
      </w:r>
      <w:proofErr w:type="gramStart"/>
      <w:r>
        <w:rPr>
          <w:rFonts w:hint="eastAsia"/>
        </w:rPr>
        <w:t>研</w:t>
      </w:r>
      <w:proofErr w:type="gramEnd"/>
      <w:r w:rsidR="004733CF">
        <w:rPr>
          <w:rFonts w:hint="eastAsia"/>
        </w:rPr>
        <w:t>酌檢討修正。</w:t>
      </w:r>
      <w:r w:rsidR="00876A61">
        <w:rPr>
          <w:rFonts w:hint="eastAsia"/>
        </w:rPr>
        <w:t>至於該施行日前，刑事保證金繳納已逾10年者，經公告2年無人聲請發還後，即歸屬國庫。</w:t>
      </w:r>
      <w:proofErr w:type="gramStart"/>
      <w:r w:rsidR="00876A61">
        <w:rPr>
          <w:rFonts w:hint="eastAsia"/>
        </w:rPr>
        <w:t>其餘均係經</w:t>
      </w:r>
      <w:proofErr w:type="gramEnd"/>
      <w:r w:rsidR="00876A61">
        <w:rPr>
          <w:rFonts w:hint="eastAsia"/>
        </w:rPr>
        <w:t>公告10年，無人聲請發還，始歸屬國庫。是</w:t>
      </w:r>
      <w:proofErr w:type="gramStart"/>
      <w:r w:rsidR="00876A61">
        <w:rPr>
          <w:rFonts w:hint="eastAsia"/>
        </w:rPr>
        <w:t>以</w:t>
      </w:r>
      <w:proofErr w:type="gramEnd"/>
      <w:r w:rsidR="00876A61">
        <w:rPr>
          <w:rFonts w:hint="eastAsia"/>
        </w:rPr>
        <w:t>，</w:t>
      </w:r>
      <w:r>
        <w:rPr>
          <w:rFonts w:hint="eastAsia"/>
        </w:rPr>
        <w:t>何者為</w:t>
      </w:r>
      <w:r w:rsidR="00876A61">
        <w:rPr>
          <w:rFonts w:hint="eastAsia"/>
        </w:rPr>
        <w:t>可「公告」之事由，將影響具保人權益</w:t>
      </w:r>
      <w:r w:rsidR="00DB43BF">
        <w:rPr>
          <w:rFonts w:hint="eastAsia"/>
        </w:rPr>
        <w:t>，</w:t>
      </w:r>
      <w:r w:rsidR="00876A61">
        <w:rPr>
          <w:rFonts w:hint="eastAsia"/>
        </w:rPr>
        <w:t>尤</w:t>
      </w:r>
      <w:r w:rsidR="00DB43BF">
        <w:rPr>
          <w:rFonts w:hint="eastAsia"/>
        </w:rPr>
        <w:t>其是</w:t>
      </w:r>
      <w:r w:rsidR="00876A61">
        <w:rPr>
          <w:rFonts w:hint="eastAsia"/>
        </w:rPr>
        <w:t>公告2年未經發還即歸屬國庫之情形</w:t>
      </w:r>
      <w:r w:rsidR="00DB43BF">
        <w:rPr>
          <w:rFonts w:hint="eastAsia"/>
        </w:rPr>
        <w:t>。</w:t>
      </w:r>
      <w:proofErr w:type="gramStart"/>
      <w:r w:rsidR="00DB43BF">
        <w:rPr>
          <w:rFonts w:hint="eastAsia"/>
        </w:rPr>
        <w:t>爰</w:t>
      </w:r>
      <w:proofErr w:type="gramEnd"/>
      <w:r w:rsidR="00876A61">
        <w:rPr>
          <w:rFonts w:hint="eastAsia"/>
        </w:rPr>
        <w:t>各級法院於「公告」前應善盡查證之方式，且查證之方式，亦宜有適當之「稽核」機制，避免日後發生紛爭。</w:t>
      </w:r>
    </w:p>
    <w:p w:rsidR="003030C8" w:rsidRPr="00737BD3" w:rsidRDefault="00320C4C" w:rsidP="00EC13B6">
      <w:pPr>
        <w:pStyle w:val="2"/>
        <w:kinsoku/>
        <w:ind w:left="1043"/>
        <w:rPr>
          <w:b/>
        </w:rPr>
      </w:pPr>
      <w:r w:rsidRPr="00737BD3">
        <w:rPr>
          <w:rFonts w:hint="eastAsia"/>
          <w:b/>
        </w:rPr>
        <w:lastRenderedPageBreak/>
        <w:t>司法</w:t>
      </w:r>
      <w:proofErr w:type="gramStart"/>
      <w:r w:rsidRPr="00737BD3">
        <w:rPr>
          <w:rFonts w:hint="eastAsia"/>
          <w:b/>
        </w:rPr>
        <w:t>院允宜</w:t>
      </w:r>
      <w:r w:rsidR="00FE2092" w:rsidRPr="00737BD3">
        <w:rPr>
          <w:rFonts w:hint="eastAsia"/>
          <w:b/>
        </w:rPr>
        <w:t>研</w:t>
      </w:r>
      <w:proofErr w:type="gramEnd"/>
      <w:r w:rsidR="00FE2092" w:rsidRPr="00737BD3">
        <w:rPr>
          <w:rFonts w:hint="eastAsia"/>
          <w:b/>
        </w:rPr>
        <w:t>議於</w:t>
      </w:r>
      <w:r w:rsidR="00C2065B" w:rsidRPr="00737BD3">
        <w:rPr>
          <w:rFonts w:hint="eastAsia"/>
          <w:b/>
        </w:rPr>
        <w:t>保管款保管品作業系統</w:t>
      </w:r>
      <w:r w:rsidR="00FE2092" w:rsidRPr="00737BD3">
        <w:rPr>
          <w:rFonts w:hint="eastAsia"/>
          <w:b/>
        </w:rPr>
        <w:t>中增加退還刑事保證金之控管功能或建置相關系統，</w:t>
      </w:r>
      <w:proofErr w:type="gramStart"/>
      <w:r w:rsidR="00FE2092" w:rsidRPr="00737BD3">
        <w:rPr>
          <w:rFonts w:hint="eastAsia"/>
          <w:b/>
        </w:rPr>
        <w:t>俾</w:t>
      </w:r>
      <w:proofErr w:type="gramEnd"/>
      <w:r w:rsidR="00FE2092" w:rsidRPr="00737BD3">
        <w:rPr>
          <w:rFonts w:hint="eastAsia"/>
          <w:b/>
        </w:rPr>
        <w:t>提升刑事保證金案件</w:t>
      </w:r>
      <w:r w:rsidR="00737BD3">
        <w:rPr>
          <w:rFonts w:hint="eastAsia"/>
          <w:b/>
        </w:rPr>
        <w:t>發</w:t>
      </w:r>
      <w:r w:rsidR="00737BD3" w:rsidRPr="00737BD3">
        <w:rPr>
          <w:rFonts w:hint="eastAsia"/>
          <w:b/>
        </w:rPr>
        <w:t>還、</w:t>
      </w:r>
      <w:r w:rsidR="00FE2092" w:rsidRPr="00737BD3">
        <w:rPr>
          <w:rFonts w:hint="eastAsia"/>
          <w:b/>
        </w:rPr>
        <w:t>清理成效</w:t>
      </w:r>
      <w:r w:rsidR="00EC13B6" w:rsidRPr="00737BD3">
        <w:rPr>
          <w:rFonts w:hint="eastAsia"/>
          <w:b/>
        </w:rPr>
        <w:t>，並可資為法院行政管理績效衡量指標</w:t>
      </w:r>
      <w:r w:rsidR="00FE2092" w:rsidRPr="00737BD3">
        <w:rPr>
          <w:rFonts w:hint="eastAsia"/>
          <w:b/>
        </w:rPr>
        <w:t>：</w:t>
      </w:r>
    </w:p>
    <w:p w:rsidR="00A4532D" w:rsidRDefault="00A4532D" w:rsidP="00100692">
      <w:pPr>
        <w:pStyle w:val="3"/>
      </w:pPr>
      <w:r>
        <w:rPr>
          <w:rFonts w:hint="eastAsia"/>
        </w:rPr>
        <w:t>有關刑事訴訟法第119條之1施行日，各級法院保管及暫繳刑事保證金情形已如前述。</w:t>
      </w:r>
    </w:p>
    <w:p w:rsidR="00E67757" w:rsidRDefault="00991006" w:rsidP="00991006">
      <w:pPr>
        <w:pStyle w:val="3"/>
      </w:pPr>
      <w:r>
        <w:rPr>
          <w:rFonts w:hint="eastAsia"/>
        </w:rPr>
        <w:t>司法院104年3月6日以院</w:t>
      </w:r>
      <w:proofErr w:type="gramStart"/>
      <w:r>
        <w:rPr>
          <w:rFonts w:hint="eastAsia"/>
        </w:rPr>
        <w:t>台廳刑一字</w:t>
      </w:r>
      <w:proofErr w:type="gramEnd"/>
      <w:r>
        <w:rPr>
          <w:rFonts w:hint="eastAsia"/>
        </w:rPr>
        <w:t>第1040006552號函</w:t>
      </w:r>
      <w:r w:rsidR="00E67757">
        <w:rPr>
          <w:rFonts w:hint="eastAsia"/>
        </w:rPr>
        <w:t>及司法院刑事廳</w:t>
      </w:r>
      <w:proofErr w:type="gramStart"/>
      <w:r w:rsidR="00E67757">
        <w:rPr>
          <w:rFonts w:hint="eastAsia"/>
        </w:rPr>
        <w:t>104年4月27日廳刑一字</w:t>
      </w:r>
      <w:proofErr w:type="gramEnd"/>
      <w:r w:rsidR="00E67757">
        <w:rPr>
          <w:rFonts w:hint="eastAsia"/>
        </w:rPr>
        <w:t>第1040010105號</w:t>
      </w:r>
      <w:proofErr w:type="gramStart"/>
      <w:r w:rsidR="00E67757">
        <w:rPr>
          <w:rFonts w:hint="eastAsia"/>
        </w:rPr>
        <w:t>函</w:t>
      </w:r>
      <w:r>
        <w:rPr>
          <w:rFonts w:hint="eastAsia"/>
        </w:rPr>
        <w:t>復</w:t>
      </w:r>
      <w:r w:rsidR="00C2065B">
        <w:rPr>
          <w:rFonts w:hint="eastAsia"/>
        </w:rPr>
        <w:t>本院</w:t>
      </w:r>
      <w:proofErr w:type="gramEnd"/>
      <w:r>
        <w:rPr>
          <w:rFonts w:hint="eastAsia"/>
        </w:rPr>
        <w:t>表示，中央政府各機關會計帳</w:t>
      </w:r>
      <w:proofErr w:type="gramStart"/>
      <w:r>
        <w:rPr>
          <w:rFonts w:hint="eastAsia"/>
        </w:rPr>
        <w:t>務</w:t>
      </w:r>
      <w:proofErr w:type="gramEnd"/>
      <w:r>
        <w:rPr>
          <w:rFonts w:hint="eastAsia"/>
        </w:rPr>
        <w:t>之處理，依規定應使用行政院主計總處開發之「政府歲計會計資訊管理GBA系統」（下稱GBA系統）。</w:t>
      </w:r>
      <w:proofErr w:type="gramStart"/>
      <w:r>
        <w:rPr>
          <w:rFonts w:hint="eastAsia"/>
        </w:rPr>
        <w:t>囿</w:t>
      </w:r>
      <w:proofErr w:type="gramEnd"/>
      <w:r>
        <w:rPr>
          <w:rFonts w:hint="eastAsia"/>
        </w:rPr>
        <w:t>於該系統之設計功能尚無法</w:t>
      </w:r>
      <w:r w:rsidR="006A05AE">
        <w:rPr>
          <w:rFonts w:hint="eastAsia"/>
        </w:rPr>
        <w:t>滿</w:t>
      </w:r>
      <w:r>
        <w:rPr>
          <w:rFonts w:hint="eastAsia"/>
        </w:rPr>
        <w:t>足法院因審判業務而產生之民事強制</w:t>
      </w:r>
      <w:proofErr w:type="gramStart"/>
      <w:r>
        <w:rPr>
          <w:rFonts w:hint="eastAsia"/>
        </w:rPr>
        <w:t>執行案款</w:t>
      </w:r>
      <w:proofErr w:type="gramEnd"/>
      <w:r>
        <w:rPr>
          <w:rFonts w:hint="eastAsia"/>
        </w:rPr>
        <w:t>、提存款、刑事保證金、</w:t>
      </w:r>
      <w:proofErr w:type="gramStart"/>
      <w:r>
        <w:rPr>
          <w:rFonts w:hint="eastAsia"/>
        </w:rPr>
        <w:t>贓證物款</w:t>
      </w:r>
      <w:proofErr w:type="gramEnd"/>
      <w:r>
        <w:rPr>
          <w:rFonts w:hint="eastAsia"/>
        </w:rPr>
        <w:t>、退還裁判費等案件之收繳發還作業，</w:t>
      </w:r>
      <w:proofErr w:type="gramStart"/>
      <w:r>
        <w:rPr>
          <w:rFonts w:hint="eastAsia"/>
        </w:rPr>
        <w:t>爰</w:t>
      </w:r>
      <w:proofErr w:type="gramEnd"/>
      <w:r>
        <w:rPr>
          <w:rFonts w:hint="eastAsia"/>
        </w:rPr>
        <w:t>司法院另行開發「保管款保管品作業系統」（下稱保</w:t>
      </w:r>
      <w:proofErr w:type="gramStart"/>
      <w:r>
        <w:rPr>
          <w:rFonts w:hint="eastAsia"/>
        </w:rPr>
        <w:t>保</w:t>
      </w:r>
      <w:proofErr w:type="gramEnd"/>
      <w:r>
        <w:rPr>
          <w:rFonts w:hint="eastAsia"/>
        </w:rPr>
        <w:t>系統），以供會計單位登載上開歲入保管款案件之收支明細資料，並產製相關報表資料，為GBA系統之分支作業（即GBA系統為統制帳、保</w:t>
      </w:r>
      <w:proofErr w:type="gramStart"/>
      <w:r>
        <w:rPr>
          <w:rFonts w:hint="eastAsia"/>
        </w:rPr>
        <w:t>保</w:t>
      </w:r>
      <w:proofErr w:type="gramEnd"/>
      <w:r>
        <w:rPr>
          <w:rFonts w:hint="eastAsia"/>
        </w:rPr>
        <w:t>系統為</w:t>
      </w:r>
      <w:proofErr w:type="gramStart"/>
      <w:r>
        <w:rPr>
          <w:rFonts w:hint="eastAsia"/>
        </w:rPr>
        <w:t>明細帳</w:t>
      </w:r>
      <w:proofErr w:type="gramEnd"/>
      <w:r>
        <w:rPr>
          <w:rFonts w:hint="eastAsia"/>
        </w:rPr>
        <w:t>），並無提示清理（查）之相關功能。現行保</w:t>
      </w:r>
      <w:proofErr w:type="gramStart"/>
      <w:r>
        <w:rPr>
          <w:rFonts w:hint="eastAsia"/>
        </w:rPr>
        <w:t>保</w:t>
      </w:r>
      <w:proofErr w:type="gramEnd"/>
      <w:r>
        <w:rPr>
          <w:rFonts w:hint="eastAsia"/>
        </w:rPr>
        <w:t>系統可利用「保管款繳款人明細結存表」</w:t>
      </w:r>
      <w:proofErr w:type="gramStart"/>
      <w:r>
        <w:rPr>
          <w:rFonts w:hint="eastAsia"/>
        </w:rPr>
        <w:t>之分股列印</w:t>
      </w:r>
      <w:proofErr w:type="gramEnd"/>
      <w:r>
        <w:rPr>
          <w:rFonts w:hint="eastAsia"/>
        </w:rPr>
        <w:t>功能，提供各股書記官尚未發還刑事保證金之案件，提醒書記官辦理發還作業</w:t>
      </w:r>
      <w:r w:rsidR="00D86EAB">
        <w:rPr>
          <w:rFonts w:hint="eastAsia"/>
        </w:rPr>
        <w:t>。而</w:t>
      </w:r>
      <w:r>
        <w:rPr>
          <w:rFonts w:hint="eastAsia"/>
        </w:rPr>
        <w:t>保</w:t>
      </w:r>
      <w:proofErr w:type="gramStart"/>
      <w:r>
        <w:rPr>
          <w:rFonts w:hint="eastAsia"/>
        </w:rPr>
        <w:t>保</w:t>
      </w:r>
      <w:proofErr w:type="gramEnd"/>
      <w:r>
        <w:rPr>
          <w:rFonts w:hint="eastAsia"/>
        </w:rPr>
        <w:t>系統登載之內容，93年以前為「聯單號碼」、「案號」、「繳款人」、「被告」、「案由」、</w:t>
      </w:r>
      <w:r w:rsidRPr="001529AC">
        <w:rPr>
          <w:rFonts w:hint="eastAsia"/>
        </w:rPr>
        <w:t>「傳票號碼」及「金額」</w:t>
      </w:r>
      <w:r>
        <w:rPr>
          <w:rFonts w:hint="eastAsia"/>
        </w:rPr>
        <w:t>等項目；94年以後，除上開項目</w:t>
      </w:r>
      <w:proofErr w:type="gramStart"/>
      <w:r>
        <w:rPr>
          <w:rFonts w:hint="eastAsia"/>
        </w:rPr>
        <w:t>內容均由收費處</w:t>
      </w:r>
      <w:proofErr w:type="gramEnd"/>
      <w:r>
        <w:rPr>
          <w:rFonts w:hint="eastAsia"/>
        </w:rPr>
        <w:t>之「收費系統」自動帶入外，另增列「繳款人身分證號」項目。收取刑事保證金時，保</w:t>
      </w:r>
      <w:proofErr w:type="gramStart"/>
      <w:r>
        <w:rPr>
          <w:rFonts w:hint="eastAsia"/>
        </w:rPr>
        <w:t>保</w:t>
      </w:r>
      <w:proofErr w:type="gramEnd"/>
      <w:r>
        <w:rPr>
          <w:rFonts w:hint="eastAsia"/>
        </w:rPr>
        <w:t>系統必需登載項目有「聯單號碼」、「案號」、「傳票號碼」及「金額」，非必要之登載項目有「繳款人」、「被告姓名」、「</w:t>
      </w:r>
      <w:r>
        <w:rPr>
          <w:rFonts w:hint="eastAsia"/>
        </w:rPr>
        <w:lastRenderedPageBreak/>
        <w:t>案由」及「繳款人身分證號」等。顯見，保</w:t>
      </w:r>
      <w:proofErr w:type="gramStart"/>
      <w:r>
        <w:rPr>
          <w:rFonts w:hint="eastAsia"/>
        </w:rPr>
        <w:t>保</w:t>
      </w:r>
      <w:proofErr w:type="gramEnd"/>
      <w:r>
        <w:rPr>
          <w:rFonts w:hint="eastAsia"/>
        </w:rPr>
        <w:t>系統之欄位雖設有得以協助查詢刑事保證「繳款人」、「被告姓名」、「案由」及「繳款人身分證號」等資料欄位，惟因為非必要之登載項目，</w:t>
      </w:r>
      <w:proofErr w:type="gramStart"/>
      <w:r w:rsidR="00CE25C6">
        <w:rPr>
          <w:rFonts w:hint="eastAsia"/>
        </w:rPr>
        <w:t>爰</w:t>
      </w:r>
      <w:proofErr w:type="gramEnd"/>
      <w:r w:rsidR="00CE25C6">
        <w:rPr>
          <w:rFonts w:hint="eastAsia"/>
        </w:rPr>
        <w:t>缺乏該等資料者，勢必</w:t>
      </w:r>
      <w:r>
        <w:rPr>
          <w:rFonts w:hint="eastAsia"/>
        </w:rPr>
        <w:t>造成日後發還刑事保證金之困難，殊</w:t>
      </w:r>
      <w:proofErr w:type="gramStart"/>
      <w:r>
        <w:rPr>
          <w:rFonts w:hint="eastAsia"/>
        </w:rPr>
        <w:t>為可惜</w:t>
      </w:r>
      <w:proofErr w:type="gramEnd"/>
      <w:r>
        <w:rPr>
          <w:rFonts w:hint="eastAsia"/>
        </w:rPr>
        <w:t>。</w:t>
      </w:r>
    </w:p>
    <w:p w:rsidR="00991006" w:rsidRDefault="00E67757" w:rsidP="00991006">
      <w:pPr>
        <w:pStyle w:val="3"/>
      </w:pPr>
      <w:proofErr w:type="gramStart"/>
      <w:r>
        <w:rPr>
          <w:rFonts w:hint="eastAsia"/>
        </w:rPr>
        <w:t>再者，</w:t>
      </w:r>
      <w:proofErr w:type="gramEnd"/>
      <w:r>
        <w:rPr>
          <w:rFonts w:hint="eastAsia"/>
        </w:rPr>
        <w:t>司法院</w:t>
      </w:r>
      <w:proofErr w:type="gramStart"/>
      <w:r>
        <w:rPr>
          <w:rFonts w:hint="eastAsia"/>
        </w:rPr>
        <w:t>上揭函等</w:t>
      </w:r>
      <w:proofErr w:type="gramEnd"/>
      <w:r>
        <w:rPr>
          <w:rFonts w:hint="eastAsia"/>
        </w:rPr>
        <w:t>指出，現行保</w:t>
      </w:r>
      <w:proofErr w:type="gramStart"/>
      <w:r>
        <w:rPr>
          <w:rFonts w:hint="eastAsia"/>
        </w:rPr>
        <w:t>保</w:t>
      </w:r>
      <w:proofErr w:type="gramEnd"/>
      <w:r>
        <w:rPr>
          <w:rFonts w:hint="eastAsia"/>
        </w:rPr>
        <w:t>系統可利用「保管款繳款人明細結存表」</w:t>
      </w:r>
      <w:proofErr w:type="gramStart"/>
      <w:r>
        <w:rPr>
          <w:rFonts w:hint="eastAsia"/>
        </w:rPr>
        <w:t>之分股列印</w:t>
      </w:r>
      <w:proofErr w:type="gramEnd"/>
      <w:r>
        <w:rPr>
          <w:rFonts w:hint="eastAsia"/>
        </w:rPr>
        <w:t>功能，提供各股書記官尚未發還刑事保證金之案件，提醒書記官辦理發還作業</w:t>
      </w:r>
      <w:r w:rsidR="00402FD2">
        <w:rPr>
          <w:rFonts w:hint="eastAsia"/>
        </w:rPr>
        <w:t>及可否利用保</w:t>
      </w:r>
      <w:proofErr w:type="gramStart"/>
      <w:r w:rsidR="00402FD2">
        <w:rPr>
          <w:rFonts w:hint="eastAsia"/>
        </w:rPr>
        <w:t>保</w:t>
      </w:r>
      <w:proofErr w:type="gramEnd"/>
      <w:r w:rsidR="00402FD2">
        <w:rPr>
          <w:rFonts w:hint="eastAsia"/>
        </w:rPr>
        <w:t>系統輔助</w:t>
      </w:r>
      <w:proofErr w:type="gramStart"/>
      <w:r w:rsidR="00402FD2">
        <w:rPr>
          <w:rFonts w:hint="eastAsia"/>
        </w:rPr>
        <w:t>刑</w:t>
      </w:r>
      <w:proofErr w:type="gramEnd"/>
      <w:r w:rsidR="00402FD2">
        <w:rPr>
          <w:rFonts w:hint="eastAsia"/>
        </w:rPr>
        <w:t>保證金發還作業，事涉系統整合，該院將留供日後整合系統時參考</w:t>
      </w:r>
      <w:r>
        <w:rPr>
          <w:rFonts w:hint="eastAsia"/>
        </w:rPr>
        <w:t>等語</w:t>
      </w:r>
      <w:r w:rsidR="00737BD3">
        <w:rPr>
          <w:rFonts w:hint="eastAsia"/>
        </w:rPr>
        <w:t>。</w:t>
      </w:r>
      <w:r>
        <w:rPr>
          <w:rFonts w:hint="eastAsia"/>
        </w:rPr>
        <w:t>惟依該院提供本院</w:t>
      </w:r>
      <w:r w:rsidR="00046D35">
        <w:rPr>
          <w:rFonts w:hint="eastAsia"/>
        </w:rPr>
        <w:t>詢問</w:t>
      </w:r>
      <w:r>
        <w:rPr>
          <w:rFonts w:hint="eastAsia"/>
        </w:rPr>
        <w:t>之書面資料</w:t>
      </w:r>
      <w:r w:rsidR="00DF06C7">
        <w:rPr>
          <w:rFonts w:hint="eastAsia"/>
        </w:rPr>
        <w:t>中，</w:t>
      </w:r>
      <w:r>
        <w:rPr>
          <w:rFonts w:hint="eastAsia"/>
        </w:rPr>
        <w:t>各法院清理未發還刑事保證金之機制觀之，並非</w:t>
      </w:r>
      <w:r w:rsidR="00737BD3">
        <w:rPr>
          <w:rFonts w:hint="eastAsia"/>
        </w:rPr>
        <w:t>所有</w:t>
      </w:r>
      <w:r>
        <w:rPr>
          <w:rFonts w:hint="eastAsia"/>
        </w:rPr>
        <w:t>法院均</w:t>
      </w:r>
      <w:proofErr w:type="gramStart"/>
      <w:r>
        <w:rPr>
          <w:rFonts w:hint="eastAsia"/>
        </w:rPr>
        <w:t>採</w:t>
      </w:r>
      <w:proofErr w:type="gramEnd"/>
      <w:r>
        <w:rPr>
          <w:rFonts w:hint="eastAsia"/>
        </w:rPr>
        <w:t>此方式辦理清理作業，且頻率</w:t>
      </w:r>
      <w:r w:rsidR="00737BD3">
        <w:rPr>
          <w:rFonts w:hint="eastAsia"/>
        </w:rPr>
        <w:t>亦</w:t>
      </w:r>
      <w:r>
        <w:rPr>
          <w:rFonts w:hint="eastAsia"/>
        </w:rPr>
        <w:t>有不同，甚有一年始提供一次或未提供資料者，</w:t>
      </w:r>
      <w:r w:rsidR="00737BD3">
        <w:rPr>
          <w:rFonts w:hint="eastAsia"/>
        </w:rPr>
        <w:t>則上述</w:t>
      </w:r>
      <w:proofErr w:type="gramStart"/>
      <w:r w:rsidR="00737BD3">
        <w:rPr>
          <w:rFonts w:hint="eastAsia"/>
        </w:rPr>
        <w:t>之</w:t>
      </w:r>
      <w:r>
        <w:rPr>
          <w:rFonts w:hint="eastAsia"/>
        </w:rPr>
        <w:t>分股列印</w:t>
      </w:r>
      <w:proofErr w:type="gramEnd"/>
      <w:r>
        <w:rPr>
          <w:rFonts w:hint="eastAsia"/>
        </w:rPr>
        <w:t>功能能否發揮，不無疑義。</w:t>
      </w:r>
    </w:p>
    <w:p w:rsidR="001F68E6" w:rsidRDefault="006F3759" w:rsidP="001F68E6">
      <w:pPr>
        <w:pStyle w:val="3"/>
      </w:pPr>
      <w:proofErr w:type="gramStart"/>
      <w:r>
        <w:rPr>
          <w:rFonts w:hint="eastAsia"/>
        </w:rPr>
        <w:t>詢</w:t>
      </w:r>
      <w:proofErr w:type="gramEnd"/>
      <w:r>
        <w:rPr>
          <w:rFonts w:hint="eastAsia"/>
        </w:rPr>
        <w:t>據司法院相關人員稱「</w:t>
      </w:r>
      <w:proofErr w:type="gramStart"/>
      <w:r>
        <w:rPr>
          <w:rFonts w:hint="eastAsia"/>
        </w:rPr>
        <w:t>（</w:t>
      </w:r>
      <w:proofErr w:type="gramEnd"/>
      <w:r>
        <w:rPr>
          <w:rFonts w:hint="eastAsia"/>
        </w:rPr>
        <w:t>問：判決無罪，院方通知，會不會有漏未通知的情形？）早期可能會有」、「</w:t>
      </w:r>
      <w:proofErr w:type="gramStart"/>
      <w:r>
        <w:rPr>
          <w:rFonts w:hint="eastAsia"/>
        </w:rPr>
        <w:t>（</w:t>
      </w:r>
      <w:proofErr w:type="gramEnd"/>
      <w:r>
        <w:rPr>
          <w:rFonts w:hint="eastAsia"/>
        </w:rPr>
        <w:t>問：現在比較不可能是有電腦系統</w:t>
      </w:r>
      <w:proofErr w:type="gramStart"/>
      <w:r>
        <w:rPr>
          <w:rFonts w:hint="eastAsia"/>
        </w:rPr>
        <w:t>控管嗎</w:t>
      </w:r>
      <w:proofErr w:type="gramEnd"/>
      <w:r>
        <w:rPr>
          <w:rFonts w:hint="eastAsia"/>
        </w:rPr>
        <w:t>？）現在</w:t>
      </w:r>
      <w:r w:rsidR="00A97490">
        <w:rPr>
          <w:rFonts w:hint="eastAsia"/>
        </w:rPr>
        <w:t>一</w:t>
      </w:r>
      <w:r>
        <w:rPr>
          <w:rFonts w:hint="eastAsia"/>
        </w:rPr>
        <w:t>審會在電腦上作記錄，96年7月發布更新電腦系統，才有電腦的設置」。該院並補充說明表示，該院</w:t>
      </w:r>
      <w:proofErr w:type="gramStart"/>
      <w:r>
        <w:rPr>
          <w:rFonts w:hint="eastAsia"/>
        </w:rPr>
        <w:t>96年7月16日處資傳</w:t>
      </w:r>
      <w:proofErr w:type="gramEnd"/>
      <w:r>
        <w:rPr>
          <w:rFonts w:hint="eastAsia"/>
        </w:rPr>
        <w:t>一字第96096號傳真</w:t>
      </w:r>
      <w:proofErr w:type="gramStart"/>
      <w:r>
        <w:rPr>
          <w:rFonts w:hint="eastAsia"/>
        </w:rPr>
        <w:t>函－檢送</w:t>
      </w:r>
      <w:proofErr w:type="gramEnd"/>
      <w:r>
        <w:rPr>
          <w:rFonts w:hint="eastAsia"/>
        </w:rPr>
        <w:t>一二審審判系統v9604版本更新程式及說明1份，該傳真函指更新程式，即係審判系統彈出保證金未發還警示之程式。</w:t>
      </w:r>
      <w:proofErr w:type="gramStart"/>
      <w:r>
        <w:rPr>
          <w:rFonts w:hint="eastAsia"/>
        </w:rPr>
        <w:t>惟</w:t>
      </w:r>
      <w:proofErr w:type="gramEnd"/>
      <w:r w:rsidR="00991006">
        <w:rPr>
          <w:rFonts w:hint="eastAsia"/>
        </w:rPr>
        <w:t>司</w:t>
      </w:r>
      <w:r w:rsidR="00A4532D">
        <w:rPr>
          <w:rFonts w:hint="eastAsia"/>
        </w:rPr>
        <w:t>法院於104年2月3日提供本院</w:t>
      </w:r>
      <w:r w:rsidR="00046D35">
        <w:rPr>
          <w:rFonts w:hint="eastAsia"/>
        </w:rPr>
        <w:t>詢問</w:t>
      </w:r>
      <w:r w:rsidR="00A4532D">
        <w:rPr>
          <w:rFonts w:hint="eastAsia"/>
        </w:rPr>
        <w:t>之書面說明中有關各級法院辦理刑事保證金業務之程序及控管機制，臺灣高等法院臺南分院</w:t>
      </w:r>
      <w:r>
        <w:rPr>
          <w:rFonts w:hint="eastAsia"/>
        </w:rPr>
        <w:t>則</w:t>
      </w:r>
      <w:r w:rsidR="00A4532D">
        <w:rPr>
          <w:rFonts w:hint="eastAsia"/>
        </w:rPr>
        <w:t>稱，目前尚無電腦控管機制、辦理交保之法院、檢察機關承</w:t>
      </w:r>
      <w:r w:rsidR="00A97490">
        <w:rPr>
          <w:rFonts w:hint="eastAsia"/>
        </w:rPr>
        <w:t>辦</w:t>
      </w:r>
      <w:r w:rsidR="00A4532D">
        <w:rPr>
          <w:rFonts w:hint="eastAsia"/>
        </w:rPr>
        <w:t>書記官如未落實於卷面欄位詳實填載，後續接辦人員</w:t>
      </w:r>
      <w:proofErr w:type="gramStart"/>
      <w:r w:rsidR="00A4532D">
        <w:rPr>
          <w:rFonts w:hint="eastAsia"/>
        </w:rPr>
        <w:t>恐有疏未</w:t>
      </w:r>
      <w:proofErr w:type="gramEnd"/>
      <w:r w:rsidR="00A4532D">
        <w:rPr>
          <w:rFonts w:hint="eastAsia"/>
        </w:rPr>
        <w:t>注意致漏未發</w:t>
      </w:r>
      <w:r w:rsidR="00A4532D">
        <w:rPr>
          <w:rFonts w:hint="eastAsia"/>
        </w:rPr>
        <w:lastRenderedPageBreak/>
        <w:t>還之虞，待清理久未發還保證金調卷辦理時，</w:t>
      </w:r>
      <w:proofErr w:type="gramStart"/>
      <w:r w:rsidR="00A4532D">
        <w:rPr>
          <w:rFonts w:hint="eastAsia"/>
        </w:rPr>
        <w:t>卷證若逾</w:t>
      </w:r>
      <w:proofErr w:type="gramEnd"/>
      <w:r w:rsidR="00A4532D">
        <w:rPr>
          <w:rFonts w:hint="eastAsia"/>
        </w:rPr>
        <w:t>保管期限銷</w:t>
      </w:r>
      <w:proofErr w:type="gramStart"/>
      <w:r w:rsidR="00A4532D">
        <w:rPr>
          <w:rFonts w:hint="eastAsia"/>
        </w:rPr>
        <w:t>燬</w:t>
      </w:r>
      <w:proofErr w:type="gramEnd"/>
      <w:r w:rsidR="00A4532D">
        <w:rPr>
          <w:rFonts w:hint="eastAsia"/>
        </w:rPr>
        <w:t>，則將增加發還作之困難，耗費更多的人力及時間、刑事案件訴訟時間如果歷經長久時間（</w:t>
      </w:r>
      <w:r w:rsidR="00A97490">
        <w:rPr>
          <w:rFonts w:hint="eastAsia"/>
        </w:rPr>
        <w:t>一</w:t>
      </w:r>
      <w:r w:rsidR="00A4532D">
        <w:rPr>
          <w:rFonts w:hint="eastAsia"/>
        </w:rPr>
        <w:t>、</w:t>
      </w:r>
      <w:r w:rsidR="00A97490">
        <w:rPr>
          <w:rFonts w:hint="eastAsia"/>
        </w:rPr>
        <w:t>二十</w:t>
      </w:r>
      <w:r w:rsidR="00A4532D">
        <w:rPr>
          <w:rFonts w:hint="eastAsia"/>
        </w:rPr>
        <w:t>年）才確定，保證人之資料（是否已死亡、遷移或失聯）恐有巨大變化，亦增加發還之難度。</w:t>
      </w:r>
      <w:r>
        <w:rPr>
          <w:rFonts w:hint="eastAsia"/>
        </w:rPr>
        <w:t>是</w:t>
      </w:r>
      <w:proofErr w:type="gramStart"/>
      <w:r>
        <w:rPr>
          <w:rFonts w:hint="eastAsia"/>
        </w:rPr>
        <w:t>以</w:t>
      </w:r>
      <w:proofErr w:type="gramEnd"/>
      <w:r>
        <w:rPr>
          <w:rFonts w:hint="eastAsia"/>
        </w:rPr>
        <w:t>，該</w:t>
      </w:r>
      <w:r w:rsidR="00CE25C6">
        <w:rPr>
          <w:rFonts w:hint="eastAsia"/>
        </w:rPr>
        <w:t>審判系統</w:t>
      </w:r>
      <w:r>
        <w:rPr>
          <w:rFonts w:hint="eastAsia"/>
        </w:rPr>
        <w:t>之</w:t>
      </w:r>
      <w:r w:rsidR="00CE25C6">
        <w:rPr>
          <w:rFonts w:hint="eastAsia"/>
        </w:rPr>
        <w:t>警示程式，</w:t>
      </w:r>
      <w:r>
        <w:rPr>
          <w:rFonts w:hint="eastAsia"/>
        </w:rPr>
        <w:t>應非臺灣高等法院臺南分院所稱之電腦控管機制。</w:t>
      </w:r>
    </w:p>
    <w:p w:rsidR="00A4532D" w:rsidRDefault="00A4532D" w:rsidP="00100692">
      <w:pPr>
        <w:pStyle w:val="3"/>
      </w:pPr>
      <w:r>
        <w:rPr>
          <w:rFonts w:hint="eastAsia"/>
        </w:rPr>
        <w:t>司法院刑事廳</w:t>
      </w:r>
      <w:proofErr w:type="gramStart"/>
      <w:r>
        <w:rPr>
          <w:rFonts w:hint="eastAsia"/>
        </w:rPr>
        <w:t>104年4月27日應刑一字</w:t>
      </w:r>
      <w:proofErr w:type="gramEnd"/>
      <w:r>
        <w:rPr>
          <w:rFonts w:hint="eastAsia"/>
        </w:rPr>
        <w:t>第1040010105號</w:t>
      </w:r>
      <w:proofErr w:type="gramStart"/>
      <w:r>
        <w:rPr>
          <w:rFonts w:hint="eastAsia"/>
        </w:rPr>
        <w:t>函復本院</w:t>
      </w:r>
      <w:proofErr w:type="gramEnd"/>
      <w:r w:rsidR="008B4D42">
        <w:rPr>
          <w:rFonts w:hint="eastAsia"/>
        </w:rPr>
        <w:t>有關</w:t>
      </w:r>
      <w:r w:rsidR="005F57ED">
        <w:rPr>
          <w:rFonts w:hint="eastAsia"/>
        </w:rPr>
        <w:t>各級法院保管刑事保證金屬判決確定者，其</w:t>
      </w:r>
      <w:r w:rsidR="008B4D42">
        <w:rPr>
          <w:rFonts w:hint="eastAsia"/>
        </w:rPr>
        <w:t>63年至92年及93年至102年10月底</w:t>
      </w:r>
      <w:r w:rsidR="005F57ED">
        <w:rPr>
          <w:rFonts w:hint="eastAsia"/>
        </w:rPr>
        <w:t>之件數，臺灣新竹地方法院稱，因刑事審判系統未提供確定案件</w:t>
      </w:r>
      <w:proofErr w:type="gramStart"/>
      <w:r w:rsidR="005F57ED">
        <w:rPr>
          <w:rFonts w:hint="eastAsia"/>
        </w:rPr>
        <w:t>件</w:t>
      </w:r>
      <w:proofErr w:type="gramEnd"/>
      <w:r w:rsidR="005F57ED">
        <w:rPr>
          <w:rFonts w:hint="eastAsia"/>
        </w:rPr>
        <w:t>數查詢功能，會計及出納系統亦無開票回收案件之查詢與統計，致使案件是否確定或曾經開票</w:t>
      </w:r>
      <w:proofErr w:type="gramStart"/>
      <w:r w:rsidR="005F57ED">
        <w:rPr>
          <w:rFonts w:hint="eastAsia"/>
        </w:rPr>
        <w:t>收回均需逐</w:t>
      </w:r>
      <w:proofErr w:type="gramEnd"/>
      <w:r w:rsidR="005F57ED">
        <w:rPr>
          <w:rFonts w:hint="eastAsia"/>
        </w:rPr>
        <w:t>案追蹤查明。加以每案掌握之資料多寡不同，少數案件案號及被告姓名未登載或登載錯誤而又需調取原始收款資料，以人工逐筆查核，始能判斷是否確定。…</w:t>
      </w:r>
      <w:proofErr w:type="gramStart"/>
      <w:r w:rsidR="00737BD3">
        <w:rPr>
          <w:rFonts w:hint="eastAsia"/>
        </w:rPr>
        <w:t>…</w:t>
      </w:r>
      <w:proofErr w:type="gramEnd"/>
      <w:r w:rsidR="005F57ED">
        <w:rPr>
          <w:rFonts w:hint="eastAsia"/>
        </w:rPr>
        <w:t>該院提出之件數及金額僅為最保守估算，並非</w:t>
      </w:r>
      <w:proofErr w:type="gramStart"/>
      <w:r w:rsidR="005F57ED">
        <w:rPr>
          <w:rFonts w:hint="eastAsia"/>
        </w:rPr>
        <w:t>實際件</w:t>
      </w:r>
      <w:proofErr w:type="gramEnd"/>
      <w:r w:rsidR="005F57ED">
        <w:rPr>
          <w:rFonts w:hint="eastAsia"/>
        </w:rPr>
        <w:t>數及金額。</w:t>
      </w:r>
      <w:proofErr w:type="gramStart"/>
      <w:r w:rsidR="005F57ED">
        <w:rPr>
          <w:rFonts w:hint="eastAsia"/>
        </w:rPr>
        <w:t>又同函有關</w:t>
      </w:r>
      <w:proofErr w:type="gramEnd"/>
      <w:r w:rsidR="005F57ED">
        <w:rPr>
          <w:rFonts w:hint="eastAsia"/>
        </w:rPr>
        <w:t>刑事訴訟法第119條之1施行日各法院保管及暫繳國庫之刑事保證金情形</w:t>
      </w:r>
      <w:r w:rsidR="009F1507">
        <w:rPr>
          <w:rFonts w:hint="eastAsia"/>
        </w:rPr>
        <w:t>（含判決確定及判決未確定件數及金額）</w:t>
      </w:r>
      <w:r w:rsidR="005F57ED">
        <w:rPr>
          <w:rFonts w:hint="eastAsia"/>
        </w:rPr>
        <w:t>，臺灣高雄地方法院稱該院待查案件高達1,715筆，須逐案</w:t>
      </w:r>
      <w:proofErr w:type="gramStart"/>
      <w:r w:rsidR="005F57ED">
        <w:rPr>
          <w:rFonts w:hint="eastAsia"/>
        </w:rPr>
        <w:t>調卷或查詢</w:t>
      </w:r>
      <w:proofErr w:type="gramEnd"/>
      <w:r w:rsidR="005F57ED">
        <w:rPr>
          <w:rFonts w:hint="eastAsia"/>
        </w:rPr>
        <w:t>前科資料核對，所費相當人力及時間，短期實無法就所要求</w:t>
      </w:r>
      <w:proofErr w:type="gramStart"/>
      <w:r w:rsidR="005F57ED">
        <w:rPr>
          <w:rFonts w:hint="eastAsia"/>
        </w:rPr>
        <w:t>內容類填具</w:t>
      </w:r>
      <w:proofErr w:type="gramEnd"/>
      <w:r w:rsidR="009F1507">
        <w:rPr>
          <w:rFonts w:hint="eastAsia"/>
        </w:rPr>
        <w:t>。</w:t>
      </w:r>
      <w:r w:rsidR="00991006">
        <w:rPr>
          <w:rFonts w:hint="eastAsia"/>
        </w:rPr>
        <w:t>顯見各級法院並未建置相關系統以控管刑事保證金業務</w:t>
      </w:r>
      <w:r w:rsidR="00CE25C6">
        <w:rPr>
          <w:rFonts w:hint="eastAsia"/>
        </w:rPr>
        <w:t>，造成相關統計</w:t>
      </w:r>
      <w:r w:rsidR="006D27E7">
        <w:rPr>
          <w:rFonts w:hint="eastAsia"/>
        </w:rPr>
        <w:t>及管考</w:t>
      </w:r>
      <w:r w:rsidR="00CE25C6">
        <w:rPr>
          <w:rFonts w:hint="eastAsia"/>
        </w:rPr>
        <w:t>之困難</w:t>
      </w:r>
      <w:r w:rsidR="00836586">
        <w:rPr>
          <w:rFonts w:hint="eastAsia"/>
        </w:rPr>
        <w:t>，亦有影響具保人（權利人）權益之虞</w:t>
      </w:r>
      <w:r w:rsidR="00991006">
        <w:rPr>
          <w:rFonts w:hint="eastAsia"/>
        </w:rPr>
        <w:t>。</w:t>
      </w:r>
    </w:p>
    <w:p w:rsidR="00991006" w:rsidRDefault="00737BD3" w:rsidP="00100692">
      <w:pPr>
        <w:pStyle w:val="3"/>
      </w:pPr>
      <w:proofErr w:type="gramStart"/>
      <w:r>
        <w:rPr>
          <w:rFonts w:hint="eastAsia"/>
        </w:rPr>
        <w:t>綜</w:t>
      </w:r>
      <w:proofErr w:type="gramEnd"/>
      <w:r w:rsidR="00F62F3C">
        <w:rPr>
          <w:rFonts w:hint="eastAsia"/>
        </w:rPr>
        <w:t>上述，</w:t>
      </w:r>
      <w:r w:rsidR="00D55553">
        <w:rPr>
          <w:rFonts w:hint="eastAsia"/>
        </w:rPr>
        <w:t>各級法院雖有保</w:t>
      </w:r>
      <w:proofErr w:type="gramStart"/>
      <w:r w:rsidR="00D55553">
        <w:rPr>
          <w:rFonts w:hint="eastAsia"/>
        </w:rPr>
        <w:t>保</w:t>
      </w:r>
      <w:proofErr w:type="gramEnd"/>
      <w:r w:rsidR="00D55553">
        <w:rPr>
          <w:rFonts w:hint="eastAsia"/>
        </w:rPr>
        <w:t>系統得以知悉刑事保證金之收支明細，</w:t>
      </w:r>
      <w:r w:rsidR="006D27E7">
        <w:rPr>
          <w:rFonts w:hint="eastAsia"/>
        </w:rPr>
        <w:t>且</w:t>
      </w:r>
      <w:r w:rsidR="00D55553">
        <w:rPr>
          <w:rFonts w:hint="eastAsia"/>
        </w:rPr>
        <w:t>該系統</w:t>
      </w:r>
      <w:r w:rsidR="006D27E7">
        <w:rPr>
          <w:rFonts w:hint="eastAsia"/>
        </w:rPr>
        <w:t>亦</w:t>
      </w:r>
      <w:r w:rsidR="00D55553">
        <w:rPr>
          <w:rFonts w:hint="eastAsia"/>
        </w:rPr>
        <w:t>設有繳款人、被告、案</w:t>
      </w:r>
      <w:r w:rsidR="00486A53">
        <w:rPr>
          <w:rFonts w:hint="eastAsia"/>
        </w:rPr>
        <w:t>由</w:t>
      </w:r>
      <w:r w:rsidR="00D55553">
        <w:rPr>
          <w:rFonts w:hint="eastAsia"/>
        </w:rPr>
        <w:t>、身分證字號等</w:t>
      </w:r>
      <w:proofErr w:type="gramStart"/>
      <w:r w:rsidR="00D55553">
        <w:rPr>
          <w:rFonts w:hint="eastAsia"/>
        </w:rPr>
        <w:t>攸</w:t>
      </w:r>
      <w:proofErr w:type="gramEnd"/>
      <w:r w:rsidR="00D55553">
        <w:rPr>
          <w:rFonts w:hint="eastAsia"/>
        </w:rPr>
        <w:t>關資訊，</w:t>
      </w:r>
      <w:r w:rsidR="006D27E7">
        <w:rPr>
          <w:rFonts w:hint="eastAsia"/>
        </w:rPr>
        <w:t>惟</w:t>
      </w:r>
      <w:r w:rsidR="00D55553">
        <w:rPr>
          <w:rFonts w:hint="eastAsia"/>
        </w:rPr>
        <w:t>因</w:t>
      </w:r>
      <w:r w:rsidR="00486A53">
        <w:rPr>
          <w:rFonts w:hint="eastAsia"/>
        </w:rPr>
        <w:t>該等</w:t>
      </w:r>
      <w:r w:rsidR="00D55553">
        <w:rPr>
          <w:rFonts w:hint="eastAsia"/>
        </w:rPr>
        <w:t>非</w:t>
      </w:r>
      <w:r w:rsidR="00486A53">
        <w:rPr>
          <w:rFonts w:hint="eastAsia"/>
        </w:rPr>
        <w:t>屬</w:t>
      </w:r>
      <w:r w:rsidR="00D55553">
        <w:rPr>
          <w:rFonts w:hint="eastAsia"/>
        </w:rPr>
        <w:t>必要</w:t>
      </w:r>
      <w:r w:rsidR="006D27E7">
        <w:rPr>
          <w:rFonts w:hint="eastAsia"/>
        </w:rPr>
        <w:t>填具</w:t>
      </w:r>
      <w:r w:rsidR="00486A53">
        <w:rPr>
          <w:rFonts w:hint="eastAsia"/>
        </w:rPr>
        <w:t>之欄位</w:t>
      </w:r>
      <w:r w:rsidR="00D55553">
        <w:rPr>
          <w:rFonts w:hint="eastAsia"/>
        </w:rPr>
        <w:t>，</w:t>
      </w:r>
      <w:proofErr w:type="gramStart"/>
      <w:r w:rsidR="00D55553">
        <w:rPr>
          <w:rFonts w:hint="eastAsia"/>
        </w:rPr>
        <w:t>倘未填</w:t>
      </w:r>
      <w:proofErr w:type="gramEnd"/>
      <w:r w:rsidR="00D55553">
        <w:rPr>
          <w:rFonts w:hint="eastAsia"/>
        </w:rPr>
        <w:t>具，</w:t>
      </w:r>
      <w:r w:rsidR="00486A53">
        <w:rPr>
          <w:rFonts w:hint="eastAsia"/>
        </w:rPr>
        <w:t>則</w:t>
      </w:r>
      <w:r w:rsidR="00D55553">
        <w:rPr>
          <w:rFonts w:hint="eastAsia"/>
        </w:rPr>
        <w:t>日後</w:t>
      </w:r>
      <w:r w:rsidR="00C251C2">
        <w:rPr>
          <w:rFonts w:hint="eastAsia"/>
        </w:rPr>
        <w:t>，尤在卷證銷</w:t>
      </w:r>
      <w:proofErr w:type="gramStart"/>
      <w:r w:rsidR="00C251C2">
        <w:rPr>
          <w:rFonts w:hint="eastAsia"/>
        </w:rPr>
        <w:t>燬</w:t>
      </w:r>
      <w:proofErr w:type="gramEnd"/>
      <w:r w:rsidR="00C251C2">
        <w:rPr>
          <w:rFonts w:hint="eastAsia"/>
        </w:rPr>
        <w:t>之後</w:t>
      </w:r>
      <w:r w:rsidR="00C251C2">
        <w:rPr>
          <w:rFonts w:hint="eastAsia"/>
        </w:rPr>
        <w:lastRenderedPageBreak/>
        <w:t>，</w:t>
      </w:r>
      <w:r w:rsidR="00D55553">
        <w:rPr>
          <w:rFonts w:hint="eastAsia"/>
        </w:rPr>
        <w:t>查詢</w:t>
      </w:r>
      <w:r w:rsidR="005D255A">
        <w:rPr>
          <w:rFonts w:hint="eastAsia"/>
        </w:rPr>
        <w:t>更</w:t>
      </w:r>
      <w:r w:rsidR="00D55553">
        <w:rPr>
          <w:rFonts w:hint="eastAsia"/>
        </w:rPr>
        <w:t>生困難。又</w:t>
      </w:r>
      <w:r w:rsidR="00265507">
        <w:rPr>
          <w:rFonts w:hint="eastAsia"/>
        </w:rPr>
        <w:t>以</w:t>
      </w:r>
      <w:r w:rsidR="00D55553">
        <w:rPr>
          <w:rFonts w:hint="eastAsia"/>
        </w:rPr>
        <w:t>臺灣新竹地方法院及臺灣高雄地方法院無法掌握其所保管判決確定案件之刑事保證金，亦即</w:t>
      </w:r>
      <w:r w:rsidR="005D255A">
        <w:rPr>
          <w:rFonts w:hint="eastAsia"/>
        </w:rPr>
        <w:t>該等法院並</w:t>
      </w:r>
      <w:r w:rsidR="00D55553">
        <w:rPr>
          <w:rFonts w:hint="eastAsia"/>
        </w:rPr>
        <w:t>未知悉其應該發還而未發還之刑事保證金情</w:t>
      </w:r>
      <w:r w:rsidR="00265507">
        <w:rPr>
          <w:rFonts w:hint="eastAsia"/>
        </w:rPr>
        <w:t>形</w:t>
      </w:r>
      <w:r w:rsidR="00D55553">
        <w:rPr>
          <w:rFonts w:hint="eastAsia"/>
        </w:rPr>
        <w:t>觀之，</w:t>
      </w:r>
      <w:r w:rsidR="00B54BA6">
        <w:rPr>
          <w:rFonts w:hint="eastAsia"/>
        </w:rPr>
        <w:t>各級法院對於刑事保證金之業務</w:t>
      </w:r>
      <w:r w:rsidR="00D55553">
        <w:rPr>
          <w:rFonts w:hint="eastAsia"/>
        </w:rPr>
        <w:t>未建置</w:t>
      </w:r>
      <w:r w:rsidR="00B54BA6">
        <w:rPr>
          <w:rFonts w:hint="eastAsia"/>
        </w:rPr>
        <w:t>相關系統控管</w:t>
      </w:r>
      <w:r w:rsidR="00D55553">
        <w:rPr>
          <w:rFonts w:hint="eastAsia"/>
        </w:rPr>
        <w:t>，</w:t>
      </w:r>
      <w:r w:rsidR="005D255A">
        <w:rPr>
          <w:rFonts w:hint="eastAsia"/>
        </w:rPr>
        <w:t>將</w:t>
      </w:r>
      <w:r w:rsidR="00D55553">
        <w:rPr>
          <w:rFonts w:hint="eastAsia"/>
        </w:rPr>
        <w:t>有嚴重影響具保人（權利人）之權益之虞</w:t>
      </w:r>
      <w:r w:rsidR="00C251C2">
        <w:rPr>
          <w:rFonts w:hint="eastAsia"/>
        </w:rPr>
        <w:t>，</w:t>
      </w:r>
      <w:proofErr w:type="gramStart"/>
      <w:r w:rsidR="00C251C2">
        <w:rPr>
          <w:rFonts w:hint="eastAsia"/>
        </w:rPr>
        <w:t>爰</w:t>
      </w:r>
      <w:proofErr w:type="gramEnd"/>
      <w:r w:rsidR="00C251C2">
        <w:rPr>
          <w:rFonts w:hint="eastAsia"/>
        </w:rPr>
        <w:t>司法</w:t>
      </w:r>
      <w:proofErr w:type="gramStart"/>
      <w:r w:rsidR="00C251C2">
        <w:rPr>
          <w:rFonts w:hint="eastAsia"/>
        </w:rPr>
        <w:t>院</w:t>
      </w:r>
      <w:r w:rsidR="00D55553">
        <w:rPr>
          <w:rFonts w:hint="eastAsia"/>
        </w:rPr>
        <w:t>允宜研</w:t>
      </w:r>
      <w:proofErr w:type="gramEnd"/>
      <w:r w:rsidR="00D55553">
        <w:rPr>
          <w:rFonts w:hint="eastAsia"/>
        </w:rPr>
        <w:t>議於保</w:t>
      </w:r>
      <w:proofErr w:type="gramStart"/>
      <w:r w:rsidR="00D55553">
        <w:rPr>
          <w:rFonts w:hint="eastAsia"/>
        </w:rPr>
        <w:t>保</w:t>
      </w:r>
      <w:proofErr w:type="gramEnd"/>
      <w:r w:rsidR="00D55553">
        <w:rPr>
          <w:rFonts w:hint="eastAsia"/>
        </w:rPr>
        <w:t>系統中增加退還刑事保證金之控管功能或建置相關系統，</w:t>
      </w:r>
      <w:proofErr w:type="gramStart"/>
      <w:r w:rsidR="00D55553">
        <w:rPr>
          <w:rFonts w:hint="eastAsia"/>
        </w:rPr>
        <w:t>俾</w:t>
      </w:r>
      <w:proofErr w:type="gramEnd"/>
      <w:r w:rsidR="00D55553">
        <w:rPr>
          <w:rFonts w:hint="eastAsia"/>
        </w:rPr>
        <w:t>提升刑事保證金案件</w:t>
      </w:r>
      <w:r>
        <w:rPr>
          <w:rFonts w:hint="eastAsia"/>
        </w:rPr>
        <w:t>發還、</w:t>
      </w:r>
      <w:r w:rsidR="00D55553">
        <w:rPr>
          <w:rFonts w:hint="eastAsia"/>
        </w:rPr>
        <w:t>清理成效，並可資為法院行政管理績效衡量指標。</w:t>
      </w:r>
    </w:p>
    <w:p w:rsidR="008372C1" w:rsidRDefault="008372C1">
      <w:pPr>
        <w:widowControl/>
        <w:rPr>
          <w:rFonts w:ascii="標楷體" w:hAnsi="Arial"/>
          <w:bCs/>
          <w:kern w:val="0"/>
          <w:szCs w:val="48"/>
        </w:rPr>
      </w:pPr>
      <w:r>
        <w:br w:type="page"/>
      </w:r>
    </w:p>
    <w:bookmarkEnd w:id="23"/>
    <w:p w:rsidR="008372C1" w:rsidRDefault="008372C1" w:rsidP="008372C1">
      <w:pPr>
        <w:pStyle w:val="1"/>
        <w:rPr>
          <w:szCs w:val="32"/>
        </w:rPr>
      </w:pPr>
      <w:r>
        <w:rPr>
          <w:rFonts w:hint="eastAsia"/>
          <w:szCs w:val="32"/>
        </w:rPr>
        <w:lastRenderedPageBreak/>
        <w:t>處理辦法：</w:t>
      </w:r>
    </w:p>
    <w:p w:rsidR="00C251C2" w:rsidRDefault="00C251C2" w:rsidP="00C251C2">
      <w:pPr>
        <w:pStyle w:val="2"/>
        <w:kinsoku/>
        <w:ind w:left="1043"/>
      </w:pPr>
      <w:r>
        <w:rPr>
          <w:rFonts w:hint="eastAsia"/>
        </w:rPr>
        <w:t>調查意見函請司法院並轉</w:t>
      </w:r>
      <w:proofErr w:type="gramStart"/>
      <w:r>
        <w:rPr>
          <w:rFonts w:hint="eastAsia"/>
        </w:rPr>
        <w:t>飭</w:t>
      </w:r>
      <w:proofErr w:type="gramEnd"/>
      <w:r>
        <w:rPr>
          <w:rFonts w:hint="eastAsia"/>
        </w:rPr>
        <w:t>所屬檢討改進</w:t>
      </w:r>
      <w:proofErr w:type="gramStart"/>
      <w:r>
        <w:rPr>
          <w:rFonts w:hint="eastAsia"/>
        </w:rPr>
        <w:t>見復。</w:t>
      </w:r>
      <w:proofErr w:type="gramEnd"/>
    </w:p>
    <w:p w:rsidR="00C251C2" w:rsidRDefault="00C251C2" w:rsidP="00C251C2">
      <w:pPr>
        <w:pStyle w:val="2"/>
        <w:ind w:left="1020" w:hanging="680"/>
      </w:pPr>
      <w:bookmarkStart w:id="24" w:name="_Toc69556900"/>
      <w:bookmarkStart w:id="25" w:name="_Toc69556949"/>
      <w:bookmarkStart w:id="26" w:name="_Toc69609823"/>
      <w:bookmarkStart w:id="27" w:name="_Toc70241821"/>
      <w:bookmarkStart w:id="28" w:name="_Toc70242210"/>
      <w:bookmarkStart w:id="29" w:name="_Toc2400397"/>
      <w:bookmarkStart w:id="30" w:name="_Toc4316191"/>
      <w:bookmarkStart w:id="31" w:name="_Toc4473332"/>
      <w:r>
        <w:rPr>
          <w:rFonts w:hint="eastAsia"/>
        </w:rPr>
        <w:t>調查意見函送審計部參考。</w:t>
      </w:r>
      <w:bookmarkEnd w:id="24"/>
      <w:bookmarkEnd w:id="25"/>
      <w:bookmarkEnd w:id="26"/>
      <w:bookmarkEnd w:id="27"/>
      <w:bookmarkEnd w:id="28"/>
    </w:p>
    <w:p w:rsidR="00C251C2" w:rsidRPr="007525E8" w:rsidRDefault="00C251C2" w:rsidP="00C251C2">
      <w:pPr>
        <w:pStyle w:val="2"/>
        <w:kinsoku/>
        <w:ind w:left="1020" w:hanging="680"/>
      </w:pPr>
      <w:bookmarkStart w:id="32" w:name="_Toc69556901"/>
      <w:bookmarkStart w:id="33" w:name="_Toc69556950"/>
      <w:bookmarkStart w:id="34" w:name="_Toc69609824"/>
      <w:bookmarkStart w:id="35" w:name="_Toc70241822"/>
      <w:bookmarkStart w:id="36" w:name="_Toc70242211"/>
      <w:r>
        <w:rPr>
          <w:rFonts w:hint="eastAsia"/>
          <w:color w:val="000000"/>
        </w:rPr>
        <w:t>檢</w:t>
      </w:r>
      <w:proofErr w:type="gramStart"/>
      <w:r>
        <w:rPr>
          <w:rFonts w:hint="eastAsia"/>
          <w:color w:val="000000"/>
        </w:rPr>
        <w:t>附派查函</w:t>
      </w:r>
      <w:proofErr w:type="gramEnd"/>
      <w:r>
        <w:rPr>
          <w:rFonts w:hint="eastAsia"/>
          <w:color w:val="000000"/>
        </w:rPr>
        <w:t>及相關附件，送請</w:t>
      </w:r>
      <w:r w:rsidR="000A109F">
        <w:rPr>
          <w:rFonts w:hint="eastAsia"/>
          <w:color w:val="000000"/>
        </w:rPr>
        <w:t>司法及獄政</w:t>
      </w:r>
      <w:r>
        <w:rPr>
          <w:rFonts w:hint="eastAsia"/>
          <w:color w:val="000000"/>
        </w:rPr>
        <w:t>委員會處理。</w:t>
      </w:r>
      <w:bookmarkEnd w:id="29"/>
      <w:bookmarkEnd w:id="30"/>
      <w:bookmarkEnd w:id="31"/>
      <w:bookmarkEnd w:id="32"/>
      <w:bookmarkEnd w:id="33"/>
      <w:bookmarkEnd w:id="34"/>
      <w:bookmarkEnd w:id="35"/>
      <w:bookmarkEnd w:id="36"/>
    </w:p>
    <w:p w:rsidR="00C251C2" w:rsidRDefault="00C251C2" w:rsidP="00FB2FC1">
      <w:pPr>
        <w:pStyle w:val="a5"/>
        <w:kinsoku w:val="0"/>
        <w:spacing w:before="0" w:after="0"/>
        <w:ind w:leftChars="250" w:left="3741" w:hangingChars="651" w:hanging="2891"/>
        <w:jc w:val="both"/>
        <w:rPr>
          <w:rFonts w:ascii="Times New Roman"/>
          <w:b w:val="0"/>
          <w:bCs/>
          <w:snapToGrid/>
          <w:spacing w:val="0"/>
          <w:kern w:val="0"/>
          <w:sz w:val="40"/>
        </w:rPr>
      </w:pPr>
      <w:r>
        <w:rPr>
          <w:rFonts w:hint="eastAsia"/>
          <w:b w:val="0"/>
          <w:bCs/>
          <w:snapToGrid/>
          <w:spacing w:val="12"/>
          <w:kern w:val="0"/>
          <w:sz w:val="40"/>
        </w:rPr>
        <w:t>調查委員：</w:t>
      </w:r>
      <w:r w:rsidR="00FB2FC1">
        <w:rPr>
          <w:rFonts w:hint="eastAsia"/>
          <w:b w:val="0"/>
          <w:bCs/>
          <w:snapToGrid/>
          <w:spacing w:val="12"/>
          <w:kern w:val="0"/>
          <w:sz w:val="40"/>
        </w:rPr>
        <w:t>江明蒼 劉德勳 孫大川</w:t>
      </w:r>
    </w:p>
    <w:p w:rsidR="00C251C2" w:rsidRDefault="00C251C2" w:rsidP="00C251C2">
      <w:pPr>
        <w:pStyle w:val="a5"/>
        <w:kinsoku w:val="0"/>
        <w:spacing w:before="0" w:after="0"/>
        <w:ind w:leftChars="1100" w:left="3742" w:firstLineChars="500" w:firstLine="2021"/>
        <w:jc w:val="both"/>
        <w:rPr>
          <w:b w:val="0"/>
          <w:bCs/>
          <w:snapToGrid/>
          <w:spacing w:val="12"/>
          <w:kern w:val="0"/>
        </w:rPr>
      </w:pPr>
    </w:p>
    <w:p w:rsidR="00C251C2" w:rsidRDefault="00C251C2" w:rsidP="00C251C2">
      <w:pPr>
        <w:pStyle w:val="a5"/>
        <w:kinsoku w:val="0"/>
        <w:spacing w:before="0" w:after="0"/>
        <w:ind w:leftChars="1100" w:left="3742" w:firstLineChars="500" w:firstLine="2021"/>
        <w:jc w:val="both"/>
        <w:rPr>
          <w:b w:val="0"/>
          <w:bCs/>
          <w:snapToGrid/>
          <w:spacing w:val="12"/>
          <w:kern w:val="0"/>
        </w:rPr>
      </w:pPr>
    </w:p>
    <w:p w:rsidR="00C251C2" w:rsidRDefault="00C251C2" w:rsidP="00C251C2">
      <w:pPr>
        <w:pStyle w:val="a5"/>
        <w:kinsoku w:val="0"/>
        <w:spacing w:before="0" w:after="0"/>
        <w:ind w:leftChars="1100" w:left="3742" w:firstLineChars="500" w:firstLine="2021"/>
        <w:jc w:val="both"/>
        <w:rPr>
          <w:b w:val="0"/>
          <w:bCs/>
          <w:snapToGrid/>
          <w:spacing w:val="12"/>
          <w:kern w:val="0"/>
        </w:rPr>
      </w:pPr>
    </w:p>
    <w:p w:rsidR="00C251C2" w:rsidRDefault="00C251C2" w:rsidP="00C251C2">
      <w:pPr>
        <w:pStyle w:val="a5"/>
        <w:kinsoku w:val="0"/>
        <w:spacing w:before="0" w:after="0"/>
        <w:ind w:leftChars="1100" w:left="3742" w:firstLineChars="500" w:firstLine="2021"/>
        <w:jc w:val="both"/>
        <w:rPr>
          <w:b w:val="0"/>
          <w:bCs/>
          <w:snapToGrid/>
          <w:spacing w:val="12"/>
          <w:kern w:val="0"/>
        </w:rPr>
      </w:pPr>
    </w:p>
    <w:p w:rsidR="00C251C2" w:rsidRDefault="00C251C2" w:rsidP="00C251C2">
      <w:pPr>
        <w:pStyle w:val="a5"/>
        <w:kinsoku w:val="0"/>
        <w:spacing w:before="0" w:after="0"/>
        <w:ind w:leftChars="1100" w:left="3742" w:firstLineChars="500" w:firstLine="2021"/>
        <w:jc w:val="both"/>
        <w:rPr>
          <w:b w:val="0"/>
          <w:bCs/>
          <w:snapToGrid/>
          <w:spacing w:val="12"/>
          <w:kern w:val="0"/>
        </w:rPr>
      </w:pPr>
    </w:p>
    <w:p w:rsidR="00C251C2" w:rsidRDefault="00C251C2" w:rsidP="00C251C2">
      <w:pPr>
        <w:pStyle w:val="a5"/>
        <w:kinsoku w:val="0"/>
        <w:spacing w:before="0" w:after="0"/>
        <w:ind w:leftChars="1100" w:left="3742" w:firstLineChars="500" w:firstLine="2021"/>
        <w:jc w:val="both"/>
        <w:rPr>
          <w:b w:val="0"/>
          <w:bCs/>
          <w:snapToGrid/>
          <w:spacing w:val="12"/>
          <w:kern w:val="0"/>
        </w:rPr>
      </w:pPr>
    </w:p>
    <w:p w:rsidR="00C251C2" w:rsidRDefault="00C251C2" w:rsidP="00C251C2">
      <w:pPr>
        <w:pStyle w:val="a5"/>
        <w:kinsoku w:val="0"/>
        <w:spacing w:before="0" w:after="0"/>
        <w:ind w:leftChars="1100" w:left="3742" w:firstLineChars="500" w:firstLine="2021"/>
        <w:jc w:val="both"/>
        <w:rPr>
          <w:b w:val="0"/>
          <w:bCs/>
          <w:snapToGrid/>
          <w:spacing w:val="12"/>
          <w:kern w:val="0"/>
        </w:rPr>
      </w:pPr>
    </w:p>
    <w:p w:rsidR="00C251C2" w:rsidRDefault="00C251C2" w:rsidP="00C251C2">
      <w:pPr>
        <w:pStyle w:val="a5"/>
        <w:kinsoku w:val="0"/>
        <w:spacing w:before="0" w:after="0"/>
        <w:ind w:leftChars="1100" w:left="3742" w:firstLineChars="500" w:firstLine="2021"/>
        <w:jc w:val="both"/>
        <w:rPr>
          <w:b w:val="0"/>
          <w:bCs/>
          <w:snapToGrid/>
          <w:spacing w:val="12"/>
          <w:kern w:val="0"/>
        </w:rPr>
      </w:pPr>
    </w:p>
    <w:p w:rsidR="00C251C2" w:rsidRPr="0044528A" w:rsidRDefault="00C251C2" w:rsidP="00C251C2">
      <w:pPr>
        <w:pStyle w:val="a5"/>
        <w:kinsoku w:val="0"/>
        <w:spacing w:before="0" w:after="0"/>
        <w:ind w:leftChars="1100" w:left="3742" w:firstLineChars="500" w:firstLine="2021"/>
        <w:jc w:val="both"/>
        <w:rPr>
          <w:b w:val="0"/>
          <w:bCs/>
          <w:snapToGrid/>
          <w:spacing w:val="12"/>
          <w:kern w:val="0"/>
        </w:rPr>
      </w:pPr>
      <w:bookmarkStart w:id="37" w:name="_GoBack"/>
      <w:bookmarkEnd w:id="37"/>
    </w:p>
    <w:sectPr w:rsidR="00C251C2" w:rsidRPr="0044528A" w:rsidSect="0044528A">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F76" w:rsidRDefault="00934F76" w:rsidP="00255E08">
      <w:r>
        <w:separator/>
      </w:r>
    </w:p>
  </w:endnote>
  <w:endnote w:type="continuationSeparator" w:id="0">
    <w:p w:rsidR="00934F76" w:rsidRDefault="00934F76"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F76" w:rsidRDefault="00934F76" w:rsidP="00255E08">
      <w:r>
        <w:separator/>
      </w:r>
    </w:p>
  </w:footnote>
  <w:footnote w:type="continuationSeparator" w:id="0">
    <w:p w:rsidR="00934F76" w:rsidRDefault="00934F76" w:rsidP="00255E08">
      <w:r>
        <w:continuationSeparator/>
      </w:r>
    </w:p>
  </w:footnote>
  <w:footnote w:id="1">
    <w:p w:rsidR="00046D35" w:rsidRDefault="00046D35">
      <w:pPr>
        <w:pStyle w:val="af3"/>
      </w:pPr>
      <w:r>
        <w:rPr>
          <w:rStyle w:val="af5"/>
        </w:rPr>
        <w:footnoteRef/>
      </w:r>
      <w:r>
        <w:t xml:space="preserve"> </w:t>
      </w:r>
      <w:r>
        <w:rPr>
          <w:rFonts w:hint="eastAsia"/>
        </w:rPr>
        <w:t>臺灣新竹地方法院稱該院提出之件數及金額僅為最保守估算，並非</w:t>
      </w:r>
      <w:proofErr w:type="gramStart"/>
      <w:r>
        <w:rPr>
          <w:rFonts w:hint="eastAsia"/>
        </w:rPr>
        <w:t>實際件</w:t>
      </w:r>
      <w:proofErr w:type="gramEnd"/>
      <w:r>
        <w:rPr>
          <w:rFonts w:hint="eastAsia"/>
        </w:rPr>
        <w:t>數及金額。</w:t>
      </w:r>
    </w:p>
  </w:footnote>
  <w:footnote w:id="2">
    <w:p w:rsidR="00046D35" w:rsidRDefault="00046D35">
      <w:pPr>
        <w:pStyle w:val="af3"/>
      </w:pPr>
      <w:r>
        <w:rPr>
          <w:rStyle w:val="af5"/>
        </w:rPr>
        <w:footnoteRef/>
      </w:r>
      <w:r>
        <w:t xml:space="preserve"> </w:t>
      </w:r>
      <w:r>
        <w:rPr>
          <w:rFonts w:hint="eastAsia"/>
        </w:rPr>
        <w:t>含臺灣高等法院高雄分院暫繳國庫之</w:t>
      </w:r>
      <w:r>
        <w:rPr>
          <w:rFonts w:hint="eastAsia"/>
        </w:rPr>
        <w:t>23</w:t>
      </w:r>
      <w:r>
        <w:rPr>
          <w:rFonts w:hint="eastAsia"/>
        </w:rPr>
        <w:t>件</w:t>
      </w:r>
      <w:r>
        <w:rPr>
          <w:rFonts w:hint="eastAsia"/>
        </w:rPr>
        <w:t>(</w:t>
      </w:r>
      <w:r>
        <w:rPr>
          <w:rFonts w:hint="eastAsia"/>
        </w:rPr>
        <w:t>金額為</w:t>
      </w:r>
      <w:r>
        <w:rPr>
          <w:rFonts w:hint="eastAsia"/>
        </w:rPr>
        <w:t>145</w:t>
      </w:r>
      <w:r>
        <w:rPr>
          <w:rFonts w:hint="eastAsia"/>
        </w:rPr>
        <w:t>萬</w:t>
      </w:r>
      <w:r>
        <w:rPr>
          <w:rFonts w:hint="eastAsia"/>
        </w:rPr>
        <w:t>5,000</w:t>
      </w:r>
      <w:r>
        <w:rPr>
          <w:rFonts w:hint="eastAsia"/>
        </w:rPr>
        <w:t>元</w:t>
      </w:r>
      <w:r>
        <w:rPr>
          <w:rFonts w:hint="eastAsia"/>
        </w:rPr>
        <w:t>)</w:t>
      </w:r>
      <w:r>
        <w:rPr>
          <w:rFonts w:hint="eastAsia"/>
        </w:rPr>
        <w:t>。</w:t>
      </w:r>
    </w:p>
  </w:footnote>
  <w:footnote w:id="3">
    <w:p w:rsidR="00046D35" w:rsidRDefault="00046D35">
      <w:pPr>
        <w:pStyle w:val="af3"/>
      </w:pPr>
      <w:r>
        <w:rPr>
          <w:rStyle w:val="af5"/>
        </w:rPr>
        <w:footnoteRef/>
      </w:r>
      <w:r>
        <w:rPr>
          <w:rFonts w:hint="eastAsia"/>
        </w:rPr>
        <w:t>未進行判決確定與否之分類。</w:t>
      </w:r>
    </w:p>
  </w:footnote>
  <w:footnote w:id="4">
    <w:p w:rsidR="00046D35" w:rsidRDefault="00046D35">
      <w:pPr>
        <w:pStyle w:val="af3"/>
      </w:pPr>
      <w:r>
        <w:rPr>
          <w:rStyle w:val="af5"/>
        </w:rPr>
        <w:footnoteRef/>
      </w:r>
      <w:r>
        <w:t xml:space="preserve"> </w:t>
      </w:r>
      <w:r>
        <w:rPr>
          <w:rFonts w:hint="eastAsia"/>
        </w:rPr>
        <w:t>93</w:t>
      </w:r>
      <w:r>
        <w:rPr>
          <w:rFonts w:hint="eastAsia"/>
        </w:rPr>
        <w:t>年案件且屬判決確定</w:t>
      </w:r>
      <w:proofErr w:type="gramStart"/>
      <w:r>
        <w:rPr>
          <w:rFonts w:hint="eastAsia"/>
        </w:rPr>
        <w:t>者均暫繳</w:t>
      </w:r>
      <w:proofErr w:type="gramEnd"/>
      <w:r>
        <w:rPr>
          <w:rFonts w:hint="eastAsia"/>
        </w:rPr>
        <w:t>國庫。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FB30A4"/>
    <w:multiLevelType w:val="hybridMultilevel"/>
    <w:tmpl w:val="B5E6E588"/>
    <w:lvl w:ilvl="0" w:tplc="21040B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2"/>
  </w:num>
  <w:num w:numId="11">
    <w:abstractNumId w:val="2"/>
  </w:num>
  <w:num w:numId="12">
    <w:abstractNumId w:val="2"/>
  </w:num>
  <w:num w:numId="13">
    <w:abstractNumId w:val="1"/>
  </w:num>
  <w:num w:numId="14">
    <w:abstractNumId w:val="2"/>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
  </w:num>
  <w:num w:numId="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72B"/>
    <w:rsid w:val="00002273"/>
    <w:rsid w:val="00002B23"/>
    <w:rsid w:val="000069AE"/>
    <w:rsid w:val="000069E1"/>
    <w:rsid w:val="00014FBF"/>
    <w:rsid w:val="00022CFB"/>
    <w:rsid w:val="00023718"/>
    <w:rsid w:val="00025668"/>
    <w:rsid w:val="000261E3"/>
    <w:rsid w:val="00026D24"/>
    <w:rsid w:val="0003499A"/>
    <w:rsid w:val="00044B0D"/>
    <w:rsid w:val="000462C4"/>
    <w:rsid w:val="00046D35"/>
    <w:rsid w:val="00047005"/>
    <w:rsid w:val="00051781"/>
    <w:rsid w:val="00056C90"/>
    <w:rsid w:val="00063FFD"/>
    <w:rsid w:val="00066135"/>
    <w:rsid w:val="000673CA"/>
    <w:rsid w:val="00072062"/>
    <w:rsid w:val="00073C72"/>
    <w:rsid w:val="00097621"/>
    <w:rsid w:val="000A109F"/>
    <w:rsid w:val="000A13AA"/>
    <w:rsid w:val="000A2028"/>
    <w:rsid w:val="000A3C79"/>
    <w:rsid w:val="000A3F0F"/>
    <w:rsid w:val="000B01D3"/>
    <w:rsid w:val="000B1B53"/>
    <w:rsid w:val="000B24A8"/>
    <w:rsid w:val="000B554D"/>
    <w:rsid w:val="000C07C8"/>
    <w:rsid w:val="000C12BE"/>
    <w:rsid w:val="000C19AD"/>
    <w:rsid w:val="000C261E"/>
    <w:rsid w:val="000C2BA4"/>
    <w:rsid w:val="000C56D3"/>
    <w:rsid w:val="000D6F64"/>
    <w:rsid w:val="000E0242"/>
    <w:rsid w:val="000E27CB"/>
    <w:rsid w:val="000E60EE"/>
    <w:rsid w:val="000E643E"/>
    <w:rsid w:val="000F2202"/>
    <w:rsid w:val="000F47E6"/>
    <w:rsid w:val="000F6D9B"/>
    <w:rsid w:val="00100692"/>
    <w:rsid w:val="00102823"/>
    <w:rsid w:val="00103B0F"/>
    <w:rsid w:val="001044DE"/>
    <w:rsid w:val="00104676"/>
    <w:rsid w:val="00104ADF"/>
    <w:rsid w:val="00107F03"/>
    <w:rsid w:val="001124A9"/>
    <w:rsid w:val="00113CC6"/>
    <w:rsid w:val="001159A9"/>
    <w:rsid w:val="00116CD5"/>
    <w:rsid w:val="001223B2"/>
    <w:rsid w:val="00123525"/>
    <w:rsid w:val="001252B8"/>
    <w:rsid w:val="00127D9F"/>
    <w:rsid w:val="0013094D"/>
    <w:rsid w:val="00132FC1"/>
    <w:rsid w:val="00133DBC"/>
    <w:rsid w:val="001356ED"/>
    <w:rsid w:val="00136E36"/>
    <w:rsid w:val="00136FBF"/>
    <w:rsid w:val="00137734"/>
    <w:rsid w:val="001411BA"/>
    <w:rsid w:val="001414C6"/>
    <w:rsid w:val="00143F80"/>
    <w:rsid w:val="001446EE"/>
    <w:rsid w:val="001453F2"/>
    <w:rsid w:val="00145859"/>
    <w:rsid w:val="00145CB1"/>
    <w:rsid w:val="00146F72"/>
    <w:rsid w:val="00150C84"/>
    <w:rsid w:val="001529AC"/>
    <w:rsid w:val="001529ED"/>
    <w:rsid w:val="00152A9F"/>
    <w:rsid w:val="00153997"/>
    <w:rsid w:val="00154D0C"/>
    <w:rsid w:val="00156A72"/>
    <w:rsid w:val="00160F5D"/>
    <w:rsid w:val="001621FF"/>
    <w:rsid w:val="00163BB7"/>
    <w:rsid w:val="00164D3C"/>
    <w:rsid w:val="0016535D"/>
    <w:rsid w:val="001705E2"/>
    <w:rsid w:val="00170AE0"/>
    <w:rsid w:val="00171147"/>
    <w:rsid w:val="00171E5B"/>
    <w:rsid w:val="00172400"/>
    <w:rsid w:val="00172C46"/>
    <w:rsid w:val="00172D11"/>
    <w:rsid w:val="00174504"/>
    <w:rsid w:val="001756A0"/>
    <w:rsid w:val="00181572"/>
    <w:rsid w:val="0018211D"/>
    <w:rsid w:val="00183305"/>
    <w:rsid w:val="00183D41"/>
    <w:rsid w:val="00184EF8"/>
    <w:rsid w:val="00185925"/>
    <w:rsid w:val="001906FA"/>
    <w:rsid w:val="0019094B"/>
    <w:rsid w:val="00194D80"/>
    <w:rsid w:val="00195C47"/>
    <w:rsid w:val="00195E30"/>
    <w:rsid w:val="001968A7"/>
    <w:rsid w:val="001A4B3A"/>
    <w:rsid w:val="001A59FE"/>
    <w:rsid w:val="001B06A3"/>
    <w:rsid w:val="001B1B84"/>
    <w:rsid w:val="001B5B14"/>
    <w:rsid w:val="001B5D17"/>
    <w:rsid w:val="001B6A3F"/>
    <w:rsid w:val="001B6E64"/>
    <w:rsid w:val="001C051A"/>
    <w:rsid w:val="001C0DB8"/>
    <w:rsid w:val="001C34A9"/>
    <w:rsid w:val="001C3F1C"/>
    <w:rsid w:val="001C4860"/>
    <w:rsid w:val="001C5056"/>
    <w:rsid w:val="001C5DBF"/>
    <w:rsid w:val="001D0A28"/>
    <w:rsid w:val="001D1D75"/>
    <w:rsid w:val="001E5EDB"/>
    <w:rsid w:val="001E62AD"/>
    <w:rsid w:val="001F13AD"/>
    <w:rsid w:val="001F21FB"/>
    <w:rsid w:val="001F3B40"/>
    <w:rsid w:val="001F68E6"/>
    <w:rsid w:val="002026FB"/>
    <w:rsid w:val="00204B91"/>
    <w:rsid w:val="00204C53"/>
    <w:rsid w:val="002061DE"/>
    <w:rsid w:val="00206C5F"/>
    <w:rsid w:val="002076F1"/>
    <w:rsid w:val="00212EB4"/>
    <w:rsid w:val="0021456E"/>
    <w:rsid w:val="00216CA1"/>
    <w:rsid w:val="00222136"/>
    <w:rsid w:val="002235BB"/>
    <w:rsid w:val="00230B03"/>
    <w:rsid w:val="00231BE0"/>
    <w:rsid w:val="002327B4"/>
    <w:rsid w:val="00233C2B"/>
    <w:rsid w:val="00241886"/>
    <w:rsid w:val="002418F7"/>
    <w:rsid w:val="0024242C"/>
    <w:rsid w:val="00242FD3"/>
    <w:rsid w:val="00243499"/>
    <w:rsid w:val="00243541"/>
    <w:rsid w:val="0024392E"/>
    <w:rsid w:val="00246D56"/>
    <w:rsid w:val="00253D21"/>
    <w:rsid w:val="00255E08"/>
    <w:rsid w:val="0025755D"/>
    <w:rsid w:val="00260A7B"/>
    <w:rsid w:val="00265030"/>
    <w:rsid w:val="00265507"/>
    <w:rsid w:val="0026558C"/>
    <w:rsid w:val="00267311"/>
    <w:rsid w:val="00267D1E"/>
    <w:rsid w:val="002704FE"/>
    <w:rsid w:val="002720B7"/>
    <w:rsid w:val="002806ED"/>
    <w:rsid w:val="00282761"/>
    <w:rsid w:val="00283CC0"/>
    <w:rsid w:val="0028440C"/>
    <w:rsid w:val="002845BA"/>
    <w:rsid w:val="00286355"/>
    <w:rsid w:val="00290326"/>
    <w:rsid w:val="002A29F9"/>
    <w:rsid w:val="002A2C86"/>
    <w:rsid w:val="002A32CD"/>
    <w:rsid w:val="002A3FF5"/>
    <w:rsid w:val="002A4EFA"/>
    <w:rsid w:val="002A5430"/>
    <w:rsid w:val="002A68B5"/>
    <w:rsid w:val="002A6A18"/>
    <w:rsid w:val="002A6D70"/>
    <w:rsid w:val="002B179D"/>
    <w:rsid w:val="002B35E5"/>
    <w:rsid w:val="002B606C"/>
    <w:rsid w:val="002B7996"/>
    <w:rsid w:val="002B7DA1"/>
    <w:rsid w:val="002C29A0"/>
    <w:rsid w:val="002C3591"/>
    <w:rsid w:val="002C4B64"/>
    <w:rsid w:val="002D6E36"/>
    <w:rsid w:val="002D7A9E"/>
    <w:rsid w:val="002E00B4"/>
    <w:rsid w:val="002E4BBF"/>
    <w:rsid w:val="002E4D6B"/>
    <w:rsid w:val="002E67AF"/>
    <w:rsid w:val="002F2CA8"/>
    <w:rsid w:val="002F421C"/>
    <w:rsid w:val="002F5368"/>
    <w:rsid w:val="002F572B"/>
    <w:rsid w:val="002F68C9"/>
    <w:rsid w:val="002F732E"/>
    <w:rsid w:val="002F7DD7"/>
    <w:rsid w:val="00302479"/>
    <w:rsid w:val="0030254C"/>
    <w:rsid w:val="003030C8"/>
    <w:rsid w:val="003053CE"/>
    <w:rsid w:val="00305E31"/>
    <w:rsid w:val="0030690C"/>
    <w:rsid w:val="00312605"/>
    <w:rsid w:val="0031368D"/>
    <w:rsid w:val="003155B1"/>
    <w:rsid w:val="00316F8F"/>
    <w:rsid w:val="00320C4C"/>
    <w:rsid w:val="00325E83"/>
    <w:rsid w:val="00326322"/>
    <w:rsid w:val="00331D5D"/>
    <w:rsid w:val="00340CBC"/>
    <w:rsid w:val="00345D32"/>
    <w:rsid w:val="00346107"/>
    <w:rsid w:val="003534D2"/>
    <w:rsid w:val="00357C3F"/>
    <w:rsid w:val="003603C3"/>
    <w:rsid w:val="003634EB"/>
    <w:rsid w:val="00363799"/>
    <w:rsid w:val="003638F7"/>
    <w:rsid w:val="00364DD1"/>
    <w:rsid w:val="003657CC"/>
    <w:rsid w:val="00366F77"/>
    <w:rsid w:val="00374391"/>
    <w:rsid w:val="0037493B"/>
    <w:rsid w:val="00375103"/>
    <w:rsid w:val="00376786"/>
    <w:rsid w:val="00377266"/>
    <w:rsid w:val="0038081C"/>
    <w:rsid w:val="00382A97"/>
    <w:rsid w:val="003854E6"/>
    <w:rsid w:val="0038623F"/>
    <w:rsid w:val="00390A3E"/>
    <w:rsid w:val="00391EFD"/>
    <w:rsid w:val="00396584"/>
    <w:rsid w:val="0039689D"/>
    <w:rsid w:val="003975E0"/>
    <w:rsid w:val="00397DCD"/>
    <w:rsid w:val="003A03EE"/>
    <w:rsid w:val="003A49EE"/>
    <w:rsid w:val="003A6C08"/>
    <w:rsid w:val="003B1CA4"/>
    <w:rsid w:val="003B2D87"/>
    <w:rsid w:val="003B6C24"/>
    <w:rsid w:val="003B7F5A"/>
    <w:rsid w:val="003C039F"/>
    <w:rsid w:val="003C3828"/>
    <w:rsid w:val="003C492F"/>
    <w:rsid w:val="003C591E"/>
    <w:rsid w:val="003C60D4"/>
    <w:rsid w:val="003C7435"/>
    <w:rsid w:val="003C765A"/>
    <w:rsid w:val="003D4DB7"/>
    <w:rsid w:val="003D5566"/>
    <w:rsid w:val="003D600D"/>
    <w:rsid w:val="003D7A03"/>
    <w:rsid w:val="003E1486"/>
    <w:rsid w:val="003E4088"/>
    <w:rsid w:val="003F31CD"/>
    <w:rsid w:val="003F332C"/>
    <w:rsid w:val="00401EFB"/>
    <w:rsid w:val="00402C60"/>
    <w:rsid w:val="00402FD2"/>
    <w:rsid w:val="00403256"/>
    <w:rsid w:val="00403583"/>
    <w:rsid w:val="00410143"/>
    <w:rsid w:val="00411759"/>
    <w:rsid w:val="00411E41"/>
    <w:rsid w:val="004167FD"/>
    <w:rsid w:val="00423907"/>
    <w:rsid w:val="004248C6"/>
    <w:rsid w:val="004254E8"/>
    <w:rsid w:val="004277C6"/>
    <w:rsid w:val="004311D5"/>
    <w:rsid w:val="004448C2"/>
    <w:rsid w:val="0044528A"/>
    <w:rsid w:val="0045230C"/>
    <w:rsid w:val="00455386"/>
    <w:rsid w:val="00455F94"/>
    <w:rsid w:val="00461A16"/>
    <w:rsid w:val="00461CAA"/>
    <w:rsid w:val="00466E3E"/>
    <w:rsid w:val="004677F2"/>
    <w:rsid w:val="00472755"/>
    <w:rsid w:val="00472A81"/>
    <w:rsid w:val="00472D82"/>
    <w:rsid w:val="004733CF"/>
    <w:rsid w:val="00474C3D"/>
    <w:rsid w:val="00477D42"/>
    <w:rsid w:val="0048354A"/>
    <w:rsid w:val="00484626"/>
    <w:rsid w:val="00484D6D"/>
    <w:rsid w:val="00486A53"/>
    <w:rsid w:val="00490511"/>
    <w:rsid w:val="0049435C"/>
    <w:rsid w:val="00497426"/>
    <w:rsid w:val="004A09AB"/>
    <w:rsid w:val="004B0E7E"/>
    <w:rsid w:val="004B1964"/>
    <w:rsid w:val="004B24A5"/>
    <w:rsid w:val="004B35DE"/>
    <w:rsid w:val="004B3A47"/>
    <w:rsid w:val="004B4F21"/>
    <w:rsid w:val="004C2ADC"/>
    <w:rsid w:val="004C2E88"/>
    <w:rsid w:val="004C3789"/>
    <w:rsid w:val="004C440D"/>
    <w:rsid w:val="004C514A"/>
    <w:rsid w:val="004D0AA9"/>
    <w:rsid w:val="004E1C10"/>
    <w:rsid w:val="004E2D5B"/>
    <w:rsid w:val="004E3C55"/>
    <w:rsid w:val="004E7249"/>
    <w:rsid w:val="004F3C93"/>
    <w:rsid w:val="004F4502"/>
    <w:rsid w:val="004F5910"/>
    <w:rsid w:val="004F5C4C"/>
    <w:rsid w:val="005011B6"/>
    <w:rsid w:val="00504084"/>
    <w:rsid w:val="00507B21"/>
    <w:rsid w:val="005119AB"/>
    <w:rsid w:val="00511C0C"/>
    <w:rsid w:val="005130CA"/>
    <w:rsid w:val="00514535"/>
    <w:rsid w:val="0051631B"/>
    <w:rsid w:val="0051713B"/>
    <w:rsid w:val="005177DD"/>
    <w:rsid w:val="0052011D"/>
    <w:rsid w:val="005204FA"/>
    <w:rsid w:val="00523A05"/>
    <w:rsid w:val="005251B3"/>
    <w:rsid w:val="005268C4"/>
    <w:rsid w:val="005272CA"/>
    <w:rsid w:val="00530856"/>
    <w:rsid w:val="005339B9"/>
    <w:rsid w:val="00536FDF"/>
    <w:rsid w:val="005378AF"/>
    <w:rsid w:val="00537FCB"/>
    <w:rsid w:val="00540A44"/>
    <w:rsid w:val="00541B5E"/>
    <w:rsid w:val="00542A1E"/>
    <w:rsid w:val="00544A44"/>
    <w:rsid w:val="005461DA"/>
    <w:rsid w:val="0055355A"/>
    <w:rsid w:val="00556850"/>
    <w:rsid w:val="00561349"/>
    <w:rsid w:val="00562F12"/>
    <w:rsid w:val="00570B07"/>
    <w:rsid w:val="0057175E"/>
    <w:rsid w:val="005806E4"/>
    <w:rsid w:val="005823B1"/>
    <w:rsid w:val="00584026"/>
    <w:rsid w:val="005847E0"/>
    <w:rsid w:val="00584948"/>
    <w:rsid w:val="00590A42"/>
    <w:rsid w:val="00590C46"/>
    <w:rsid w:val="00591AF7"/>
    <w:rsid w:val="00596810"/>
    <w:rsid w:val="005A2980"/>
    <w:rsid w:val="005A4E6C"/>
    <w:rsid w:val="005A6A2D"/>
    <w:rsid w:val="005A6A31"/>
    <w:rsid w:val="005A7280"/>
    <w:rsid w:val="005B2345"/>
    <w:rsid w:val="005B2D89"/>
    <w:rsid w:val="005B4226"/>
    <w:rsid w:val="005B4A30"/>
    <w:rsid w:val="005B61ED"/>
    <w:rsid w:val="005C01C9"/>
    <w:rsid w:val="005C1EA3"/>
    <w:rsid w:val="005C2933"/>
    <w:rsid w:val="005C46F2"/>
    <w:rsid w:val="005C6CCA"/>
    <w:rsid w:val="005D1ABC"/>
    <w:rsid w:val="005D255A"/>
    <w:rsid w:val="005D7A80"/>
    <w:rsid w:val="005E04B3"/>
    <w:rsid w:val="005E1B83"/>
    <w:rsid w:val="005E4DD7"/>
    <w:rsid w:val="005E51DB"/>
    <w:rsid w:val="005E5DC6"/>
    <w:rsid w:val="005F1F46"/>
    <w:rsid w:val="005F57ED"/>
    <w:rsid w:val="005F698A"/>
    <w:rsid w:val="00601442"/>
    <w:rsid w:val="00602054"/>
    <w:rsid w:val="006062C6"/>
    <w:rsid w:val="00611E99"/>
    <w:rsid w:val="00613280"/>
    <w:rsid w:val="00620DFF"/>
    <w:rsid w:val="00625803"/>
    <w:rsid w:val="00627B3C"/>
    <w:rsid w:val="00630D68"/>
    <w:rsid w:val="00630F58"/>
    <w:rsid w:val="00631263"/>
    <w:rsid w:val="0063371B"/>
    <w:rsid w:val="00634913"/>
    <w:rsid w:val="00640EB4"/>
    <w:rsid w:val="00641E04"/>
    <w:rsid w:val="00644BFE"/>
    <w:rsid w:val="00653B8F"/>
    <w:rsid w:val="00655702"/>
    <w:rsid w:val="0065607E"/>
    <w:rsid w:val="00656165"/>
    <w:rsid w:val="00660695"/>
    <w:rsid w:val="00663022"/>
    <w:rsid w:val="006636D0"/>
    <w:rsid w:val="00665508"/>
    <w:rsid w:val="00667BBC"/>
    <w:rsid w:val="00667C82"/>
    <w:rsid w:val="00672521"/>
    <w:rsid w:val="00673939"/>
    <w:rsid w:val="00674937"/>
    <w:rsid w:val="00674B98"/>
    <w:rsid w:val="00677177"/>
    <w:rsid w:val="006817B1"/>
    <w:rsid w:val="006841EE"/>
    <w:rsid w:val="0068444A"/>
    <w:rsid w:val="006849FC"/>
    <w:rsid w:val="00687D45"/>
    <w:rsid w:val="0069082B"/>
    <w:rsid w:val="006925CA"/>
    <w:rsid w:val="006939F0"/>
    <w:rsid w:val="00695436"/>
    <w:rsid w:val="00696D44"/>
    <w:rsid w:val="00697C52"/>
    <w:rsid w:val="006A05AE"/>
    <w:rsid w:val="006A502E"/>
    <w:rsid w:val="006A7EDF"/>
    <w:rsid w:val="006B0BD6"/>
    <w:rsid w:val="006B0C88"/>
    <w:rsid w:val="006B214C"/>
    <w:rsid w:val="006B3307"/>
    <w:rsid w:val="006B3AEC"/>
    <w:rsid w:val="006B6E15"/>
    <w:rsid w:val="006C165C"/>
    <w:rsid w:val="006C22DB"/>
    <w:rsid w:val="006C44CD"/>
    <w:rsid w:val="006C6A82"/>
    <w:rsid w:val="006C6EED"/>
    <w:rsid w:val="006C7DEB"/>
    <w:rsid w:val="006D27E7"/>
    <w:rsid w:val="006D30DD"/>
    <w:rsid w:val="006D7157"/>
    <w:rsid w:val="006D7243"/>
    <w:rsid w:val="006E1104"/>
    <w:rsid w:val="006E1BBF"/>
    <w:rsid w:val="006E4F5D"/>
    <w:rsid w:val="006E54B2"/>
    <w:rsid w:val="006E6F47"/>
    <w:rsid w:val="006E7764"/>
    <w:rsid w:val="006F1453"/>
    <w:rsid w:val="006F1C43"/>
    <w:rsid w:val="006F3759"/>
    <w:rsid w:val="006F632C"/>
    <w:rsid w:val="006F67C5"/>
    <w:rsid w:val="007019EB"/>
    <w:rsid w:val="00702399"/>
    <w:rsid w:val="007103B4"/>
    <w:rsid w:val="0071135E"/>
    <w:rsid w:val="00712A28"/>
    <w:rsid w:val="00717C36"/>
    <w:rsid w:val="007218B9"/>
    <w:rsid w:val="00726743"/>
    <w:rsid w:val="007308CA"/>
    <w:rsid w:val="0073502A"/>
    <w:rsid w:val="00735290"/>
    <w:rsid w:val="007367CE"/>
    <w:rsid w:val="00736B69"/>
    <w:rsid w:val="00737BD3"/>
    <w:rsid w:val="00740B0F"/>
    <w:rsid w:val="00745794"/>
    <w:rsid w:val="00746F17"/>
    <w:rsid w:val="00746F74"/>
    <w:rsid w:val="007477B1"/>
    <w:rsid w:val="007615F3"/>
    <w:rsid w:val="007615FD"/>
    <w:rsid w:val="00767DBE"/>
    <w:rsid w:val="00767F05"/>
    <w:rsid w:val="00771E6F"/>
    <w:rsid w:val="00775134"/>
    <w:rsid w:val="007761C4"/>
    <w:rsid w:val="00777C7B"/>
    <w:rsid w:val="00783A5C"/>
    <w:rsid w:val="00785CD6"/>
    <w:rsid w:val="00786B1A"/>
    <w:rsid w:val="0078703C"/>
    <w:rsid w:val="0079051A"/>
    <w:rsid w:val="00791512"/>
    <w:rsid w:val="0079647D"/>
    <w:rsid w:val="00796DE8"/>
    <w:rsid w:val="00796F27"/>
    <w:rsid w:val="00797267"/>
    <w:rsid w:val="007A0475"/>
    <w:rsid w:val="007A062D"/>
    <w:rsid w:val="007A317E"/>
    <w:rsid w:val="007A5344"/>
    <w:rsid w:val="007A7368"/>
    <w:rsid w:val="007A7D4A"/>
    <w:rsid w:val="007B02CC"/>
    <w:rsid w:val="007B040E"/>
    <w:rsid w:val="007B0DA4"/>
    <w:rsid w:val="007B30FE"/>
    <w:rsid w:val="007B31FB"/>
    <w:rsid w:val="007B798C"/>
    <w:rsid w:val="007B7C49"/>
    <w:rsid w:val="007C0925"/>
    <w:rsid w:val="007C1143"/>
    <w:rsid w:val="007C15C0"/>
    <w:rsid w:val="007C1A42"/>
    <w:rsid w:val="007D352E"/>
    <w:rsid w:val="007F0975"/>
    <w:rsid w:val="007F293B"/>
    <w:rsid w:val="007F419C"/>
    <w:rsid w:val="007F5536"/>
    <w:rsid w:val="007F5712"/>
    <w:rsid w:val="008021F9"/>
    <w:rsid w:val="00802295"/>
    <w:rsid w:val="0080508C"/>
    <w:rsid w:val="00805DC1"/>
    <w:rsid w:val="00807B02"/>
    <w:rsid w:val="0081040C"/>
    <w:rsid w:val="0081435F"/>
    <w:rsid w:val="00814440"/>
    <w:rsid w:val="008227DC"/>
    <w:rsid w:val="00827877"/>
    <w:rsid w:val="00830E6A"/>
    <w:rsid w:val="008327E8"/>
    <w:rsid w:val="00832EBD"/>
    <w:rsid w:val="00834946"/>
    <w:rsid w:val="00836586"/>
    <w:rsid w:val="00836BAB"/>
    <w:rsid w:val="008372C1"/>
    <w:rsid w:val="00837E6C"/>
    <w:rsid w:val="00846356"/>
    <w:rsid w:val="00847A4D"/>
    <w:rsid w:val="00851F13"/>
    <w:rsid w:val="00852493"/>
    <w:rsid w:val="00857021"/>
    <w:rsid w:val="00860CA1"/>
    <w:rsid w:val="008625CE"/>
    <w:rsid w:val="00862993"/>
    <w:rsid w:val="00864EE0"/>
    <w:rsid w:val="00866FF9"/>
    <w:rsid w:val="0087010F"/>
    <w:rsid w:val="008767F9"/>
    <w:rsid w:val="00876A00"/>
    <w:rsid w:val="00876A61"/>
    <w:rsid w:val="0087755F"/>
    <w:rsid w:val="00882ACF"/>
    <w:rsid w:val="00885B72"/>
    <w:rsid w:val="008860F3"/>
    <w:rsid w:val="00886D09"/>
    <w:rsid w:val="008902B2"/>
    <w:rsid w:val="00890FED"/>
    <w:rsid w:val="008945A5"/>
    <w:rsid w:val="008948B0"/>
    <w:rsid w:val="00894DFF"/>
    <w:rsid w:val="008962DD"/>
    <w:rsid w:val="0089630A"/>
    <w:rsid w:val="00897CBD"/>
    <w:rsid w:val="008A1FF7"/>
    <w:rsid w:val="008A3F74"/>
    <w:rsid w:val="008A552F"/>
    <w:rsid w:val="008A5A7E"/>
    <w:rsid w:val="008B0163"/>
    <w:rsid w:val="008B390F"/>
    <w:rsid w:val="008B40AA"/>
    <w:rsid w:val="008B45C2"/>
    <w:rsid w:val="008B4BB8"/>
    <w:rsid w:val="008B4D42"/>
    <w:rsid w:val="008B5AC9"/>
    <w:rsid w:val="008B77D4"/>
    <w:rsid w:val="008C3A09"/>
    <w:rsid w:val="008C45EC"/>
    <w:rsid w:val="008C4871"/>
    <w:rsid w:val="008C5400"/>
    <w:rsid w:val="008D2078"/>
    <w:rsid w:val="008D41E7"/>
    <w:rsid w:val="008D4850"/>
    <w:rsid w:val="008D4F32"/>
    <w:rsid w:val="008D7F8C"/>
    <w:rsid w:val="008E0AD1"/>
    <w:rsid w:val="008E12F0"/>
    <w:rsid w:val="008E2C70"/>
    <w:rsid w:val="008E3712"/>
    <w:rsid w:val="008E5BAA"/>
    <w:rsid w:val="008F09DE"/>
    <w:rsid w:val="008F1677"/>
    <w:rsid w:val="008F184A"/>
    <w:rsid w:val="008F3418"/>
    <w:rsid w:val="008F3DC4"/>
    <w:rsid w:val="008F5B1C"/>
    <w:rsid w:val="008F5BC8"/>
    <w:rsid w:val="008F74A5"/>
    <w:rsid w:val="00900FED"/>
    <w:rsid w:val="00901F0E"/>
    <w:rsid w:val="00905BAB"/>
    <w:rsid w:val="00906C4A"/>
    <w:rsid w:val="00907351"/>
    <w:rsid w:val="00910A45"/>
    <w:rsid w:val="009111D9"/>
    <w:rsid w:val="00911379"/>
    <w:rsid w:val="00913BDB"/>
    <w:rsid w:val="00916838"/>
    <w:rsid w:val="009222F6"/>
    <w:rsid w:val="00923F77"/>
    <w:rsid w:val="00926F3D"/>
    <w:rsid w:val="00926F52"/>
    <w:rsid w:val="009276AE"/>
    <w:rsid w:val="00934952"/>
    <w:rsid w:val="00934F76"/>
    <w:rsid w:val="0093681D"/>
    <w:rsid w:val="00941A94"/>
    <w:rsid w:val="00943B9F"/>
    <w:rsid w:val="00944C77"/>
    <w:rsid w:val="00950C2D"/>
    <w:rsid w:val="00951216"/>
    <w:rsid w:val="00951EE2"/>
    <w:rsid w:val="009530CE"/>
    <w:rsid w:val="00953DE7"/>
    <w:rsid w:val="009558B8"/>
    <w:rsid w:val="009560CC"/>
    <w:rsid w:val="00956D10"/>
    <w:rsid w:val="00957D83"/>
    <w:rsid w:val="00961AB8"/>
    <w:rsid w:val="00962021"/>
    <w:rsid w:val="009621DE"/>
    <w:rsid w:val="0096369F"/>
    <w:rsid w:val="00967B96"/>
    <w:rsid w:val="00972719"/>
    <w:rsid w:val="00977CC6"/>
    <w:rsid w:val="0098487E"/>
    <w:rsid w:val="009871B5"/>
    <w:rsid w:val="009904A5"/>
    <w:rsid w:val="00991006"/>
    <w:rsid w:val="0099252D"/>
    <w:rsid w:val="00995AB3"/>
    <w:rsid w:val="009A31FB"/>
    <w:rsid w:val="009A56A5"/>
    <w:rsid w:val="009B1AA4"/>
    <w:rsid w:val="009B34A6"/>
    <w:rsid w:val="009B38FB"/>
    <w:rsid w:val="009B662C"/>
    <w:rsid w:val="009B71E8"/>
    <w:rsid w:val="009C1C56"/>
    <w:rsid w:val="009C2366"/>
    <w:rsid w:val="009C37E6"/>
    <w:rsid w:val="009C3DFE"/>
    <w:rsid w:val="009C6311"/>
    <w:rsid w:val="009D1351"/>
    <w:rsid w:val="009D3B67"/>
    <w:rsid w:val="009D6BD8"/>
    <w:rsid w:val="009D72A0"/>
    <w:rsid w:val="009D7DE2"/>
    <w:rsid w:val="009E185A"/>
    <w:rsid w:val="009E287F"/>
    <w:rsid w:val="009E2A60"/>
    <w:rsid w:val="009E3D9F"/>
    <w:rsid w:val="009E4EE5"/>
    <w:rsid w:val="009E61E0"/>
    <w:rsid w:val="009E6EB8"/>
    <w:rsid w:val="009E758D"/>
    <w:rsid w:val="009F07F0"/>
    <w:rsid w:val="009F1507"/>
    <w:rsid w:val="009F1F44"/>
    <w:rsid w:val="009F6BCC"/>
    <w:rsid w:val="009F730E"/>
    <w:rsid w:val="00A012C0"/>
    <w:rsid w:val="00A018D3"/>
    <w:rsid w:val="00A01E85"/>
    <w:rsid w:val="00A03CC0"/>
    <w:rsid w:val="00A04D6A"/>
    <w:rsid w:val="00A05C2A"/>
    <w:rsid w:val="00A0691F"/>
    <w:rsid w:val="00A069B0"/>
    <w:rsid w:val="00A07590"/>
    <w:rsid w:val="00A10EA0"/>
    <w:rsid w:val="00A15832"/>
    <w:rsid w:val="00A21160"/>
    <w:rsid w:val="00A2122C"/>
    <w:rsid w:val="00A223E5"/>
    <w:rsid w:val="00A22A68"/>
    <w:rsid w:val="00A25894"/>
    <w:rsid w:val="00A25A70"/>
    <w:rsid w:val="00A266E9"/>
    <w:rsid w:val="00A30E3C"/>
    <w:rsid w:val="00A331D2"/>
    <w:rsid w:val="00A3434A"/>
    <w:rsid w:val="00A410B2"/>
    <w:rsid w:val="00A43AF5"/>
    <w:rsid w:val="00A4435A"/>
    <w:rsid w:val="00A4532D"/>
    <w:rsid w:val="00A4547B"/>
    <w:rsid w:val="00A46E7C"/>
    <w:rsid w:val="00A51A5C"/>
    <w:rsid w:val="00A54C74"/>
    <w:rsid w:val="00A55CF0"/>
    <w:rsid w:val="00A55E8A"/>
    <w:rsid w:val="00A56A73"/>
    <w:rsid w:val="00A577BA"/>
    <w:rsid w:val="00A6050C"/>
    <w:rsid w:val="00A6158A"/>
    <w:rsid w:val="00A66A55"/>
    <w:rsid w:val="00A768A5"/>
    <w:rsid w:val="00A823B4"/>
    <w:rsid w:val="00A83639"/>
    <w:rsid w:val="00A85A36"/>
    <w:rsid w:val="00A874CD"/>
    <w:rsid w:val="00A97490"/>
    <w:rsid w:val="00A97695"/>
    <w:rsid w:val="00AA319A"/>
    <w:rsid w:val="00AA3518"/>
    <w:rsid w:val="00AA48D7"/>
    <w:rsid w:val="00AB09EB"/>
    <w:rsid w:val="00AB73F9"/>
    <w:rsid w:val="00AC09E1"/>
    <w:rsid w:val="00AC0FE3"/>
    <w:rsid w:val="00AC61F2"/>
    <w:rsid w:val="00AC6EB5"/>
    <w:rsid w:val="00AD0401"/>
    <w:rsid w:val="00AD0D38"/>
    <w:rsid w:val="00AD16FC"/>
    <w:rsid w:val="00AD1875"/>
    <w:rsid w:val="00AD3E2F"/>
    <w:rsid w:val="00AD5865"/>
    <w:rsid w:val="00AD6849"/>
    <w:rsid w:val="00AD6D99"/>
    <w:rsid w:val="00AD7A12"/>
    <w:rsid w:val="00AE48F2"/>
    <w:rsid w:val="00AE524A"/>
    <w:rsid w:val="00AE62A4"/>
    <w:rsid w:val="00AF2450"/>
    <w:rsid w:val="00AF54F9"/>
    <w:rsid w:val="00AF583F"/>
    <w:rsid w:val="00B02048"/>
    <w:rsid w:val="00B020E6"/>
    <w:rsid w:val="00B02AC6"/>
    <w:rsid w:val="00B033CD"/>
    <w:rsid w:val="00B045D6"/>
    <w:rsid w:val="00B05500"/>
    <w:rsid w:val="00B06F84"/>
    <w:rsid w:val="00B11076"/>
    <w:rsid w:val="00B1254D"/>
    <w:rsid w:val="00B1579D"/>
    <w:rsid w:val="00B15C66"/>
    <w:rsid w:val="00B16C1F"/>
    <w:rsid w:val="00B16D51"/>
    <w:rsid w:val="00B21707"/>
    <w:rsid w:val="00B26F39"/>
    <w:rsid w:val="00B27741"/>
    <w:rsid w:val="00B3357A"/>
    <w:rsid w:val="00B364C1"/>
    <w:rsid w:val="00B42A57"/>
    <w:rsid w:val="00B44BBE"/>
    <w:rsid w:val="00B44DE4"/>
    <w:rsid w:val="00B46837"/>
    <w:rsid w:val="00B46E23"/>
    <w:rsid w:val="00B50D60"/>
    <w:rsid w:val="00B52904"/>
    <w:rsid w:val="00B547DE"/>
    <w:rsid w:val="00B54BA6"/>
    <w:rsid w:val="00B55F6D"/>
    <w:rsid w:val="00B567E9"/>
    <w:rsid w:val="00B6014C"/>
    <w:rsid w:val="00B60FDE"/>
    <w:rsid w:val="00B63C9C"/>
    <w:rsid w:val="00B666D8"/>
    <w:rsid w:val="00B671FB"/>
    <w:rsid w:val="00B75C82"/>
    <w:rsid w:val="00B75D83"/>
    <w:rsid w:val="00B84F2F"/>
    <w:rsid w:val="00B87809"/>
    <w:rsid w:val="00B90964"/>
    <w:rsid w:val="00B90E56"/>
    <w:rsid w:val="00B91268"/>
    <w:rsid w:val="00B93582"/>
    <w:rsid w:val="00B94082"/>
    <w:rsid w:val="00BA06DF"/>
    <w:rsid w:val="00BA3631"/>
    <w:rsid w:val="00BA4318"/>
    <w:rsid w:val="00BA63B1"/>
    <w:rsid w:val="00BA6F11"/>
    <w:rsid w:val="00BA7AD9"/>
    <w:rsid w:val="00BB2F54"/>
    <w:rsid w:val="00BB4141"/>
    <w:rsid w:val="00BB4209"/>
    <w:rsid w:val="00BB5655"/>
    <w:rsid w:val="00BB7103"/>
    <w:rsid w:val="00BC283E"/>
    <w:rsid w:val="00BC2D4D"/>
    <w:rsid w:val="00BC3966"/>
    <w:rsid w:val="00BC6CD8"/>
    <w:rsid w:val="00BC7432"/>
    <w:rsid w:val="00BD1C04"/>
    <w:rsid w:val="00BD202F"/>
    <w:rsid w:val="00BD4B63"/>
    <w:rsid w:val="00BD5553"/>
    <w:rsid w:val="00BD65B6"/>
    <w:rsid w:val="00BE066A"/>
    <w:rsid w:val="00BE249A"/>
    <w:rsid w:val="00BE38B4"/>
    <w:rsid w:val="00BE5D08"/>
    <w:rsid w:val="00BE678C"/>
    <w:rsid w:val="00BE7C67"/>
    <w:rsid w:val="00BF0FEE"/>
    <w:rsid w:val="00BF21E7"/>
    <w:rsid w:val="00BF335D"/>
    <w:rsid w:val="00BF5D73"/>
    <w:rsid w:val="00C0456E"/>
    <w:rsid w:val="00C06247"/>
    <w:rsid w:val="00C06C31"/>
    <w:rsid w:val="00C07F87"/>
    <w:rsid w:val="00C14212"/>
    <w:rsid w:val="00C1450E"/>
    <w:rsid w:val="00C15F0E"/>
    <w:rsid w:val="00C201D2"/>
    <w:rsid w:val="00C2065B"/>
    <w:rsid w:val="00C251C2"/>
    <w:rsid w:val="00C253D1"/>
    <w:rsid w:val="00C2577A"/>
    <w:rsid w:val="00C2632B"/>
    <w:rsid w:val="00C27C25"/>
    <w:rsid w:val="00C3102D"/>
    <w:rsid w:val="00C32A33"/>
    <w:rsid w:val="00C36E06"/>
    <w:rsid w:val="00C3757F"/>
    <w:rsid w:val="00C4233D"/>
    <w:rsid w:val="00C423E7"/>
    <w:rsid w:val="00C433AA"/>
    <w:rsid w:val="00C4342E"/>
    <w:rsid w:val="00C45F02"/>
    <w:rsid w:val="00C46D71"/>
    <w:rsid w:val="00C5153A"/>
    <w:rsid w:val="00C51A01"/>
    <w:rsid w:val="00C57694"/>
    <w:rsid w:val="00C57E1D"/>
    <w:rsid w:val="00C632C5"/>
    <w:rsid w:val="00C65667"/>
    <w:rsid w:val="00C6595F"/>
    <w:rsid w:val="00C67419"/>
    <w:rsid w:val="00C67C4C"/>
    <w:rsid w:val="00C70DE7"/>
    <w:rsid w:val="00C73F04"/>
    <w:rsid w:val="00C74158"/>
    <w:rsid w:val="00C75DC0"/>
    <w:rsid w:val="00C76338"/>
    <w:rsid w:val="00C7690F"/>
    <w:rsid w:val="00C8311C"/>
    <w:rsid w:val="00C840EA"/>
    <w:rsid w:val="00C90C3A"/>
    <w:rsid w:val="00C913B7"/>
    <w:rsid w:val="00C94C70"/>
    <w:rsid w:val="00C97C96"/>
    <w:rsid w:val="00CA0BFC"/>
    <w:rsid w:val="00CA29E0"/>
    <w:rsid w:val="00CA2A66"/>
    <w:rsid w:val="00CA4038"/>
    <w:rsid w:val="00CA5588"/>
    <w:rsid w:val="00CB02C2"/>
    <w:rsid w:val="00CB046A"/>
    <w:rsid w:val="00CB0CAC"/>
    <w:rsid w:val="00CB42CE"/>
    <w:rsid w:val="00CB5227"/>
    <w:rsid w:val="00CB6C2D"/>
    <w:rsid w:val="00CB7EBE"/>
    <w:rsid w:val="00CC6B46"/>
    <w:rsid w:val="00CD2065"/>
    <w:rsid w:val="00CD60F4"/>
    <w:rsid w:val="00CE25C6"/>
    <w:rsid w:val="00CE7D16"/>
    <w:rsid w:val="00CF03F8"/>
    <w:rsid w:val="00CF23A0"/>
    <w:rsid w:val="00CF23F6"/>
    <w:rsid w:val="00CF31CE"/>
    <w:rsid w:val="00CF4166"/>
    <w:rsid w:val="00CF5AE8"/>
    <w:rsid w:val="00CF66E8"/>
    <w:rsid w:val="00CF7933"/>
    <w:rsid w:val="00CF7D0A"/>
    <w:rsid w:val="00CF7E3F"/>
    <w:rsid w:val="00D0085B"/>
    <w:rsid w:val="00D02639"/>
    <w:rsid w:val="00D0355B"/>
    <w:rsid w:val="00D049ED"/>
    <w:rsid w:val="00D06AFE"/>
    <w:rsid w:val="00D07689"/>
    <w:rsid w:val="00D10299"/>
    <w:rsid w:val="00D1121B"/>
    <w:rsid w:val="00D209D6"/>
    <w:rsid w:val="00D22A9D"/>
    <w:rsid w:val="00D25572"/>
    <w:rsid w:val="00D25F5F"/>
    <w:rsid w:val="00D27EF6"/>
    <w:rsid w:val="00D30A66"/>
    <w:rsid w:val="00D32702"/>
    <w:rsid w:val="00D33CA4"/>
    <w:rsid w:val="00D3487A"/>
    <w:rsid w:val="00D35BC5"/>
    <w:rsid w:val="00D36C3C"/>
    <w:rsid w:val="00D41711"/>
    <w:rsid w:val="00D521EE"/>
    <w:rsid w:val="00D55553"/>
    <w:rsid w:val="00D56A8C"/>
    <w:rsid w:val="00D56E9E"/>
    <w:rsid w:val="00D60D5D"/>
    <w:rsid w:val="00D64A93"/>
    <w:rsid w:val="00D64D7F"/>
    <w:rsid w:val="00D722BF"/>
    <w:rsid w:val="00D725A9"/>
    <w:rsid w:val="00D726EA"/>
    <w:rsid w:val="00D7537D"/>
    <w:rsid w:val="00D8275C"/>
    <w:rsid w:val="00D85048"/>
    <w:rsid w:val="00D86996"/>
    <w:rsid w:val="00D86EAB"/>
    <w:rsid w:val="00D87B71"/>
    <w:rsid w:val="00D93125"/>
    <w:rsid w:val="00D973EC"/>
    <w:rsid w:val="00DA128C"/>
    <w:rsid w:val="00DA2A9B"/>
    <w:rsid w:val="00DA4198"/>
    <w:rsid w:val="00DA4A65"/>
    <w:rsid w:val="00DB12A6"/>
    <w:rsid w:val="00DB3A22"/>
    <w:rsid w:val="00DB3B98"/>
    <w:rsid w:val="00DB43BF"/>
    <w:rsid w:val="00DB4606"/>
    <w:rsid w:val="00DB55A2"/>
    <w:rsid w:val="00DB6DFB"/>
    <w:rsid w:val="00DB75A4"/>
    <w:rsid w:val="00DC29D2"/>
    <w:rsid w:val="00DC2A5A"/>
    <w:rsid w:val="00DC4F7D"/>
    <w:rsid w:val="00DC6874"/>
    <w:rsid w:val="00DC7641"/>
    <w:rsid w:val="00DD7623"/>
    <w:rsid w:val="00DE15E0"/>
    <w:rsid w:val="00DE1966"/>
    <w:rsid w:val="00DE1A9C"/>
    <w:rsid w:val="00DE57E3"/>
    <w:rsid w:val="00DE6649"/>
    <w:rsid w:val="00DE7C94"/>
    <w:rsid w:val="00DF06C7"/>
    <w:rsid w:val="00DF32E1"/>
    <w:rsid w:val="00DF6F5A"/>
    <w:rsid w:val="00E0681C"/>
    <w:rsid w:val="00E10E32"/>
    <w:rsid w:val="00E11CA1"/>
    <w:rsid w:val="00E12D51"/>
    <w:rsid w:val="00E15F84"/>
    <w:rsid w:val="00E243EC"/>
    <w:rsid w:val="00E25AE1"/>
    <w:rsid w:val="00E26AFC"/>
    <w:rsid w:val="00E26F7D"/>
    <w:rsid w:val="00E26FDF"/>
    <w:rsid w:val="00E41089"/>
    <w:rsid w:val="00E43EED"/>
    <w:rsid w:val="00E45CFA"/>
    <w:rsid w:val="00E5001B"/>
    <w:rsid w:val="00E512D5"/>
    <w:rsid w:val="00E64582"/>
    <w:rsid w:val="00E67757"/>
    <w:rsid w:val="00E709A1"/>
    <w:rsid w:val="00E722AA"/>
    <w:rsid w:val="00E7305E"/>
    <w:rsid w:val="00E75267"/>
    <w:rsid w:val="00E80493"/>
    <w:rsid w:val="00E80530"/>
    <w:rsid w:val="00E83E4F"/>
    <w:rsid w:val="00E84DCC"/>
    <w:rsid w:val="00E85803"/>
    <w:rsid w:val="00E87C4F"/>
    <w:rsid w:val="00E94B33"/>
    <w:rsid w:val="00E95CF7"/>
    <w:rsid w:val="00E96D96"/>
    <w:rsid w:val="00EA2D7A"/>
    <w:rsid w:val="00EA6807"/>
    <w:rsid w:val="00EA6B05"/>
    <w:rsid w:val="00EB05C5"/>
    <w:rsid w:val="00EB41F5"/>
    <w:rsid w:val="00EB4E0E"/>
    <w:rsid w:val="00EB56D5"/>
    <w:rsid w:val="00EB602E"/>
    <w:rsid w:val="00EB6D3D"/>
    <w:rsid w:val="00EB6FD7"/>
    <w:rsid w:val="00EB78ED"/>
    <w:rsid w:val="00EC0043"/>
    <w:rsid w:val="00EC13B6"/>
    <w:rsid w:val="00EC19CB"/>
    <w:rsid w:val="00EC50FC"/>
    <w:rsid w:val="00EC59DB"/>
    <w:rsid w:val="00EC6C00"/>
    <w:rsid w:val="00ED04F5"/>
    <w:rsid w:val="00ED3A28"/>
    <w:rsid w:val="00ED4712"/>
    <w:rsid w:val="00ED5AA5"/>
    <w:rsid w:val="00EE0D16"/>
    <w:rsid w:val="00EE17D0"/>
    <w:rsid w:val="00EE1C68"/>
    <w:rsid w:val="00EE1D32"/>
    <w:rsid w:val="00EE3459"/>
    <w:rsid w:val="00EE35F7"/>
    <w:rsid w:val="00EE4F6E"/>
    <w:rsid w:val="00EE53AD"/>
    <w:rsid w:val="00EE5719"/>
    <w:rsid w:val="00EF315E"/>
    <w:rsid w:val="00EF6591"/>
    <w:rsid w:val="00F03DA4"/>
    <w:rsid w:val="00F11786"/>
    <w:rsid w:val="00F1623F"/>
    <w:rsid w:val="00F21BB2"/>
    <w:rsid w:val="00F22579"/>
    <w:rsid w:val="00F2684D"/>
    <w:rsid w:val="00F30A89"/>
    <w:rsid w:val="00F30D52"/>
    <w:rsid w:val="00F3169C"/>
    <w:rsid w:val="00F34175"/>
    <w:rsid w:val="00F42F75"/>
    <w:rsid w:val="00F4327F"/>
    <w:rsid w:val="00F452CA"/>
    <w:rsid w:val="00F45EB2"/>
    <w:rsid w:val="00F463BE"/>
    <w:rsid w:val="00F46E5E"/>
    <w:rsid w:val="00F47D91"/>
    <w:rsid w:val="00F55C1C"/>
    <w:rsid w:val="00F61415"/>
    <w:rsid w:val="00F62F3C"/>
    <w:rsid w:val="00F65157"/>
    <w:rsid w:val="00F702DB"/>
    <w:rsid w:val="00F70EEC"/>
    <w:rsid w:val="00F72B79"/>
    <w:rsid w:val="00F73EAA"/>
    <w:rsid w:val="00F82968"/>
    <w:rsid w:val="00F86F71"/>
    <w:rsid w:val="00F92D1B"/>
    <w:rsid w:val="00F97DC5"/>
    <w:rsid w:val="00FA06EA"/>
    <w:rsid w:val="00FA4251"/>
    <w:rsid w:val="00FA4458"/>
    <w:rsid w:val="00FA5908"/>
    <w:rsid w:val="00FA65D8"/>
    <w:rsid w:val="00FB1052"/>
    <w:rsid w:val="00FB2EC9"/>
    <w:rsid w:val="00FB2FC1"/>
    <w:rsid w:val="00FB532D"/>
    <w:rsid w:val="00FB6B62"/>
    <w:rsid w:val="00FB7D09"/>
    <w:rsid w:val="00FC2034"/>
    <w:rsid w:val="00FC271D"/>
    <w:rsid w:val="00FC2AC4"/>
    <w:rsid w:val="00FC7B9C"/>
    <w:rsid w:val="00FD3CE6"/>
    <w:rsid w:val="00FD5E6F"/>
    <w:rsid w:val="00FD62A3"/>
    <w:rsid w:val="00FD63BE"/>
    <w:rsid w:val="00FD79B7"/>
    <w:rsid w:val="00FE1C8A"/>
    <w:rsid w:val="00FE2092"/>
    <w:rsid w:val="00FE2872"/>
    <w:rsid w:val="00FE3A28"/>
    <w:rsid w:val="00FE490C"/>
    <w:rsid w:val="00FE5F53"/>
    <w:rsid w:val="00FE6765"/>
    <w:rsid w:val="00FE7892"/>
    <w:rsid w:val="00FF1126"/>
    <w:rsid w:val="00FF1530"/>
    <w:rsid w:val="00FF1CB0"/>
    <w:rsid w:val="00FF36B2"/>
    <w:rsid w:val="00FF4FBC"/>
    <w:rsid w:val="00FF5052"/>
    <w:rsid w:val="00FF60DD"/>
    <w:rsid w:val="00FF73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F421C"/>
    <w:pPr>
      <w:widowControl w:val="0"/>
    </w:pPr>
    <w:rPr>
      <w:rFonts w:eastAsia="標楷體"/>
      <w:kern w:val="2"/>
      <w:sz w:val="32"/>
    </w:rPr>
  </w:style>
  <w:style w:type="paragraph" w:styleId="1">
    <w:name w:val="heading 1"/>
    <w:basedOn w:val="a1"/>
    <w:link w:val="10"/>
    <w:qFormat/>
    <w:rsid w:val="002F421C"/>
    <w:pPr>
      <w:numPr>
        <w:numId w:val="1"/>
      </w:numPr>
      <w:kinsoku w:val="0"/>
      <w:jc w:val="both"/>
      <w:outlineLvl w:val="0"/>
    </w:pPr>
    <w:rPr>
      <w:rFonts w:ascii="標楷體" w:hAnsi="Arial"/>
      <w:bCs/>
      <w:kern w:val="0"/>
      <w:szCs w:val="52"/>
    </w:rPr>
  </w:style>
  <w:style w:type="paragraph" w:styleId="2">
    <w:name w:val="heading 2"/>
    <w:basedOn w:val="a1"/>
    <w:link w:val="20"/>
    <w:qFormat/>
    <w:rsid w:val="002F421C"/>
    <w:pPr>
      <w:numPr>
        <w:ilvl w:val="1"/>
        <w:numId w:val="1"/>
      </w:numPr>
      <w:kinsoku w:val="0"/>
      <w:jc w:val="both"/>
      <w:outlineLvl w:val="1"/>
    </w:pPr>
    <w:rPr>
      <w:rFonts w:ascii="標楷體" w:hAnsi="Arial"/>
      <w:bCs/>
      <w:kern w:val="0"/>
      <w:szCs w:val="48"/>
    </w:rPr>
  </w:style>
  <w:style w:type="paragraph" w:styleId="3">
    <w:name w:val="heading 3"/>
    <w:basedOn w:val="a1"/>
    <w:qFormat/>
    <w:rsid w:val="002F421C"/>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2F421C"/>
    <w:pPr>
      <w:numPr>
        <w:ilvl w:val="3"/>
        <w:numId w:val="1"/>
      </w:numPr>
      <w:jc w:val="both"/>
      <w:outlineLvl w:val="3"/>
    </w:pPr>
    <w:rPr>
      <w:rFonts w:ascii="標楷體" w:hAnsi="Arial"/>
      <w:szCs w:val="36"/>
    </w:rPr>
  </w:style>
  <w:style w:type="paragraph" w:styleId="5">
    <w:name w:val="heading 5"/>
    <w:basedOn w:val="a1"/>
    <w:qFormat/>
    <w:rsid w:val="002F421C"/>
    <w:pPr>
      <w:numPr>
        <w:ilvl w:val="4"/>
        <w:numId w:val="1"/>
      </w:numPr>
      <w:kinsoku w:val="0"/>
      <w:jc w:val="both"/>
      <w:outlineLvl w:val="4"/>
    </w:pPr>
    <w:rPr>
      <w:rFonts w:ascii="標楷體" w:hAnsi="Arial"/>
      <w:bCs/>
      <w:szCs w:val="36"/>
    </w:rPr>
  </w:style>
  <w:style w:type="paragraph" w:styleId="6">
    <w:name w:val="heading 6"/>
    <w:basedOn w:val="a1"/>
    <w:qFormat/>
    <w:rsid w:val="002F421C"/>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2F421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2F421C"/>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2F421C"/>
    <w:pPr>
      <w:spacing w:before="720" w:after="720"/>
      <w:ind w:left="7371"/>
    </w:pPr>
    <w:rPr>
      <w:rFonts w:ascii="標楷體"/>
      <w:b/>
      <w:snapToGrid w:val="0"/>
      <w:spacing w:val="10"/>
      <w:sz w:val="36"/>
    </w:rPr>
  </w:style>
  <w:style w:type="paragraph" w:styleId="a6">
    <w:name w:val="endnote text"/>
    <w:basedOn w:val="a1"/>
    <w:semiHidden/>
    <w:rsid w:val="002F421C"/>
    <w:pPr>
      <w:spacing w:before="240"/>
      <w:ind w:left="1021" w:hanging="1021"/>
      <w:jc w:val="both"/>
    </w:pPr>
    <w:rPr>
      <w:rFonts w:ascii="標楷體"/>
      <w:snapToGrid w:val="0"/>
      <w:spacing w:val="10"/>
    </w:rPr>
  </w:style>
  <w:style w:type="paragraph" w:styleId="50">
    <w:name w:val="toc 5"/>
    <w:basedOn w:val="a1"/>
    <w:next w:val="a1"/>
    <w:autoRedefine/>
    <w:semiHidden/>
    <w:rsid w:val="002F421C"/>
    <w:pPr>
      <w:ind w:leftChars="400" w:left="600" w:rightChars="200" w:right="200" w:hangingChars="200" w:hanging="200"/>
    </w:pPr>
    <w:rPr>
      <w:rFonts w:ascii="標楷體"/>
    </w:rPr>
  </w:style>
  <w:style w:type="character" w:styleId="a7">
    <w:name w:val="page number"/>
    <w:basedOn w:val="a2"/>
    <w:semiHidden/>
    <w:rsid w:val="002F421C"/>
    <w:rPr>
      <w:rFonts w:ascii="標楷體" w:eastAsia="標楷體"/>
      <w:sz w:val="20"/>
    </w:rPr>
  </w:style>
  <w:style w:type="paragraph" w:styleId="60">
    <w:name w:val="toc 6"/>
    <w:basedOn w:val="a1"/>
    <w:next w:val="a1"/>
    <w:autoRedefine/>
    <w:semiHidden/>
    <w:rsid w:val="002F421C"/>
    <w:pPr>
      <w:ind w:leftChars="500" w:left="500"/>
    </w:pPr>
    <w:rPr>
      <w:rFonts w:ascii="標楷體"/>
    </w:rPr>
  </w:style>
  <w:style w:type="paragraph" w:customStyle="1" w:styleId="11">
    <w:name w:val="段落樣式1"/>
    <w:basedOn w:val="a1"/>
    <w:rsid w:val="002F421C"/>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2F421C"/>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2F421C"/>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2F421C"/>
    <w:pPr>
      <w:kinsoku w:val="0"/>
      <w:ind w:leftChars="100" w:left="300" w:rightChars="200" w:right="200" w:hangingChars="200" w:hanging="200"/>
    </w:pPr>
    <w:rPr>
      <w:rFonts w:ascii="標楷體"/>
      <w:noProof/>
    </w:rPr>
  </w:style>
  <w:style w:type="paragraph" w:styleId="30">
    <w:name w:val="toc 3"/>
    <w:basedOn w:val="a1"/>
    <w:next w:val="a1"/>
    <w:autoRedefine/>
    <w:semiHidden/>
    <w:rsid w:val="002F421C"/>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2F421C"/>
    <w:pPr>
      <w:kinsoku w:val="0"/>
      <w:ind w:leftChars="300" w:left="500" w:rightChars="200" w:right="200" w:hangingChars="200" w:hanging="200"/>
      <w:jc w:val="both"/>
    </w:pPr>
    <w:rPr>
      <w:rFonts w:ascii="標楷體"/>
    </w:rPr>
  </w:style>
  <w:style w:type="paragraph" w:styleId="70">
    <w:name w:val="toc 7"/>
    <w:basedOn w:val="a1"/>
    <w:next w:val="a1"/>
    <w:autoRedefine/>
    <w:semiHidden/>
    <w:rsid w:val="002F421C"/>
    <w:pPr>
      <w:ind w:leftChars="600" w:left="800" w:hangingChars="200" w:hanging="200"/>
    </w:pPr>
    <w:rPr>
      <w:rFonts w:ascii="標楷體"/>
    </w:rPr>
  </w:style>
  <w:style w:type="paragraph" w:styleId="80">
    <w:name w:val="toc 8"/>
    <w:basedOn w:val="a1"/>
    <w:next w:val="a1"/>
    <w:autoRedefine/>
    <w:semiHidden/>
    <w:rsid w:val="002F421C"/>
    <w:pPr>
      <w:ind w:leftChars="700" w:left="900" w:hangingChars="200" w:hanging="200"/>
    </w:pPr>
    <w:rPr>
      <w:rFonts w:ascii="標楷體"/>
    </w:rPr>
  </w:style>
  <w:style w:type="paragraph" w:styleId="9">
    <w:name w:val="toc 9"/>
    <w:basedOn w:val="a1"/>
    <w:next w:val="a1"/>
    <w:autoRedefine/>
    <w:semiHidden/>
    <w:rsid w:val="002F421C"/>
    <w:pPr>
      <w:ind w:leftChars="1600" w:left="3840"/>
    </w:pPr>
  </w:style>
  <w:style w:type="paragraph" w:styleId="a8">
    <w:name w:val="header"/>
    <w:basedOn w:val="a1"/>
    <w:link w:val="a9"/>
    <w:rsid w:val="002F421C"/>
    <w:pPr>
      <w:tabs>
        <w:tab w:val="center" w:pos="4153"/>
        <w:tab w:val="right" w:pos="8306"/>
      </w:tabs>
      <w:snapToGrid w:val="0"/>
    </w:pPr>
    <w:rPr>
      <w:sz w:val="20"/>
    </w:rPr>
  </w:style>
  <w:style w:type="paragraph" w:customStyle="1" w:styleId="31">
    <w:name w:val="段落樣式3"/>
    <w:basedOn w:val="21"/>
    <w:rsid w:val="002F421C"/>
    <w:pPr>
      <w:ind w:leftChars="400" w:left="400"/>
    </w:pPr>
  </w:style>
  <w:style w:type="character" w:styleId="aa">
    <w:name w:val="Hyperlink"/>
    <w:basedOn w:val="a2"/>
    <w:semiHidden/>
    <w:rsid w:val="002F421C"/>
    <w:rPr>
      <w:color w:val="0000FF"/>
      <w:u w:val="single"/>
    </w:rPr>
  </w:style>
  <w:style w:type="paragraph" w:customStyle="1" w:styleId="ab">
    <w:name w:val="簽名日期"/>
    <w:basedOn w:val="a1"/>
    <w:rsid w:val="002F421C"/>
    <w:pPr>
      <w:kinsoku w:val="0"/>
      <w:jc w:val="distribute"/>
    </w:pPr>
    <w:rPr>
      <w:kern w:val="0"/>
    </w:rPr>
  </w:style>
  <w:style w:type="paragraph" w:customStyle="1" w:styleId="0">
    <w:name w:val="段落樣式0"/>
    <w:basedOn w:val="21"/>
    <w:rsid w:val="002F421C"/>
    <w:pPr>
      <w:ind w:leftChars="200" w:left="200" w:firstLineChars="0" w:firstLine="0"/>
    </w:pPr>
  </w:style>
  <w:style w:type="paragraph" w:customStyle="1" w:styleId="ac">
    <w:name w:val="附件"/>
    <w:basedOn w:val="a6"/>
    <w:rsid w:val="002F421C"/>
    <w:pPr>
      <w:kinsoku w:val="0"/>
      <w:spacing w:before="0"/>
      <w:ind w:left="1047" w:hangingChars="300" w:hanging="1047"/>
    </w:pPr>
    <w:rPr>
      <w:snapToGrid/>
      <w:spacing w:val="0"/>
      <w:kern w:val="0"/>
    </w:rPr>
  </w:style>
  <w:style w:type="paragraph" w:customStyle="1" w:styleId="42">
    <w:name w:val="段落樣式4"/>
    <w:basedOn w:val="31"/>
    <w:rsid w:val="002F421C"/>
    <w:pPr>
      <w:ind w:leftChars="500" w:left="500"/>
    </w:pPr>
  </w:style>
  <w:style w:type="paragraph" w:customStyle="1" w:styleId="51">
    <w:name w:val="段落樣式5"/>
    <w:basedOn w:val="42"/>
    <w:rsid w:val="002F421C"/>
    <w:pPr>
      <w:ind w:leftChars="600" w:left="600"/>
    </w:pPr>
  </w:style>
  <w:style w:type="paragraph" w:customStyle="1" w:styleId="61">
    <w:name w:val="段落樣式6"/>
    <w:basedOn w:val="51"/>
    <w:rsid w:val="002F421C"/>
    <w:pPr>
      <w:ind w:leftChars="700" w:left="700"/>
    </w:pPr>
  </w:style>
  <w:style w:type="paragraph" w:customStyle="1" w:styleId="71">
    <w:name w:val="段落樣式7"/>
    <w:basedOn w:val="61"/>
    <w:rsid w:val="002F421C"/>
  </w:style>
  <w:style w:type="paragraph" w:customStyle="1" w:styleId="81">
    <w:name w:val="段落樣式8"/>
    <w:basedOn w:val="71"/>
    <w:rsid w:val="002F421C"/>
    <w:pPr>
      <w:ind w:leftChars="800" w:left="800"/>
    </w:pPr>
  </w:style>
  <w:style w:type="paragraph" w:customStyle="1" w:styleId="a0">
    <w:name w:val="表樣式"/>
    <w:basedOn w:val="a1"/>
    <w:next w:val="a1"/>
    <w:rsid w:val="002F421C"/>
    <w:pPr>
      <w:numPr>
        <w:numId w:val="2"/>
      </w:numPr>
      <w:jc w:val="both"/>
    </w:pPr>
    <w:rPr>
      <w:rFonts w:ascii="標楷體"/>
      <w:kern w:val="0"/>
    </w:rPr>
  </w:style>
  <w:style w:type="paragraph" w:styleId="ad">
    <w:name w:val="Body Text Indent"/>
    <w:basedOn w:val="a1"/>
    <w:semiHidden/>
    <w:rsid w:val="002F421C"/>
    <w:pPr>
      <w:ind w:left="698" w:hangingChars="200" w:hanging="698"/>
    </w:pPr>
  </w:style>
  <w:style w:type="paragraph" w:customStyle="1" w:styleId="ae">
    <w:name w:val="調查報告"/>
    <w:basedOn w:val="a6"/>
    <w:rsid w:val="002F421C"/>
    <w:pPr>
      <w:kinsoku w:val="0"/>
      <w:spacing w:before="0"/>
      <w:ind w:left="1701" w:firstLine="0"/>
    </w:pPr>
    <w:rPr>
      <w:b/>
      <w:snapToGrid/>
      <w:spacing w:val="200"/>
      <w:kern w:val="0"/>
      <w:sz w:val="36"/>
    </w:rPr>
  </w:style>
  <w:style w:type="table" w:styleId="af">
    <w:name w:val="Table Grid"/>
    <w:basedOn w:val="a3"/>
    <w:rsid w:val="00BE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2F421C"/>
    <w:pPr>
      <w:numPr>
        <w:numId w:val="3"/>
      </w:numPr>
      <w:tabs>
        <w:tab w:val="clear" w:pos="1440"/>
      </w:tabs>
      <w:ind w:left="400" w:hangingChars="400" w:hanging="400"/>
      <w:jc w:val="both"/>
    </w:pPr>
    <w:rPr>
      <w:rFonts w:ascii="標楷體"/>
    </w:rPr>
  </w:style>
  <w:style w:type="paragraph" w:styleId="af0">
    <w:name w:val="footer"/>
    <w:basedOn w:val="a1"/>
    <w:semiHidden/>
    <w:rsid w:val="002F421C"/>
    <w:pPr>
      <w:tabs>
        <w:tab w:val="center" w:pos="4153"/>
        <w:tab w:val="right" w:pos="8306"/>
      </w:tabs>
      <w:snapToGrid w:val="0"/>
    </w:pPr>
    <w:rPr>
      <w:sz w:val="20"/>
    </w:rPr>
  </w:style>
  <w:style w:type="paragraph" w:styleId="af1">
    <w:name w:val="table of figures"/>
    <w:basedOn w:val="a1"/>
    <w:next w:val="a1"/>
    <w:semiHidden/>
    <w:rsid w:val="002F421C"/>
    <w:pPr>
      <w:ind w:left="400" w:hangingChars="400" w:hanging="400"/>
    </w:pPr>
  </w:style>
  <w:style w:type="paragraph" w:styleId="af2">
    <w:name w:val="List Paragraph"/>
    <w:basedOn w:val="a1"/>
    <w:qFormat/>
    <w:rsid w:val="00962021"/>
    <w:pPr>
      <w:ind w:leftChars="200" w:left="480"/>
    </w:pPr>
    <w:rPr>
      <w:rFonts w:ascii="Calibri" w:eastAsia="新細明體" w:hAnsi="Calibri"/>
      <w:sz w:val="24"/>
      <w:szCs w:val="22"/>
    </w:rPr>
  </w:style>
  <w:style w:type="paragraph" w:styleId="HTML">
    <w:name w:val="HTML Preformatted"/>
    <w:basedOn w:val="a1"/>
    <w:link w:val="HTML0"/>
    <w:uiPriority w:val="99"/>
    <w:unhideWhenUsed/>
    <w:rsid w:val="002B79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2B7996"/>
    <w:rPr>
      <w:rFonts w:ascii="細明體" w:eastAsia="細明體" w:hAnsi="細明體" w:cs="細明體"/>
      <w:sz w:val="24"/>
      <w:szCs w:val="24"/>
    </w:rPr>
  </w:style>
  <w:style w:type="character" w:customStyle="1" w:styleId="10">
    <w:name w:val="標題 1 字元"/>
    <w:basedOn w:val="a2"/>
    <w:link w:val="1"/>
    <w:rsid w:val="009276AE"/>
    <w:rPr>
      <w:rFonts w:ascii="標楷體" w:eastAsia="標楷體" w:hAnsi="Arial"/>
      <w:bCs/>
      <w:sz w:val="32"/>
      <w:szCs w:val="52"/>
    </w:rPr>
  </w:style>
  <w:style w:type="character" w:customStyle="1" w:styleId="20">
    <w:name w:val="標題 2 字元"/>
    <w:basedOn w:val="a2"/>
    <w:link w:val="2"/>
    <w:rsid w:val="001E62AD"/>
    <w:rPr>
      <w:rFonts w:ascii="標楷體" w:eastAsia="標楷體" w:hAnsi="Arial"/>
      <w:bCs/>
      <w:sz w:val="32"/>
      <w:szCs w:val="48"/>
    </w:rPr>
  </w:style>
  <w:style w:type="character" w:customStyle="1" w:styleId="40">
    <w:name w:val="標題 4 字元"/>
    <w:basedOn w:val="a2"/>
    <w:link w:val="4"/>
    <w:locked/>
    <w:rsid w:val="00DE6649"/>
    <w:rPr>
      <w:rFonts w:ascii="標楷體" w:eastAsia="標楷體" w:hAnsi="Arial"/>
      <w:kern w:val="2"/>
      <w:sz w:val="32"/>
      <w:szCs w:val="36"/>
    </w:rPr>
  </w:style>
  <w:style w:type="character" w:customStyle="1" w:styleId="a9">
    <w:name w:val="頁首 字元"/>
    <w:basedOn w:val="a2"/>
    <w:link w:val="a8"/>
    <w:rsid w:val="008B40AA"/>
    <w:rPr>
      <w:rFonts w:eastAsia="標楷體"/>
      <w:kern w:val="2"/>
    </w:rPr>
  </w:style>
  <w:style w:type="paragraph" w:styleId="af3">
    <w:name w:val="footnote text"/>
    <w:basedOn w:val="a1"/>
    <w:link w:val="af4"/>
    <w:uiPriority w:val="99"/>
    <w:unhideWhenUsed/>
    <w:rsid w:val="009B1AA4"/>
    <w:pPr>
      <w:snapToGrid w:val="0"/>
    </w:pPr>
    <w:rPr>
      <w:sz w:val="20"/>
    </w:rPr>
  </w:style>
  <w:style w:type="character" w:customStyle="1" w:styleId="af4">
    <w:name w:val="註腳文字 字元"/>
    <w:basedOn w:val="a2"/>
    <w:link w:val="af3"/>
    <w:uiPriority w:val="99"/>
    <w:rsid w:val="009B1AA4"/>
    <w:rPr>
      <w:rFonts w:eastAsia="標楷體"/>
      <w:kern w:val="2"/>
    </w:rPr>
  </w:style>
  <w:style w:type="character" w:styleId="af5">
    <w:name w:val="footnote reference"/>
    <w:basedOn w:val="a2"/>
    <w:uiPriority w:val="99"/>
    <w:semiHidden/>
    <w:unhideWhenUsed/>
    <w:rsid w:val="009B1AA4"/>
    <w:rPr>
      <w:vertAlign w:val="superscript"/>
    </w:rPr>
  </w:style>
  <w:style w:type="paragraph" w:styleId="af6">
    <w:name w:val="Balloon Text"/>
    <w:basedOn w:val="a1"/>
    <w:link w:val="af7"/>
    <w:uiPriority w:val="99"/>
    <w:semiHidden/>
    <w:unhideWhenUsed/>
    <w:rsid w:val="00CB5227"/>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CB5227"/>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F421C"/>
    <w:pPr>
      <w:widowControl w:val="0"/>
    </w:pPr>
    <w:rPr>
      <w:rFonts w:eastAsia="標楷體"/>
      <w:kern w:val="2"/>
      <w:sz w:val="32"/>
    </w:rPr>
  </w:style>
  <w:style w:type="paragraph" w:styleId="1">
    <w:name w:val="heading 1"/>
    <w:basedOn w:val="a1"/>
    <w:link w:val="10"/>
    <w:qFormat/>
    <w:rsid w:val="002F421C"/>
    <w:pPr>
      <w:numPr>
        <w:numId w:val="1"/>
      </w:numPr>
      <w:kinsoku w:val="0"/>
      <w:jc w:val="both"/>
      <w:outlineLvl w:val="0"/>
    </w:pPr>
    <w:rPr>
      <w:rFonts w:ascii="標楷體" w:hAnsi="Arial"/>
      <w:bCs/>
      <w:kern w:val="0"/>
      <w:szCs w:val="52"/>
    </w:rPr>
  </w:style>
  <w:style w:type="paragraph" w:styleId="2">
    <w:name w:val="heading 2"/>
    <w:basedOn w:val="a1"/>
    <w:link w:val="20"/>
    <w:qFormat/>
    <w:rsid w:val="002F421C"/>
    <w:pPr>
      <w:numPr>
        <w:ilvl w:val="1"/>
        <w:numId w:val="1"/>
      </w:numPr>
      <w:kinsoku w:val="0"/>
      <w:jc w:val="both"/>
      <w:outlineLvl w:val="1"/>
    </w:pPr>
    <w:rPr>
      <w:rFonts w:ascii="標楷體" w:hAnsi="Arial"/>
      <w:bCs/>
      <w:kern w:val="0"/>
      <w:szCs w:val="48"/>
    </w:rPr>
  </w:style>
  <w:style w:type="paragraph" w:styleId="3">
    <w:name w:val="heading 3"/>
    <w:basedOn w:val="a1"/>
    <w:qFormat/>
    <w:rsid w:val="002F421C"/>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2F421C"/>
    <w:pPr>
      <w:numPr>
        <w:ilvl w:val="3"/>
        <w:numId w:val="1"/>
      </w:numPr>
      <w:jc w:val="both"/>
      <w:outlineLvl w:val="3"/>
    </w:pPr>
    <w:rPr>
      <w:rFonts w:ascii="標楷體" w:hAnsi="Arial"/>
      <w:szCs w:val="36"/>
    </w:rPr>
  </w:style>
  <w:style w:type="paragraph" w:styleId="5">
    <w:name w:val="heading 5"/>
    <w:basedOn w:val="a1"/>
    <w:qFormat/>
    <w:rsid w:val="002F421C"/>
    <w:pPr>
      <w:numPr>
        <w:ilvl w:val="4"/>
        <w:numId w:val="1"/>
      </w:numPr>
      <w:kinsoku w:val="0"/>
      <w:jc w:val="both"/>
      <w:outlineLvl w:val="4"/>
    </w:pPr>
    <w:rPr>
      <w:rFonts w:ascii="標楷體" w:hAnsi="Arial"/>
      <w:bCs/>
      <w:szCs w:val="36"/>
    </w:rPr>
  </w:style>
  <w:style w:type="paragraph" w:styleId="6">
    <w:name w:val="heading 6"/>
    <w:basedOn w:val="a1"/>
    <w:qFormat/>
    <w:rsid w:val="002F421C"/>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2F421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2F421C"/>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2F421C"/>
    <w:pPr>
      <w:spacing w:before="720" w:after="720"/>
      <w:ind w:left="7371"/>
    </w:pPr>
    <w:rPr>
      <w:rFonts w:ascii="標楷體"/>
      <w:b/>
      <w:snapToGrid w:val="0"/>
      <w:spacing w:val="10"/>
      <w:sz w:val="36"/>
    </w:rPr>
  </w:style>
  <w:style w:type="paragraph" w:styleId="a6">
    <w:name w:val="endnote text"/>
    <w:basedOn w:val="a1"/>
    <w:semiHidden/>
    <w:rsid w:val="002F421C"/>
    <w:pPr>
      <w:spacing w:before="240"/>
      <w:ind w:left="1021" w:hanging="1021"/>
      <w:jc w:val="both"/>
    </w:pPr>
    <w:rPr>
      <w:rFonts w:ascii="標楷體"/>
      <w:snapToGrid w:val="0"/>
      <w:spacing w:val="10"/>
    </w:rPr>
  </w:style>
  <w:style w:type="paragraph" w:styleId="50">
    <w:name w:val="toc 5"/>
    <w:basedOn w:val="a1"/>
    <w:next w:val="a1"/>
    <w:autoRedefine/>
    <w:semiHidden/>
    <w:rsid w:val="002F421C"/>
    <w:pPr>
      <w:ind w:leftChars="400" w:left="600" w:rightChars="200" w:right="200" w:hangingChars="200" w:hanging="200"/>
    </w:pPr>
    <w:rPr>
      <w:rFonts w:ascii="標楷體"/>
    </w:rPr>
  </w:style>
  <w:style w:type="character" w:styleId="a7">
    <w:name w:val="page number"/>
    <w:basedOn w:val="a2"/>
    <w:semiHidden/>
    <w:rsid w:val="002F421C"/>
    <w:rPr>
      <w:rFonts w:ascii="標楷體" w:eastAsia="標楷體"/>
      <w:sz w:val="20"/>
    </w:rPr>
  </w:style>
  <w:style w:type="paragraph" w:styleId="60">
    <w:name w:val="toc 6"/>
    <w:basedOn w:val="a1"/>
    <w:next w:val="a1"/>
    <w:autoRedefine/>
    <w:semiHidden/>
    <w:rsid w:val="002F421C"/>
    <w:pPr>
      <w:ind w:leftChars="500" w:left="500"/>
    </w:pPr>
    <w:rPr>
      <w:rFonts w:ascii="標楷體"/>
    </w:rPr>
  </w:style>
  <w:style w:type="paragraph" w:customStyle="1" w:styleId="11">
    <w:name w:val="段落樣式1"/>
    <w:basedOn w:val="a1"/>
    <w:rsid w:val="002F421C"/>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2F421C"/>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2F421C"/>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2F421C"/>
    <w:pPr>
      <w:kinsoku w:val="0"/>
      <w:ind w:leftChars="100" w:left="300" w:rightChars="200" w:right="200" w:hangingChars="200" w:hanging="200"/>
    </w:pPr>
    <w:rPr>
      <w:rFonts w:ascii="標楷體"/>
      <w:noProof/>
    </w:rPr>
  </w:style>
  <w:style w:type="paragraph" w:styleId="30">
    <w:name w:val="toc 3"/>
    <w:basedOn w:val="a1"/>
    <w:next w:val="a1"/>
    <w:autoRedefine/>
    <w:semiHidden/>
    <w:rsid w:val="002F421C"/>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2F421C"/>
    <w:pPr>
      <w:kinsoku w:val="0"/>
      <w:ind w:leftChars="300" w:left="500" w:rightChars="200" w:right="200" w:hangingChars="200" w:hanging="200"/>
      <w:jc w:val="both"/>
    </w:pPr>
    <w:rPr>
      <w:rFonts w:ascii="標楷體"/>
    </w:rPr>
  </w:style>
  <w:style w:type="paragraph" w:styleId="70">
    <w:name w:val="toc 7"/>
    <w:basedOn w:val="a1"/>
    <w:next w:val="a1"/>
    <w:autoRedefine/>
    <w:semiHidden/>
    <w:rsid w:val="002F421C"/>
    <w:pPr>
      <w:ind w:leftChars="600" w:left="800" w:hangingChars="200" w:hanging="200"/>
    </w:pPr>
    <w:rPr>
      <w:rFonts w:ascii="標楷體"/>
    </w:rPr>
  </w:style>
  <w:style w:type="paragraph" w:styleId="80">
    <w:name w:val="toc 8"/>
    <w:basedOn w:val="a1"/>
    <w:next w:val="a1"/>
    <w:autoRedefine/>
    <w:semiHidden/>
    <w:rsid w:val="002F421C"/>
    <w:pPr>
      <w:ind w:leftChars="700" w:left="900" w:hangingChars="200" w:hanging="200"/>
    </w:pPr>
    <w:rPr>
      <w:rFonts w:ascii="標楷體"/>
    </w:rPr>
  </w:style>
  <w:style w:type="paragraph" w:styleId="9">
    <w:name w:val="toc 9"/>
    <w:basedOn w:val="a1"/>
    <w:next w:val="a1"/>
    <w:autoRedefine/>
    <w:semiHidden/>
    <w:rsid w:val="002F421C"/>
    <w:pPr>
      <w:ind w:leftChars="1600" w:left="3840"/>
    </w:pPr>
  </w:style>
  <w:style w:type="paragraph" w:styleId="a8">
    <w:name w:val="header"/>
    <w:basedOn w:val="a1"/>
    <w:link w:val="a9"/>
    <w:rsid w:val="002F421C"/>
    <w:pPr>
      <w:tabs>
        <w:tab w:val="center" w:pos="4153"/>
        <w:tab w:val="right" w:pos="8306"/>
      </w:tabs>
      <w:snapToGrid w:val="0"/>
    </w:pPr>
    <w:rPr>
      <w:sz w:val="20"/>
    </w:rPr>
  </w:style>
  <w:style w:type="paragraph" w:customStyle="1" w:styleId="31">
    <w:name w:val="段落樣式3"/>
    <w:basedOn w:val="21"/>
    <w:rsid w:val="002F421C"/>
    <w:pPr>
      <w:ind w:leftChars="400" w:left="400"/>
    </w:pPr>
  </w:style>
  <w:style w:type="character" w:styleId="aa">
    <w:name w:val="Hyperlink"/>
    <w:basedOn w:val="a2"/>
    <w:semiHidden/>
    <w:rsid w:val="002F421C"/>
    <w:rPr>
      <w:color w:val="0000FF"/>
      <w:u w:val="single"/>
    </w:rPr>
  </w:style>
  <w:style w:type="paragraph" w:customStyle="1" w:styleId="ab">
    <w:name w:val="簽名日期"/>
    <w:basedOn w:val="a1"/>
    <w:rsid w:val="002F421C"/>
    <w:pPr>
      <w:kinsoku w:val="0"/>
      <w:jc w:val="distribute"/>
    </w:pPr>
    <w:rPr>
      <w:kern w:val="0"/>
    </w:rPr>
  </w:style>
  <w:style w:type="paragraph" w:customStyle="1" w:styleId="0">
    <w:name w:val="段落樣式0"/>
    <w:basedOn w:val="21"/>
    <w:rsid w:val="002F421C"/>
    <w:pPr>
      <w:ind w:leftChars="200" w:left="200" w:firstLineChars="0" w:firstLine="0"/>
    </w:pPr>
  </w:style>
  <w:style w:type="paragraph" w:customStyle="1" w:styleId="ac">
    <w:name w:val="附件"/>
    <w:basedOn w:val="a6"/>
    <w:rsid w:val="002F421C"/>
    <w:pPr>
      <w:kinsoku w:val="0"/>
      <w:spacing w:before="0"/>
      <w:ind w:left="1047" w:hangingChars="300" w:hanging="1047"/>
    </w:pPr>
    <w:rPr>
      <w:snapToGrid/>
      <w:spacing w:val="0"/>
      <w:kern w:val="0"/>
    </w:rPr>
  </w:style>
  <w:style w:type="paragraph" w:customStyle="1" w:styleId="42">
    <w:name w:val="段落樣式4"/>
    <w:basedOn w:val="31"/>
    <w:rsid w:val="002F421C"/>
    <w:pPr>
      <w:ind w:leftChars="500" w:left="500"/>
    </w:pPr>
  </w:style>
  <w:style w:type="paragraph" w:customStyle="1" w:styleId="51">
    <w:name w:val="段落樣式5"/>
    <w:basedOn w:val="42"/>
    <w:rsid w:val="002F421C"/>
    <w:pPr>
      <w:ind w:leftChars="600" w:left="600"/>
    </w:pPr>
  </w:style>
  <w:style w:type="paragraph" w:customStyle="1" w:styleId="61">
    <w:name w:val="段落樣式6"/>
    <w:basedOn w:val="51"/>
    <w:rsid w:val="002F421C"/>
    <w:pPr>
      <w:ind w:leftChars="700" w:left="700"/>
    </w:pPr>
  </w:style>
  <w:style w:type="paragraph" w:customStyle="1" w:styleId="71">
    <w:name w:val="段落樣式7"/>
    <w:basedOn w:val="61"/>
    <w:rsid w:val="002F421C"/>
  </w:style>
  <w:style w:type="paragraph" w:customStyle="1" w:styleId="81">
    <w:name w:val="段落樣式8"/>
    <w:basedOn w:val="71"/>
    <w:rsid w:val="002F421C"/>
    <w:pPr>
      <w:ind w:leftChars="800" w:left="800"/>
    </w:pPr>
  </w:style>
  <w:style w:type="paragraph" w:customStyle="1" w:styleId="a0">
    <w:name w:val="表樣式"/>
    <w:basedOn w:val="a1"/>
    <w:next w:val="a1"/>
    <w:rsid w:val="002F421C"/>
    <w:pPr>
      <w:numPr>
        <w:numId w:val="2"/>
      </w:numPr>
      <w:jc w:val="both"/>
    </w:pPr>
    <w:rPr>
      <w:rFonts w:ascii="標楷體"/>
      <w:kern w:val="0"/>
    </w:rPr>
  </w:style>
  <w:style w:type="paragraph" w:styleId="ad">
    <w:name w:val="Body Text Indent"/>
    <w:basedOn w:val="a1"/>
    <w:semiHidden/>
    <w:rsid w:val="002F421C"/>
    <w:pPr>
      <w:ind w:left="698" w:hangingChars="200" w:hanging="698"/>
    </w:pPr>
  </w:style>
  <w:style w:type="paragraph" w:customStyle="1" w:styleId="ae">
    <w:name w:val="調查報告"/>
    <w:basedOn w:val="a6"/>
    <w:rsid w:val="002F421C"/>
    <w:pPr>
      <w:kinsoku w:val="0"/>
      <w:spacing w:before="0"/>
      <w:ind w:left="1701" w:firstLine="0"/>
    </w:pPr>
    <w:rPr>
      <w:b/>
      <w:snapToGrid/>
      <w:spacing w:val="200"/>
      <w:kern w:val="0"/>
      <w:sz w:val="36"/>
    </w:rPr>
  </w:style>
  <w:style w:type="table" w:styleId="af">
    <w:name w:val="Table Grid"/>
    <w:basedOn w:val="a3"/>
    <w:rsid w:val="00BE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2F421C"/>
    <w:pPr>
      <w:numPr>
        <w:numId w:val="3"/>
      </w:numPr>
      <w:tabs>
        <w:tab w:val="clear" w:pos="1440"/>
      </w:tabs>
      <w:ind w:left="400" w:hangingChars="400" w:hanging="400"/>
      <w:jc w:val="both"/>
    </w:pPr>
    <w:rPr>
      <w:rFonts w:ascii="標楷體"/>
    </w:rPr>
  </w:style>
  <w:style w:type="paragraph" w:styleId="af0">
    <w:name w:val="footer"/>
    <w:basedOn w:val="a1"/>
    <w:semiHidden/>
    <w:rsid w:val="002F421C"/>
    <w:pPr>
      <w:tabs>
        <w:tab w:val="center" w:pos="4153"/>
        <w:tab w:val="right" w:pos="8306"/>
      </w:tabs>
      <w:snapToGrid w:val="0"/>
    </w:pPr>
    <w:rPr>
      <w:sz w:val="20"/>
    </w:rPr>
  </w:style>
  <w:style w:type="paragraph" w:styleId="af1">
    <w:name w:val="table of figures"/>
    <w:basedOn w:val="a1"/>
    <w:next w:val="a1"/>
    <w:semiHidden/>
    <w:rsid w:val="002F421C"/>
    <w:pPr>
      <w:ind w:left="400" w:hangingChars="400" w:hanging="400"/>
    </w:pPr>
  </w:style>
  <w:style w:type="paragraph" w:styleId="af2">
    <w:name w:val="List Paragraph"/>
    <w:basedOn w:val="a1"/>
    <w:qFormat/>
    <w:rsid w:val="00962021"/>
    <w:pPr>
      <w:ind w:leftChars="200" w:left="480"/>
    </w:pPr>
    <w:rPr>
      <w:rFonts w:ascii="Calibri" w:eastAsia="新細明體" w:hAnsi="Calibri"/>
      <w:sz w:val="24"/>
      <w:szCs w:val="22"/>
    </w:rPr>
  </w:style>
  <w:style w:type="paragraph" w:styleId="HTML">
    <w:name w:val="HTML Preformatted"/>
    <w:basedOn w:val="a1"/>
    <w:link w:val="HTML0"/>
    <w:uiPriority w:val="99"/>
    <w:unhideWhenUsed/>
    <w:rsid w:val="002B79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2B7996"/>
    <w:rPr>
      <w:rFonts w:ascii="細明體" w:eastAsia="細明體" w:hAnsi="細明體" w:cs="細明體"/>
      <w:sz w:val="24"/>
      <w:szCs w:val="24"/>
    </w:rPr>
  </w:style>
  <w:style w:type="character" w:customStyle="1" w:styleId="10">
    <w:name w:val="標題 1 字元"/>
    <w:basedOn w:val="a2"/>
    <w:link w:val="1"/>
    <w:rsid w:val="009276AE"/>
    <w:rPr>
      <w:rFonts w:ascii="標楷體" w:eastAsia="標楷體" w:hAnsi="Arial"/>
      <w:bCs/>
      <w:sz w:val="32"/>
      <w:szCs w:val="52"/>
    </w:rPr>
  </w:style>
  <w:style w:type="character" w:customStyle="1" w:styleId="20">
    <w:name w:val="標題 2 字元"/>
    <w:basedOn w:val="a2"/>
    <w:link w:val="2"/>
    <w:rsid w:val="001E62AD"/>
    <w:rPr>
      <w:rFonts w:ascii="標楷體" w:eastAsia="標楷體" w:hAnsi="Arial"/>
      <w:bCs/>
      <w:sz w:val="32"/>
      <w:szCs w:val="48"/>
    </w:rPr>
  </w:style>
  <w:style w:type="character" w:customStyle="1" w:styleId="40">
    <w:name w:val="標題 4 字元"/>
    <w:basedOn w:val="a2"/>
    <w:link w:val="4"/>
    <w:locked/>
    <w:rsid w:val="00DE6649"/>
    <w:rPr>
      <w:rFonts w:ascii="標楷體" w:eastAsia="標楷體" w:hAnsi="Arial"/>
      <w:kern w:val="2"/>
      <w:sz w:val="32"/>
      <w:szCs w:val="36"/>
    </w:rPr>
  </w:style>
  <w:style w:type="character" w:customStyle="1" w:styleId="a9">
    <w:name w:val="頁首 字元"/>
    <w:basedOn w:val="a2"/>
    <w:link w:val="a8"/>
    <w:rsid w:val="008B40AA"/>
    <w:rPr>
      <w:rFonts w:eastAsia="標楷體"/>
      <w:kern w:val="2"/>
    </w:rPr>
  </w:style>
  <w:style w:type="paragraph" w:styleId="af3">
    <w:name w:val="footnote text"/>
    <w:basedOn w:val="a1"/>
    <w:link w:val="af4"/>
    <w:uiPriority w:val="99"/>
    <w:unhideWhenUsed/>
    <w:rsid w:val="009B1AA4"/>
    <w:pPr>
      <w:snapToGrid w:val="0"/>
    </w:pPr>
    <w:rPr>
      <w:sz w:val="20"/>
    </w:rPr>
  </w:style>
  <w:style w:type="character" w:customStyle="1" w:styleId="af4">
    <w:name w:val="註腳文字 字元"/>
    <w:basedOn w:val="a2"/>
    <w:link w:val="af3"/>
    <w:uiPriority w:val="99"/>
    <w:rsid w:val="009B1AA4"/>
    <w:rPr>
      <w:rFonts w:eastAsia="標楷體"/>
      <w:kern w:val="2"/>
    </w:rPr>
  </w:style>
  <w:style w:type="character" w:styleId="af5">
    <w:name w:val="footnote reference"/>
    <w:basedOn w:val="a2"/>
    <w:uiPriority w:val="99"/>
    <w:semiHidden/>
    <w:unhideWhenUsed/>
    <w:rsid w:val="009B1AA4"/>
    <w:rPr>
      <w:vertAlign w:val="superscript"/>
    </w:rPr>
  </w:style>
  <w:style w:type="paragraph" w:styleId="af6">
    <w:name w:val="Balloon Text"/>
    <w:basedOn w:val="a1"/>
    <w:link w:val="af7"/>
    <w:uiPriority w:val="99"/>
    <w:semiHidden/>
    <w:unhideWhenUsed/>
    <w:rsid w:val="00CB5227"/>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CB522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1611">
      <w:bodyDiv w:val="1"/>
      <w:marLeft w:val="0"/>
      <w:marRight w:val="0"/>
      <w:marTop w:val="0"/>
      <w:marBottom w:val="0"/>
      <w:divBdr>
        <w:top w:val="none" w:sz="0" w:space="0" w:color="auto"/>
        <w:left w:val="none" w:sz="0" w:space="0" w:color="auto"/>
        <w:bottom w:val="none" w:sz="0" w:space="0" w:color="auto"/>
        <w:right w:val="none" w:sz="0" w:space="0" w:color="auto"/>
      </w:divBdr>
    </w:div>
    <w:div w:id="130249433">
      <w:bodyDiv w:val="1"/>
      <w:marLeft w:val="0"/>
      <w:marRight w:val="0"/>
      <w:marTop w:val="0"/>
      <w:marBottom w:val="0"/>
      <w:divBdr>
        <w:top w:val="none" w:sz="0" w:space="0" w:color="auto"/>
        <w:left w:val="none" w:sz="0" w:space="0" w:color="auto"/>
        <w:bottom w:val="none" w:sz="0" w:space="0" w:color="auto"/>
        <w:right w:val="none" w:sz="0" w:space="0" w:color="auto"/>
      </w:divBdr>
    </w:div>
    <w:div w:id="416945716">
      <w:bodyDiv w:val="1"/>
      <w:marLeft w:val="0"/>
      <w:marRight w:val="0"/>
      <w:marTop w:val="0"/>
      <w:marBottom w:val="0"/>
      <w:divBdr>
        <w:top w:val="none" w:sz="0" w:space="0" w:color="auto"/>
        <w:left w:val="none" w:sz="0" w:space="0" w:color="auto"/>
        <w:bottom w:val="none" w:sz="0" w:space="0" w:color="auto"/>
        <w:right w:val="none" w:sz="0" w:space="0" w:color="auto"/>
      </w:divBdr>
    </w:div>
    <w:div w:id="444345293">
      <w:bodyDiv w:val="1"/>
      <w:marLeft w:val="0"/>
      <w:marRight w:val="0"/>
      <w:marTop w:val="0"/>
      <w:marBottom w:val="0"/>
      <w:divBdr>
        <w:top w:val="none" w:sz="0" w:space="0" w:color="auto"/>
        <w:left w:val="none" w:sz="0" w:space="0" w:color="auto"/>
        <w:bottom w:val="none" w:sz="0" w:space="0" w:color="auto"/>
        <w:right w:val="none" w:sz="0" w:space="0" w:color="auto"/>
      </w:divBdr>
    </w:div>
    <w:div w:id="455954006">
      <w:bodyDiv w:val="1"/>
      <w:marLeft w:val="0"/>
      <w:marRight w:val="0"/>
      <w:marTop w:val="0"/>
      <w:marBottom w:val="0"/>
      <w:divBdr>
        <w:top w:val="none" w:sz="0" w:space="0" w:color="auto"/>
        <w:left w:val="none" w:sz="0" w:space="0" w:color="auto"/>
        <w:bottom w:val="none" w:sz="0" w:space="0" w:color="auto"/>
        <w:right w:val="none" w:sz="0" w:space="0" w:color="auto"/>
      </w:divBdr>
      <w:divsChild>
        <w:div w:id="185752656">
          <w:marLeft w:val="0"/>
          <w:marRight w:val="0"/>
          <w:marTop w:val="0"/>
          <w:marBottom w:val="0"/>
          <w:divBdr>
            <w:top w:val="none" w:sz="0" w:space="0" w:color="auto"/>
            <w:left w:val="none" w:sz="0" w:space="0" w:color="auto"/>
            <w:bottom w:val="none" w:sz="0" w:space="0" w:color="auto"/>
            <w:right w:val="none" w:sz="0" w:space="0" w:color="auto"/>
          </w:divBdr>
          <w:divsChild>
            <w:div w:id="1672216743">
              <w:marLeft w:val="0"/>
              <w:marRight w:val="0"/>
              <w:marTop w:val="100"/>
              <w:marBottom w:val="100"/>
              <w:divBdr>
                <w:top w:val="none" w:sz="0" w:space="0" w:color="auto"/>
                <w:left w:val="none" w:sz="0" w:space="0" w:color="auto"/>
                <w:bottom w:val="none" w:sz="0" w:space="0" w:color="auto"/>
                <w:right w:val="none" w:sz="0" w:space="0" w:color="auto"/>
              </w:divBdr>
              <w:divsChild>
                <w:div w:id="524951323">
                  <w:marLeft w:val="0"/>
                  <w:marRight w:val="0"/>
                  <w:marTop w:val="45"/>
                  <w:marBottom w:val="120"/>
                  <w:divBdr>
                    <w:top w:val="none" w:sz="0" w:space="0" w:color="auto"/>
                    <w:left w:val="none" w:sz="0" w:space="0" w:color="auto"/>
                    <w:bottom w:val="none" w:sz="0" w:space="0" w:color="auto"/>
                    <w:right w:val="none" w:sz="0" w:space="0" w:color="auto"/>
                  </w:divBdr>
                  <w:divsChild>
                    <w:div w:id="786510415">
                      <w:marLeft w:val="0"/>
                      <w:marRight w:val="0"/>
                      <w:marTop w:val="0"/>
                      <w:marBottom w:val="0"/>
                      <w:divBdr>
                        <w:top w:val="none" w:sz="0" w:space="0" w:color="auto"/>
                        <w:left w:val="none" w:sz="0" w:space="0" w:color="auto"/>
                        <w:bottom w:val="none" w:sz="0" w:space="0" w:color="auto"/>
                        <w:right w:val="none" w:sz="0" w:space="0" w:color="auto"/>
                      </w:divBdr>
                      <w:divsChild>
                        <w:div w:id="17369257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15966318">
      <w:bodyDiv w:val="1"/>
      <w:marLeft w:val="0"/>
      <w:marRight w:val="0"/>
      <w:marTop w:val="0"/>
      <w:marBottom w:val="0"/>
      <w:divBdr>
        <w:top w:val="none" w:sz="0" w:space="0" w:color="auto"/>
        <w:left w:val="none" w:sz="0" w:space="0" w:color="auto"/>
        <w:bottom w:val="none" w:sz="0" w:space="0" w:color="auto"/>
        <w:right w:val="none" w:sz="0" w:space="0" w:color="auto"/>
      </w:divBdr>
    </w:div>
    <w:div w:id="579142206">
      <w:bodyDiv w:val="1"/>
      <w:marLeft w:val="0"/>
      <w:marRight w:val="0"/>
      <w:marTop w:val="0"/>
      <w:marBottom w:val="0"/>
      <w:divBdr>
        <w:top w:val="none" w:sz="0" w:space="0" w:color="auto"/>
        <w:left w:val="none" w:sz="0" w:space="0" w:color="auto"/>
        <w:bottom w:val="none" w:sz="0" w:space="0" w:color="auto"/>
        <w:right w:val="none" w:sz="0" w:space="0" w:color="auto"/>
      </w:divBdr>
      <w:divsChild>
        <w:div w:id="1898084762">
          <w:marLeft w:val="0"/>
          <w:marRight w:val="0"/>
          <w:marTop w:val="0"/>
          <w:marBottom w:val="0"/>
          <w:divBdr>
            <w:top w:val="none" w:sz="0" w:space="0" w:color="auto"/>
            <w:left w:val="none" w:sz="0" w:space="0" w:color="auto"/>
            <w:bottom w:val="none" w:sz="0" w:space="0" w:color="auto"/>
            <w:right w:val="none" w:sz="0" w:space="0" w:color="auto"/>
          </w:divBdr>
          <w:divsChild>
            <w:div w:id="545728010">
              <w:marLeft w:val="0"/>
              <w:marRight w:val="0"/>
              <w:marTop w:val="100"/>
              <w:marBottom w:val="100"/>
              <w:divBdr>
                <w:top w:val="none" w:sz="0" w:space="0" w:color="auto"/>
                <w:left w:val="none" w:sz="0" w:space="0" w:color="auto"/>
                <w:bottom w:val="none" w:sz="0" w:space="0" w:color="auto"/>
                <w:right w:val="none" w:sz="0" w:space="0" w:color="auto"/>
              </w:divBdr>
              <w:divsChild>
                <w:div w:id="1824083087">
                  <w:marLeft w:val="0"/>
                  <w:marRight w:val="0"/>
                  <w:marTop w:val="45"/>
                  <w:marBottom w:val="120"/>
                  <w:divBdr>
                    <w:top w:val="none" w:sz="0" w:space="0" w:color="auto"/>
                    <w:left w:val="none" w:sz="0" w:space="0" w:color="auto"/>
                    <w:bottom w:val="none" w:sz="0" w:space="0" w:color="auto"/>
                    <w:right w:val="none" w:sz="0" w:space="0" w:color="auto"/>
                  </w:divBdr>
                  <w:divsChild>
                    <w:div w:id="1643920584">
                      <w:marLeft w:val="0"/>
                      <w:marRight w:val="0"/>
                      <w:marTop w:val="0"/>
                      <w:marBottom w:val="0"/>
                      <w:divBdr>
                        <w:top w:val="none" w:sz="0" w:space="0" w:color="auto"/>
                        <w:left w:val="none" w:sz="0" w:space="0" w:color="auto"/>
                        <w:bottom w:val="none" w:sz="0" w:space="0" w:color="auto"/>
                        <w:right w:val="none" w:sz="0" w:space="0" w:color="auto"/>
                      </w:divBdr>
                      <w:divsChild>
                        <w:div w:id="136702615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53679466">
      <w:bodyDiv w:val="1"/>
      <w:marLeft w:val="0"/>
      <w:marRight w:val="0"/>
      <w:marTop w:val="0"/>
      <w:marBottom w:val="0"/>
      <w:divBdr>
        <w:top w:val="none" w:sz="0" w:space="0" w:color="auto"/>
        <w:left w:val="none" w:sz="0" w:space="0" w:color="auto"/>
        <w:bottom w:val="none" w:sz="0" w:space="0" w:color="auto"/>
        <w:right w:val="none" w:sz="0" w:space="0" w:color="auto"/>
      </w:divBdr>
      <w:divsChild>
        <w:div w:id="1681466138">
          <w:marLeft w:val="0"/>
          <w:marRight w:val="0"/>
          <w:marTop w:val="0"/>
          <w:marBottom w:val="0"/>
          <w:divBdr>
            <w:top w:val="none" w:sz="0" w:space="0" w:color="auto"/>
            <w:left w:val="none" w:sz="0" w:space="0" w:color="auto"/>
            <w:bottom w:val="none" w:sz="0" w:space="0" w:color="auto"/>
            <w:right w:val="none" w:sz="0" w:space="0" w:color="auto"/>
          </w:divBdr>
          <w:divsChild>
            <w:div w:id="1861046507">
              <w:marLeft w:val="0"/>
              <w:marRight w:val="0"/>
              <w:marTop w:val="100"/>
              <w:marBottom w:val="100"/>
              <w:divBdr>
                <w:top w:val="none" w:sz="0" w:space="0" w:color="auto"/>
                <w:left w:val="none" w:sz="0" w:space="0" w:color="auto"/>
                <w:bottom w:val="none" w:sz="0" w:space="0" w:color="auto"/>
                <w:right w:val="none" w:sz="0" w:space="0" w:color="auto"/>
              </w:divBdr>
              <w:divsChild>
                <w:div w:id="385954048">
                  <w:marLeft w:val="0"/>
                  <w:marRight w:val="0"/>
                  <w:marTop w:val="45"/>
                  <w:marBottom w:val="120"/>
                  <w:divBdr>
                    <w:top w:val="none" w:sz="0" w:space="0" w:color="auto"/>
                    <w:left w:val="none" w:sz="0" w:space="0" w:color="auto"/>
                    <w:bottom w:val="none" w:sz="0" w:space="0" w:color="auto"/>
                    <w:right w:val="none" w:sz="0" w:space="0" w:color="auto"/>
                  </w:divBdr>
                  <w:divsChild>
                    <w:div w:id="1707020963">
                      <w:marLeft w:val="0"/>
                      <w:marRight w:val="0"/>
                      <w:marTop w:val="0"/>
                      <w:marBottom w:val="0"/>
                      <w:divBdr>
                        <w:top w:val="none" w:sz="0" w:space="0" w:color="auto"/>
                        <w:left w:val="none" w:sz="0" w:space="0" w:color="auto"/>
                        <w:bottom w:val="none" w:sz="0" w:space="0" w:color="auto"/>
                        <w:right w:val="none" w:sz="0" w:space="0" w:color="auto"/>
                      </w:divBdr>
                      <w:divsChild>
                        <w:div w:id="155655027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30924387">
      <w:bodyDiv w:val="1"/>
      <w:marLeft w:val="0"/>
      <w:marRight w:val="0"/>
      <w:marTop w:val="0"/>
      <w:marBottom w:val="0"/>
      <w:divBdr>
        <w:top w:val="none" w:sz="0" w:space="0" w:color="auto"/>
        <w:left w:val="none" w:sz="0" w:space="0" w:color="auto"/>
        <w:bottom w:val="none" w:sz="0" w:space="0" w:color="auto"/>
        <w:right w:val="none" w:sz="0" w:space="0" w:color="auto"/>
      </w:divBdr>
    </w:div>
    <w:div w:id="790320057">
      <w:bodyDiv w:val="1"/>
      <w:marLeft w:val="0"/>
      <w:marRight w:val="0"/>
      <w:marTop w:val="0"/>
      <w:marBottom w:val="0"/>
      <w:divBdr>
        <w:top w:val="none" w:sz="0" w:space="0" w:color="auto"/>
        <w:left w:val="none" w:sz="0" w:space="0" w:color="auto"/>
        <w:bottom w:val="none" w:sz="0" w:space="0" w:color="auto"/>
        <w:right w:val="none" w:sz="0" w:space="0" w:color="auto"/>
      </w:divBdr>
    </w:div>
    <w:div w:id="816529324">
      <w:bodyDiv w:val="1"/>
      <w:marLeft w:val="0"/>
      <w:marRight w:val="0"/>
      <w:marTop w:val="0"/>
      <w:marBottom w:val="0"/>
      <w:divBdr>
        <w:top w:val="none" w:sz="0" w:space="0" w:color="auto"/>
        <w:left w:val="none" w:sz="0" w:space="0" w:color="auto"/>
        <w:bottom w:val="none" w:sz="0" w:space="0" w:color="auto"/>
        <w:right w:val="none" w:sz="0" w:space="0" w:color="auto"/>
      </w:divBdr>
    </w:div>
    <w:div w:id="961424348">
      <w:bodyDiv w:val="1"/>
      <w:marLeft w:val="0"/>
      <w:marRight w:val="0"/>
      <w:marTop w:val="0"/>
      <w:marBottom w:val="0"/>
      <w:divBdr>
        <w:top w:val="none" w:sz="0" w:space="0" w:color="auto"/>
        <w:left w:val="none" w:sz="0" w:space="0" w:color="auto"/>
        <w:bottom w:val="none" w:sz="0" w:space="0" w:color="auto"/>
        <w:right w:val="none" w:sz="0" w:space="0" w:color="auto"/>
      </w:divBdr>
    </w:div>
    <w:div w:id="1041055390">
      <w:bodyDiv w:val="1"/>
      <w:marLeft w:val="0"/>
      <w:marRight w:val="0"/>
      <w:marTop w:val="0"/>
      <w:marBottom w:val="0"/>
      <w:divBdr>
        <w:top w:val="none" w:sz="0" w:space="0" w:color="auto"/>
        <w:left w:val="none" w:sz="0" w:space="0" w:color="auto"/>
        <w:bottom w:val="none" w:sz="0" w:space="0" w:color="auto"/>
        <w:right w:val="none" w:sz="0" w:space="0" w:color="auto"/>
      </w:divBdr>
    </w:div>
    <w:div w:id="1052075737">
      <w:bodyDiv w:val="1"/>
      <w:marLeft w:val="0"/>
      <w:marRight w:val="0"/>
      <w:marTop w:val="0"/>
      <w:marBottom w:val="0"/>
      <w:divBdr>
        <w:top w:val="none" w:sz="0" w:space="0" w:color="auto"/>
        <w:left w:val="none" w:sz="0" w:space="0" w:color="auto"/>
        <w:bottom w:val="none" w:sz="0" w:space="0" w:color="auto"/>
        <w:right w:val="none" w:sz="0" w:space="0" w:color="auto"/>
      </w:divBdr>
    </w:div>
    <w:div w:id="1062676556">
      <w:bodyDiv w:val="1"/>
      <w:marLeft w:val="0"/>
      <w:marRight w:val="0"/>
      <w:marTop w:val="0"/>
      <w:marBottom w:val="0"/>
      <w:divBdr>
        <w:top w:val="none" w:sz="0" w:space="0" w:color="auto"/>
        <w:left w:val="none" w:sz="0" w:space="0" w:color="auto"/>
        <w:bottom w:val="none" w:sz="0" w:space="0" w:color="auto"/>
        <w:right w:val="none" w:sz="0" w:space="0" w:color="auto"/>
      </w:divBdr>
    </w:div>
    <w:div w:id="1078596969">
      <w:bodyDiv w:val="1"/>
      <w:marLeft w:val="0"/>
      <w:marRight w:val="0"/>
      <w:marTop w:val="0"/>
      <w:marBottom w:val="0"/>
      <w:divBdr>
        <w:top w:val="none" w:sz="0" w:space="0" w:color="auto"/>
        <w:left w:val="none" w:sz="0" w:space="0" w:color="auto"/>
        <w:bottom w:val="none" w:sz="0" w:space="0" w:color="auto"/>
        <w:right w:val="none" w:sz="0" w:space="0" w:color="auto"/>
      </w:divBdr>
      <w:divsChild>
        <w:div w:id="1206065215">
          <w:marLeft w:val="0"/>
          <w:marRight w:val="0"/>
          <w:marTop w:val="0"/>
          <w:marBottom w:val="0"/>
          <w:divBdr>
            <w:top w:val="none" w:sz="0" w:space="0" w:color="auto"/>
            <w:left w:val="none" w:sz="0" w:space="0" w:color="auto"/>
            <w:bottom w:val="none" w:sz="0" w:space="0" w:color="auto"/>
            <w:right w:val="none" w:sz="0" w:space="0" w:color="auto"/>
          </w:divBdr>
          <w:divsChild>
            <w:div w:id="1835686530">
              <w:marLeft w:val="0"/>
              <w:marRight w:val="0"/>
              <w:marTop w:val="100"/>
              <w:marBottom w:val="100"/>
              <w:divBdr>
                <w:top w:val="none" w:sz="0" w:space="0" w:color="auto"/>
                <w:left w:val="none" w:sz="0" w:space="0" w:color="auto"/>
                <w:bottom w:val="none" w:sz="0" w:space="0" w:color="auto"/>
                <w:right w:val="none" w:sz="0" w:space="0" w:color="auto"/>
              </w:divBdr>
              <w:divsChild>
                <w:div w:id="952057670">
                  <w:marLeft w:val="0"/>
                  <w:marRight w:val="0"/>
                  <w:marTop w:val="45"/>
                  <w:marBottom w:val="120"/>
                  <w:divBdr>
                    <w:top w:val="none" w:sz="0" w:space="0" w:color="auto"/>
                    <w:left w:val="none" w:sz="0" w:space="0" w:color="auto"/>
                    <w:bottom w:val="none" w:sz="0" w:space="0" w:color="auto"/>
                    <w:right w:val="none" w:sz="0" w:space="0" w:color="auto"/>
                  </w:divBdr>
                  <w:divsChild>
                    <w:div w:id="82800869">
                      <w:marLeft w:val="0"/>
                      <w:marRight w:val="0"/>
                      <w:marTop w:val="0"/>
                      <w:marBottom w:val="0"/>
                      <w:divBdr>
                        <w:top w:val="none" w:sz="0" w:space="0" w:color="auto"/>
                        <w:left w:val="none" w:sz="0" w:space="0" w:color="auto"/>
                        <w:bottom w:val="none" w:sz="0" w:space="0" w:color="auto"/>
                        <w:right w:val="none" w:sz="0" w:space="0" w:color="auto"/>
                      </w:divBdr>
                      <w:divsChild>
                        <w:div w:id="6965848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43526291">
      <w:bodyDiv w:val="1"/>
      <w:marLeft w:val="0"/>
      <w:marRight w:val="0"/>
      <w:marTop w:val="0"/>
      <w:marBottom w:val="0"/>
      <w:divBdr>
        <w:top w:val="none" w:sz="0" w:space="0" w:color="auto"/>
        <w:left w:val="none" w:sz="0" w:space="0" w:color="auto"/>
        <w:bottom w:val="none" w:sz="0" w:space="0" w:color="auto"/>
        <w:right w:val="none" w:sz="0" w:space="0" w:color="auto"/>
      </w:divBdr>
      <w:divsChild>
        <w:div w:id="1325469526">
          <w:marLeft w:val="0"/>
          <w:marRight w:val="0"/>
          <w:marTop w:val="0"/>
          <w:marBottom w:val="0"/>
          <w:divBdr>
            <w:top w:val="none" w:sz="0" w:space="0" w:color="auto"/>
            <w:left w:val="none" w:sz="0" w:space="0" w:color="auto"/>
            <w:bottom w:val="none" w:sz="0" w:space="0" w:color="auto"/>
            <w:right w:val="none" w:sz="0" w:space="0" w:color="auto"/>
          </w:divBdr>
          <w:divsChild>
            <w:div w:id="988708348">
              <w:marLeft w:val="0"/>
              <w:marRight w:val="0"/>
              <w:marTop w:val="100"/>
              <w:marBottom w:val="100"/>
              <w:divBdr>
                <w:top w:val="none" w:sz="0" w:space="0" w:color="auto"/>
                <w:left w:val="none" w:sz="0" w:space="0" w:color="auto"/>
                <w:bottom w:val="none" w:sz="0" w:space="0" w:color="auto"/>
                <w:right w:val="none" w:sz="0" w:space="0" w:color="auto"/>
              </w:divBdr>
              <w:divsChild>
                <w:div w:id="1236470486">
                  <w:marLeft w:val="0"/>
                  <w:marRight w:val="0"/>
                  <w:marTop w:val="45"/>
                  <w:marBottom w:val="120"/>
                  <w:divBdr>
                    <w:top w:val="none" w:sz="0" w:space="0" w:color="auto"/>
                    <w:left w:val="none" w:sz="0" w:space="0" w:color="auto"/>
                    <w:bottom w:val="none" w:sz="0" w:space="0" w:color="auto"/>
                    <w:right w:val="none" w:sz="0" w:space="0" w:color="auto"/>
                  </w:divBdr>
                  <w:divsChild>
                    <w:div w:id="202251842">
                      <w:marLeft w:val="0"/>
                      <w:marRight w:val="0"/>
                      <w:marTop w:val="0"/>
                      <w:marBottom w:val="0"/>
                      <w:divBdr>
                        <w:top w:val="none" w:sz="0" w:space="0" w:color="auto"/>
                        <w:left w:val="none" w:sz="0" w:space="0" w:color="auto"/>
                        <w:bottom w:val="none" w:sz="0" w:space="0" w:color="auto"/>
                        <w:right w:val="none" w:sz="0" w:space="0" w:color="auto"/>
                      </w:divBdr>
                      <w:divsChild>
                        <w:div w:id="60169288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82574626">
      <w:bodyDiv w:val="1"/>
      <w:marLeft w:val="0"/>
      <w:marRight w:val="0"/>
      <w:marTop w:val="0"/>
      <w:marBottom w:val="0"/>
      <w:divBdr>
        <w:top w:val="none" w:sz="0" w:space="0" w:color="auto"/>
        <w:left w:val="none" w:sz="0" w:space="0" w:color="auto"/>
        <w:bottom w:val="none" w:sz="0" w:space="0" w:color="auto"/>
        <w:right w:val="none" w:sz="0" w:space="0" w:color="auto"/>
      </w:divBdr>
    </w:div>
    <w:div w:id="1628076381">
      <w:bodyDiv w:val="1"/>
      <w:marLeft w:val="0"/>
      <w:marRight w:val="0"/>
      <w:marTop w:val="0"/>
      <w:marBottom w:val="0"/>
      <w:divBdr>
        <w:top w:val="none" w:sz="0" w:space="0" w:color="auto"/>
        <w:left w:val="none" w:sz="0" w:space="0" w:color="auto"/>
        <w:bottom w:val="none" w:sz="0" w:space="0" w:color="auto"/>
        <w:right w:val="none" w:sz="0" w:space="0" w:color="auto"/>
      </w:divBdr>
      <w:divsChild>
        <w:div w:id="1987313773">
          <w:marLeft w:val="0"/>
          <w:marRight w:val="0"/>
          <w:marTop w:val="0"/>
          <w:marBottom w:val="0"/>
          <w:divBdr>
            <w:top w:val="none" w:sz="0" w:space="0" w:color="auto"/>
            <w:left w:val="none" w:sz="0" w:space="0" w:color="auto"/>
            <w:bottom w:val="none" w:sz="0" w:space="0" w:color="auto"/>
            <w:right w:val="none" w:sz="0" w:space="0" w:color="auto"/>
          </w:divBdr>
          <w:divsChild>
            <w:div w:id="1553930074">
              <w:marLeft w:val="0"/>
              <w:marRight w:val="0"/>
              <w:marTop w:val="100"/>
              <w:marBottom w:val="100"/>
              <w:divBdr>
                <w:top w:val="none" w:sz="0" w:space="0" w:color="auto"/>
                <w:left w:val="none" w:sz="0" w:space="0" w:color="auto"/>
                <w:bottom w:val="none" w:sz="0" w:space="0" w:color="auto"/>
                <w:right w:val="none" w:sz="0" w:space="0" w:color="auto"/>
              </w:divBdr>
              <w:divsChild>
                <w:div w:id="1192915631">
                  <w:marLeft w:val="0"/>
                  <w:marRight w:val="0"/>
                  <w:marTop w:val="45"/>
                  <w:marBottom w:val="120"/>
                  <w:divBdr>
                    <w:top w:val="none" w:sz="0" w:space="0" w:color="auto"/>
                    <w:left w:val="none" w:sz="0" w:space="0" w:color="auto"/>
                    <w:bottom w:val="none" w:sz="0" w:space="0" w:color="auto"/>
                    <w:right w:val="none" w:sz="0" w:space="0" w:color="auto"/>
                  </w:divBdr>
                  <w:divsChild>
                    <w:div w:id="499543793">
                      <w:marLeft w:val="0"/>
                      <w:marRight w:val="0"/>
                      <w:marTop w:val="0"/>
                      <w:marBottom w:val="0"/>
                      <w:divBdr>
                        <w:top w:val="none" w:sz="0" w:space="0" w:color="auto"/>
                        <w:left w:val="none" w:sz="0" w:space="0" w:color="auto"/>
                        <w:bottom w:val="none" w:sz="0" w:space="0" w:color="auto"/>
                        <w:right w:val="none" w:sz="0" w:space="0" w:color="auto"/>
                      </w:divBdr>
                      <w:divsChild>
                        <w:div w:id="138209605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59377434">
      <w:bodyDiv w:val="1"/>
      <w:marLeft w:val="0"/>
      <w:marRight w:val="0"/>
      <w:marTop w:val="0"/>
      <w:marBottom w:val="0"/>
      <w:divBdr>
        <w:top w:val="none" w:sz="0" w:space="0" w:color="auto"/>
        <w:left w:val="none" w:sz="0" w:space="0" w:color="auto"/>
        <w:bottom w:val="none" w:sz="0" w:space="0" w:color="auto"/>
        <w:right w:val="none" w:sz="0" w:space="0" w:color="auto"/>
      </w:divBdr>
    </w:div>
    <w:div w:id="1704742005">
      <w:bodyDiv w:val="1"/>
      <w:marLeft w:val="0"/>
      <w:marRight w:val="0"/>
      <w:marTop w:val="0"/>
      <w:marBottom w:val="0"/>
      <w:divBdr>
        <w:top w:val="none" w:sz="0" w:space="0" w:color="auto"/>
        <w:left w:val="none" w:sz="0" w:space="0" w:color="auto"/>
        <w:bottom w:val="none" w:sz="0" w:space="0" w:color="auto"/>
        <w:right w:val="none" w:sz="0" w:space="0" w:color="auto"/>
      </w:divBdr>
      <w:divsChild>
        <w:div w:id="1587879764">
          <w:marLeft w:val="0"/>
          <w:marRight w:val="0"/>
          <w:marTop w:val="0"/>
          <w:marBottom w:val="0"/>
          <w:divBdr>
            <w:top w:val="none" w:sz="0" w:space="0" w:color="auto"/>
            <w:left w:val="none" w:sz="0" w:space="0" w:color="auto"/>
            <w:bottom w:val="none" w:sz="0" w:space="0" w:color="auto"/>
            <w:right w:val="none" w:sz="0" w:space="0" w:color="auto"/>
          </w:divBdr>
          <w:divsChild>
            <w:div w:id="321813241">
              <w:marLeft w:val="0"/>
              <w:marRight w:val="0"/>
              <w:marTop w:val="100"/>
              <w:marBottom w:val="100"/>
              <w:divBdr>
                <w:top w:val="none" w:sz="0" w:space="0" w:color="auto"/>
                <w:left w:val="none" w:sz="0" w:space="0" w:color="auto"/>
                <w:bottom w:val="none" w:sz="0" w:space="0" w:color="auto"/>
                <w:right w:val="none" w:sz="0" w:space="0" w:color="auto"/>
              </w:divBdr>
              <w:divsChild>
                <w:div w:id="1960522956">
                  <w:marLeft w:val="0"/>
                  <w:marRight w:val="0"/>
                  <w:marTop w:val="45"/>
                  <w:marBottom w:val="120"/>
                  <w:divBdr>
                    <w:top w:val="none" w:sz="0" w:space="0" w:color="auto"/>
                    <w:left w:val="none" w:sz="0" w:space="0" w:color="auto"/>
                    <w:bottom w:val="none" w:sz="0" w:space="0" w:color="auto"/>
                    <w:right w:val="none" w:sz="0" w:space="0" w:color="auto"/>
                  </w:divBdr>
                  <w:divsChild>
                    <w:div w:id="515850748">
                      <w:marLeft w:val="0"/>
                      <w:marRight w:val="0"/>
                      <w:marTop w:val="0"/>
                      <w:marBottom w:val="0"/>
                      <w:divBdr>
                        <w:top w:val="none" w:sz="0" w:space="0" w:color="auto"/>
                        <w:left w:val="none" w:sz="0" w:space="0" w:color="auto"/>
                        <w:bottom w:val="none" w:sz="0" w:space="0" w:color="auto"/>
                        <w:right w:val="none" w:sz="0" w:space="0" w:color="auto"/>
                      </w:divBdr>
                      <w:divsChild>
                        <w:div w:id="128596787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19428182">
      <w:bodyDiv w:val="1"/>
      <w:marLeft w:val="0"/>
      <w:marRight w:val="0"/>
      <w:marTop w:val="0"/>
      <w:marBottom w:val="0"/>
      <w:divBdr>
        <w:top w:val="none" w:sz="0" w:space="0" w:color="auto"/>
        <w:left w:val="none" w:sz="0" w:space="0" w:color="auto"/>
        <w:bottom w:val="none" w:sz="0" w:space="0" w:color="auto"/>
        <w:right w:val="none" w:sz="0" w:space="0" w:color="auto"/>
      </w:divBdr>
      <w:divsChild>
        <w:div w:id="1724401368">
          <w:marLeft w:val="0"/>
          <w:marRight w:val="0"/>
          <w:marTop w:val="0"/>
          <w:marBottom w:val="0"/>
          <w:divBdr>
            <w:top w:val="none" w:sz="0" w:space="0" w:color="auto"/>
            <w:left w:val="none" w:sz="0" w:space="0" w:color="auto"/>
            <w:bottom w:val="none" w:sz="0" w:space="0" w:color="auto"/>
            <w:right w:val="none" w:sz="0" w:space="0" w:color="auto"/>
          </w:divBdr>
          <w:divsChild>
            <w:div w:id="623077282">
              <w:marLeft w:val="0"/>
              <w:marRight w:val="0"/>
              <w:marTop w:val="100"/>
              <w:marBottom w:val="100"/>
              <w:divBdr>
                <w:top w:val="none" w:sz="0" w:space="0" w:color="auto"/>
                <w:left w:val="none" w:sz="0" w:space="0" w:color="auto"/>
                <w:bottom w:val="none" w:sz="0" w:space="0" w:color="auto"/>
                <w:right w:val="none" w:sz="0" w:space="0" w:color="auto"/>
              </w:divBdr>
              <w:divsChild>
                <w:div w:id="1057625741">
                  <w:marLeft w:val="0"/>
                  <w:marRight w:val="0"/>
                  <w:marTop w:val="45"/>
                  <w:marBottom w:val="120"/>
                  <w:divBdr>
                    <w:top w:val="none" w:sz="0" w:space="0" w:color="auto"/>
                    <w:left w:val="none" w:sz="0" w:space="0" w:color="auto"/>
                    <w:bottom w:val="none" w:sz="0" w:space="0" w:color="auto"/>
                    <w:right w:val="none" w:sz="0" w:space="0" w:color="auto"/>
                  </w:divBdr>
                  <w:divsChild>
                    <w:div w:id="1464735507">
                      <w:marLeft w:val="0"/>
                      <w:marRight w:val="0"/>
                      <w:marTop w:val="0"/>
                      <w:marBottom w:val="0"/>
                      <w:divBdr>
                        <w:top w:val="none" w:sz="0" w:space="0" w:color="auto"/>
                        <w:left w:val="none" w:sz="0" w:space="0" w:color="auto"/>
                        <w:bottom w:val="none" w:sz="0" w:space="0" w:color="auto"/>
                        <w:right w:val="none" w:sz="0" w:space="0" w:color="auto"/>
                      </w:divBdr>
                      <w:divsChild>
                        <w:div w:id="196846619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05654874">
      <w:bodyDiv w:val="1"/>
      <w:marLeft w:val="0"/>
      <w:marRight w:val="0"/>
      <w:marTop w:val="0"/>
      <w:marBottom w:val="0"/>
      <w:divBdr>
        <w:top w:val="none" w:sz="0" w:space="0" w:color="auto"/>
        <w:left w:val="none" w:sz="0" w:space="0" w:color="auto"/>
        <w:bottom w:val="none" w:sz="0" w:space="0" w:color="auto"/>
        <w:right w:val="none" w:sz="0" w:space="0" w:color="auto"/>
      </w:divBdr>
    </w:div>
    <w:div w:id="1825584060">
      <w:bodyDiv w:val="1"/>
      <w:marLeft w:val="0"/>
      <w:marRight w:val="0"/>
      <w:marTop w:val="0"/>
      <w:marBottom w:val="0"/>
      <w:divBdr>
        <w:top w:val="none" w:sz="0" w:space="0" w:color="auto"/>
        <w:left w:val="none" w:sz="0" w:space="0" w:color="auto"/>
        <w:bottom w:val="none" w:sz="0" w:space="0" w:color="auto"/>
        <w:right w:val="none" w:sz="0" w:space="0" w:color="auto"/>
      </w:divBdr>
    </w:div>
    <w:div w:id="18633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B1831-A77C-44AF-8DF7-0FC766C5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14</Pages>
  <Words>1212</Words>
  <Characters>6914</Characters>
  <Application>Microsoft Office Word</Application>
  <DocSecurity>0</DocSecurity>
  <Lines>57</Lines>
  <Paragraphs>16</Paragraphs>
  <ScaleCrop>false</ScaleCrop>
  <Company>cy</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7</cp:revision>
  <cp:lastPrinted>2015-06-10T03:43:00Z</cp:lastPrinted>
  <dcterms:created xsi:type="dcterms:W3CDTF">2015-06-10T04:12:00Z</dcterms:created>
  <dcterms:modified xsi:type="dcterms:W3CDTF">2015-06-10T06:20:00Z</dcterms:modified>
</cp:coreProperties>
</file>