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E7F" w:rsidRPr="003653C1" w:rsidRDefault="004F0E7F" w:rsidP="00B32821">
      <w:pPr>
        <w:pStyle w:val="a7"/>
        <w:kinsoku w:val="0"/>
        <w:overflowPunct w:val="0"/>
        <w:spacing w:before="0"/>
        <w:ind w:leftChars="28" w:left="1116"/>
        <w:jc w:val="center"/>
        <w:rPr>
          <w:rFonts w:hAnsi="標楷體"/>
          <w:bCs/>
          <w:snapToGrid/>
          <w:spacing w:val="200"/>
          <w:kern w:val="0"/>
          <w:szCs w:val="32"/>
        </w:rPr>
      </w:pPr>
      <w:r w:rsidRPr="003653C1">
        <w:rPr>
          <w:rFonts w:hAnsi="標楷體" w:hint="eastAsia"/>
          <w:bCs/>
          <w:snapToGrid/>
          <w:spacing w:val="200"/>
          <w:kern w:val="0"/>
          <w:sz w:val="36"/>
          <w:szCs w:val="36"/>
        </w:rPr>
        <w:t>調查報告</w:t>
      </w:r>
    </w:p>
    <w:p w:rsidR="004F0E7F" w:rsidRPr="003653C1" w:rsidRDefault="004F0E7F" w:rsidP="00B32821">
      <w:pPr>
        <w:pStyle w:val="1"/>
        <w:overflowPunct w:val="0"/>
        <w:ind w:left="2380" w:hanging="2380"/>
        <w:rPr>
          <w:rFonts w:hAnsi="標楷體"/>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3653C1">
        <w:rPr>
          <w:rFonts w:hAnsi="標楷體" w:hint="eastAsia"/>
          <w:szCs w:val="3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3E7862" w:rsidRPr="003653C1">
        <w:rPr>
          <w:rFonts w:hAnsi="標楷體" w:hint="eastAsia"/>
          <w:szCs w:val="32"/>
        </w:rPr>
        <w:t>據訴，臺東縣政府於太平溪上游河川中央堆置大量土方，嗣103年9月間鳳凰颱風來襲，大雨夾帶土方毀損下游</w:t>
      </w:r>
      <w:r w:rsidR="00723C4C">
        <w:rPr>
          <w:rFonts w:hAnsi="標楷體" w:hint="eastAsia"/>
          <w:szCs w:val="32"/>
        </w:rPr>
        <w:t>陳訴人</w:t>
      </w:r>
      <w:r w:rsidR="003E7862" w:rsidRPr="003653C1">
        <w:rPr>
          <w:rFonts w:hAnsi="標楷體" w:hint="eastAsia"/>
          <w:szCs w:val="32"/>
        </w:rPr>
        <w:t>等所有坐落於臺東太平溪南王段之農地，損及權益等情乙案</w:t>
      </w:r>
      <w:r w:rsidR="00A954E7" w:rsidRPr="003653C1">
        <w:rPr>
          <w:rFonts w:hAnsi="標楷體" w:hint="eastAsia"/>
          <w:szCs w:val="32"/>
        </w:rPr>
        <w:t>。</w:t>
      </w:r>
    </w:p>
    <w:p w:rsidR="004F0E7F" w:rsidRPr="003653C1" w:rsidRDefault="004F0E7F" w:rsidP="00B32821">
      <w:pPr>
        <w:pStyle w:val="1"/>
        <w:overflowPunct w:val="0"/>
        <w:ind w:left="2380" w:hanging="2380"/>
        <w:rPr>
          <w:rFonts w:hAnsi="標楷體"/>
          <w:szCs w:val="32"/>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3653C1">
        <w:rPr>
          <w:rFonts w:hAnsi="標楷體" w:hint="eastAsia"/>
          <w:szCs w:val="32"/>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tbl>
      <w:tblPr>
        <w:tblStyle w:val="af7"/>
        <w:tblpPr w:leftFromText="180" w:rightFromText="180" w:vertAnchor="text" w:horzAnchor="margin" w:tblpXSpec="right" w:tblpY="12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DA023B" w:rsidTr="00DA023B">
        <w:tc>
          <w:tcPr>
            <w:tcW w:w="4644" w:type="dxa"/>
          </w:tcPr>
          <w:p w:rsidR="00DA023B" w:rsidRDefault="00DA023B" w:rsidP="00DA023B">
            <w:pPr>
              <w:widowControl/>
              <w:jc w:val="both"/>
              <w:rPr>
                <w:rFonts w:ascii="標楷體" w:hAnsi="標楷體"/>
                <w:szCs w:val="32"/>
              </w:rPr>
            </w:pPr>
            <w:bookmarkStart w:id="45" w:name="_Toc524902730"/>
            <w:r>
              <w:rPr>
                <w:rFonts w:ascii="標楷體" w:hAnsi="標楷體"/>
                <w:noProof/>
                <w:szCs w:val="32"/>
              </w:rPr>
              <w:drawing>
                <wp:inline distT="0" distB="0" distL="0" distR="0" wp14:anchorId="127AAEE6" wp14:editId="07946BD3">
                  <wp:extent cx="2759776" cy="2406586"/>
                  <wp:effectExtent l="19050" t="0" r="2474" b="0"/>
                  <wp:docPr id="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59776" cy="2406586"/>
                          </a:xfrm>
                          <a:prstGeom prst="rect">
                            <a:avLst/>
                          </a:prstGeom>
                          <a:noFill/>
                          <a:ln w="9525">
                            <a:noFill/>
                            <a:miter lim="800000"/>
                            <a:headEnd/>
                            <a:tailEnd/>
                          </a:ln>
                        </pic:spPr>
                      </pic:pic>
                    </a:graphicData>
                  </a:graphic>
                </wp:inline>
              </w:drawing>
            </w:r>
          </w:p>
        </w:tc>
      </w:tr>
    </w:tbl>
    <w:p w:rsidR="00DA023B" w:rsidRPr="00237287" w:rsidRDefault="00237287" w:rsidP="00B32821">
      <w:pPr>
        <w:pStyle w:val="11"/>
        <w:overflowPunct w:val="0"/>
        <w:ind w:left="680" w:firstLine="680"/>
        <w:rPr>
          <w:rFonts w:hAnsi="標楷體"/>
          <w:szCs w:val="32"/>
        </w:rPr>
      </w:pPr>
      <w:r w:rsidRPr="00237287">
        <w:rPr>
          <w:rFonts w:hAnsi="標楷體" w:hint="eastAsia"/>
          <w:szCs w:val="32"/>
        </w:rPr>
        <w:t>民國</w:t>
      </w:r>
      <w:r>
        <w:rPr>
          <w:rFonts w:hAnsi="標楷體" w:hint="eastAsia"/>
          <w:szCs w:val="32"/>
        </w:rPr>
        <w:t>（下同）</w:t>
      </w:r>
      <w:r w:rsidRPr="00237287">
        <w:rPr>
          <w:rFonts w:hAnsi="標楷體" w:hint="eastAsia"/>
          <w:szCs w:val="32"/>
        </w:rPr>
        <w:t>103年9月，鳳凰颱風於19日形成後向西北轉北北東方向移動，20日20時其中心在鵝鑾鼻西南方海面，暴風圈開始進入臺灣南部陸地。21日10時左右其中心掠過鵝鑾鼻，之後向北北東沿東部近海轉北移動，並於22時左右掠過三貂角後，中心進入北部海面繼續往北移動（1人死亡、4人受傷）</w:t>
      </w:r>
      <w:r>
        <w:rPr>
          <w:rFonts w:hAnsi="標楷體" w:hint="eastAsia"/>
          <w:szCs w:val="32"/>
        </w:rPr>
        <w:t>。</w:t>
      </w:r>
      <w:r w:rsidRPr="00237287">
        <w:rPr>
          <w:rFonts w:hAnsi="標楷體" w:hint="eastAsia"/>
          <w:szCs w:val="32"/>
        </w:rPr>
        <w:t>其中，9月21日經過</w:t>
      </w:r>
      <w:r>
        <w:rPr>
          <w:rFonts w:hAnsi="標楷體" w:hint="eastAsia"/>
          <w:szCs w:val="32"/>
        </w:rPr>
        <w:t>臺</w:t>
      </w:r>
      <w:r w:rsidRPr="00237287">
        <w:rPr>
          <w:rFonts w:hAnsi="標楷體" w:hint="eastAsia"/>
          <w:szCs w:val="32"/>
        </w:rPr>
        <w:t>東縣時，造成太平溪溪水沖毀下游南王段農地（太平橋至南王橋間），農地上多為種植</w:t>
      </w:r>
      <w:r w:rsidR="00B803B1">
        <w:rPr>
          <w:rFonts w:hAnsi="標楷體" w:hint="eastAsia"/>
          <w:szCs w:val="32"/>
        </w:rPr>
        <w:t>番荔枝（</w:t>
      </w:r>
      <w:r w:rsidR="00CC38F3">
        <w:rPr>
          <w:rFonts w:hAnsi="標楷體" w:hint="eastAsia"/>
          <w:szCs w:val="32"/>
        </w:rPr>
        <w:t>亦稱</w:t>
      </w:r>
      <w:r w:rsidRPr="00237287">
        <w:rPr>
          <w:rFonts w:hAnsi="標楷體" w:hint="eastAsia"/>
          <w:szCs w:val="32"/>
        </w:rPr>
        <w:t>釋迦</w:t>
      </w:r>
      <w:r w:rsidR="00B803B1">
        <w:rPr>
          <w:rFonts w:hAnsi="標楷體" w:hint="eastAsia"/>
          <w:szCs w:val="32"/>
        </w:rPr>
        <w:t>）</w:t>
      </w:r>
      <w:r w:rsidRPr="00237287">
        <w:rPr>
          <w:rFonts w:hAnsi="標楷體" w:hint="eastAsia"/>
          <w:szCs w:val="32"/>
        </w:rPr>
        <w:t>，據臺東縣政府災損查報及救助情形如下：</w:t>
      </w:r>
      <w:r>
        <w:rPr>
          <w:rFonts w:hAnsi="標楷體" w:hint="eastAsia"/>
          <w:szCs w:val="32"/>
        </w:rPr>
        <w:t>（一）</w:t>
      </w:r>
      <w:r w:rsidRPr="00237287">
        <w:rPr>
          <w:rFonts w:hAnsi="標楷體" w:hint="eastAsia"/>
          <w:szCs w:val="32"/>
        </w:rPr>
        <w:t>農作物災損：臺東縣政府會同勘查小組至</w:t>
      </w:r>
      <w:r w:rsidR="0098310D">
        <w:rPr>
          <w:rFonts w:hAnsi="標楷體" w:hint="eastAsia"/>
          <w:szCs w:val="32"/>
        </w:rPr>
        <w:t>臺東</w:t>
      </w:r>
      <w:r w:rsidRPr="00237287">
        <w:rPr>
          <w:rFonts w:hAnsi="標楷體" w:hint="eastAsia"/>
          <w:szCs w:val="32"/>
        </w:rPr>
        <w:t>市北南王段現勘，該區段農作物災損程度因未達天然災害救助標準，故不予補助。</w:t>
      </w:r>
      <w:r>
        <w:rPr>
          <w:rFonts w:hAnsi="標楷體" w:hint="eastAsia"/>
          <w:szCs w:val="32"/>
        </w:rPr>
        <w:t>（二）</w:t>
      </w:r>
      <w:r w:rsidRPr="00237287">
        <w:rPr>
          <w:rFonts w:hAnsi="標楷體" w:hint="eastAsia"/>
          <w:szCs w:val="32"/>
        </w:rPr>
        <w:t>農田受災救助：依規定所稱農田係指編定為農牧用地現供作農作使用之耕地或原住民保留地及已登錄之水田、旱田，查</w:t>
      </w:r>
      <w:r w:rsidR="0098310D">
        <w:rPr>
          <w:rFonts w:hAnsi="標楷體" w:hint="eastAsia"/>
          <w:szCs w:val="32"/>
        </w:rPr>
        <w:t>臺東</w:t>
      </w:r>
      <w:r w:rsidRPr="00237287">
        <w:rPr>
          <w:rFonts w:hAnsi="標楷體" w:hint="eastAsia"/>
          <w:szCs w:val="32"/>
        </w:rPr>
        <w:t>市北南王段申辦農田流失面積合計0.87869公頃，其中0.86869公頃係屬河川用地，雖確有農田流失情事，仍因不符相關規定，故不予救助，本案僅北南王段867地</w:t>
      </w:r>
      <w:r w:rsidRPr="00237287">
        <w:rPr>
          <w:rFonts w:hAnsi="標楷體" w:hint="eastAsia"/>
          <w:szCs w:val="32"/>
        </w:rPr>
        <w:lastRenderedPageBreak/>
        <w:t>號1筆土地符合救助標準，並由該府核定發放救助金</w:t>
      </w:r>
      <w:r w:rsidR="00CC38F3">
        <w:rPr>
          <w:rFonts w:hAnsi="標楷體" w:hint="eastAsia"/>
          <w:szCs w:val="32"/>
        </w:rPr>
        <w:t>新臺幣（下同）</w:t>
      </w:r>
      <w:r w:rsidRPr="00237287">
        <w:rPr>
          <w:rFonts w:hAnsi="標楷體" w:hint="eastAsia"/>
          <w:szCs w:val="32"/>
        </w:rPr>
        <w:t>1</w:t>
      </w:r>
      <w:r w:rsidR="00060DF9">
        <w:rPr>
          <w:rFonts w:hAnsi="標楷體" w:hint="eastAsia"/>
          <w:szCs w:val="32"/>
        </w:rPr>
        <w:t>萬</w:t>
      </w:r>
      <w:r w:rsidRPr="00237287">
        <w:rPr>
          <w:rFonts w:hAnsi="標楷體" w:hint="eastAsia"/>
          <w:szCs w:val="32"/>
        </w:rPr>
        <w:t>元整。</w:t>
      </w:r>
    </w:p>
    <w:p w:rsidR="00237287" w:rsidRPr="00237287" w:rsidRDefault="00237287" w:rsidP="00B32821">
      <w:pPr>
        <w:pStyle w:val="11"/>
        <w:overflowPunct w:val="0"/>
        <w:ind w:left="680" w:firstLine="680"/>
        <w:rPr>
          <w:rFonts w:hAnsi="標楷體"/>
          <w:szCs w:val="32"/>
        </w:rPr>
      </w:pPr>
      <w:r w:rsidRPr="00237287">
        <w:rPr>
          <w:rFonts w:hAnsi="標楷體" w:hint="eastAsia"/>
          <w:szCs w:val="32"/>
        </w:rPr>
        <w:t>103年9月29日，本院地方機關巡察委員至臺東縣政府接受當地人民陳情時，遭沖毀農地之陳訴人</w:t>
      </w:r>
      <w:r w:rsidR="00053DE6">
        <w:rPr>
          <w:rFonts w:hAnsi="標楷體" w:hint="eastAsia"/>
          <w:szCs w:val="32"/>
        </w:rPr>
        <w:t>等</w:t>
      </w:r>
      <w:r w:rsidRPr="00237287">
        <w:rPr>
          <w:rFonts w:hAnsi="標楷體" w:hint="eastAsia"/>
          <w:szCs w:val="32"/>
        </w:rPr>
        <w:t>到場陳情略以：</w:t>
      </w:r>
      <w:r w:rsidR="00D64EFA">
        <w:rPr>
          <w:rFonts w:hAnsi="標楷體" w:hint="eastAsia"/>
          <w:szCs w:val="32"/>
        </w:rPr>
        <w:t>（一）</w:t>
      </w:r>
      <w:r w:rsidR="00D64EFA" w:rsidRPr="00237287">
        <w:rPr>
          <w:rFonts w:hAnsi="標楷體" w:hint="eastAsia"/>
          <w:szCs w:val="32"/>
        </w:rPr>
        <w:t>臺東縣政府於太平溪上游河川中央堆置大量土方，鳳凰颱風來襲時，大雨夾帶土方毀損下游</w:t>
      </w:r>
      <w:r w:rsidR="00BB50FA">
        <w:rPr>
          <w:rFonts w:hAnsi="標楷體" w:hint="eastAsia"/>
          <w:szCs w:val="32"/>
        </w:rPr>
        <w:t>陳訴人</w:t>
      </w:r>
      <w:r w:rsidR="002E2638">
        <w:rPr>
          <w:rFonts w:hAnsi="標楷體" w:hint="eastAsia"/>
          <w:szCs w:val="32"/>
        </w:rPr>
        <w:t>等</w:t>
      </w:r>
      <w:r w:rsidR="00D64EFA" w:rsidRPr="00237287">
        <w:rPr>
          <w:rFonts w:hAnsi="標楷體" w:hint="eastAsia"/>
          <w:szCs w:val="32"/>
        </w:rPr>
        <w:t>農地，損及權益，請求縣府予以合理賠償。</w:t>
      </w:r>
      <w:r w:rsidR="00E73F7D">
        <w:rPr>
          <w:rFonts w:hAnsi="標楷體" w:hint="eastAsia"/>
          <w:szCs w:val="32"/>
        </w:rPr>
        <w:t>（二）臺東</w:t>
      </w:r>
      <w:r w:rsidR="00E73F7D" w:rsidRPr="00E73F7D">
        <w:rPr>
          <w:rFonts w:hAnsi="標楷體" w:hint="eastAsia"/>
          <w:szCs w:val="32"/>
        </w:rPr>
        <w:t>縣</w:t>
      </w:r>
      <w:r w:rsidR="00E73F7D">
        <w:rPr>
          <w:rFonts w:hAnsi="標楷體" w:hint="eastAsia"/>
          <w:szCs w:val="32"/>
        </w:rPr>
        <w:t>政</w:t>
      </w:r>
      <w:r w:rsidR="00E73F7D" w:rsidRPr="00E73F7D">
        <w:rPr>
          <w:rFonts w:hAnsi="標楷體" w:hint="eastAsia"/>
          <w:szCs w:val="32"/>
        </w:rPr>
        <w:t>府約於80年重新規劃河川區卻未善盡告知義務，農民不知情</w:t>
      </w:r>
      <w:r w:rsidR="00E73F7D">
        <w:rPr>
          <w:rFonts w:hAnsi="標楷體" w:hint="eastAsia"/>
          <w:szCs w:val="32"/>
        </w:rPr>
        <w:t>。</w:t>
      </w:r>
      <w:r>
        <w:rPr>
          <w:rFonts w:hAnsi="標楷體" w:hint="eastAsia"/>
          <w:szCs w:val="32"/>
        </w:rPr>
        <w:t>（</w:t>
      </w:r>
      <w:r w:rsidR="00E73F7D">
        <w:rPr>
          <w:rFonts w:hAnsi="標楷體" w:hint="eastAsia"/>
          <w:szCs w:val="32"/>
        </w:rPr>
        <w:t>三</w:t>
      </w:r>
      <w:r>
        <w:rPr>
          <w:rFonts w:hAnsi="標楷體" w:hint="eastAsia"/>
          <w:szCs w:val="32"/>
        </w:rPr>
        <w:t>）</w:t>
      </w:r>
      <w:r w:rsidRPr="00237287">
        <w:rPr>
          <w:rFonts w:hAnsi="標楷體" w:hint="eastAsia"/>
          <w:szCs w:val="32"/>
        </w:rPr>
        <w:t>臺東縣政府為辦理堤防興建工程，欲徵收</w:t>
      </w:r>
      <w:r w:rsidR="00BB50FA">
        <w:rPr>
          <w:rFonts w:hAnsi="標楷體" w:hint="eastAsia"/>
          <w:szCs w:val="32"/>
        </w:rPr>
        <w:t>陳訴人</w:t>
      </w:r>
      <w:r w:rsidR="002E2638">
        <w:rPr>
          <w:rFonts w:hAnsi="標楷體" w:hint="eastAsia"/>
          <w:szCs w:val="32"/>
        </w:rPr>
        <w:t>等</w:t>
      </w:r>
      <w:r w:rsidRPr="00237287">
        <w:rPr>
          <w:rFonts w:hAnsi="標楷體" w:hint="eastAsia"/>
          <w:szCs w:val="32"/>
        </w:rPr>
        <w:t>農地上之果樹，卻不同時徵收農地，請求縣府同時徵收農地及其上之果樹。</w:t>
      </w:r>
    </w:p>
    <w:p w:rsidR="004F0E7F" w:rsidRPr="003653C1" w:rsidRDefault="00237287" w:rsidP="00B32821">
      <w:pPr>
        <w:pStyle w:val="11"/>
        <w:overflowPunct w:val="0"/>
        <w:ind w:left="680" w:firstLine="680"/>
        <w:rPr>
          <w:rFonts w:hAnsi="標楷體"/>
          <w:bCs/>
          <w:szCs w:val="32"/>
        </w:rPr>
      </w:pPr>
      <w:r w:rsidRPr="00237287">
        <w:rPr>
          <w:rFonts w:hAnsi="標楷體" w:hint="eastAsia"/>
          <w:szCs w:val="32"/>
        </w:rPr>
        <w:t>因本案涉及人民權益，故本院財政及經濟委員會於103年11月5日第5次會議決議推派調查</w:t>
      </w:r>
      <w:r w:rsidR="009C4F57">
        <w:rPr>
          <w:rFonts w:hAnsi="標楷體" w:hint="eastAsia"/>
          <w:szCs w:val="32"/>
        </w:rPr>
        <w:t>，</w:t>
      </w:r>
      <w:r w:rsidR="00436AEA" w:rsidRPr="003653C1">
        <w:rPr>
          <w:rFonts w:hAnsi="標楷體" w:hint="eastAsia"/>
          <w:szCs w:val="32"/>
        </w:rPr>
        <w:t>案經本院調閱經濟部</w:t>
      </w:r>
      <w:r w:rsidR="009C4F57">
        <w:rPr>
          <w:rFonts w:hAnsi="標楷體" w:hint="eastAsia"/>
          <w:szCs w:val="32"/>
        </w:rPr>
        <w:t>水利署、臺東縣政府等相關卷證資料</w:t>
      </w:r>
      <w:r w:rsidR="00436AEA" w:rsidRPr="003653C1">
        <w:rPr>
          <w:rFonts w:hAnsi="標楷體" w:hint="eastAsia"/>
          <w:szCs w:val="32"/>
        </w:rPr>
        <w:t>，於</w:t>
      </w:r>
      <w:r w:rsidR="009C4F57">
        <w:rPr>
          <w:rFonts w:hAnsi="標楷體" w:hint="eastAsia"/>
          <w:szCs w:val="32"/>
        </w:rPr>
        <w:t>104年1</w:t>
      </w:r>
      <w:r w:rsidR="00436AEA" w:rsidRPr="003653C1">
        <w:rPr>
          <w:rFonts w:hAnsi="標楷體" w:hint="eastAsia"/>
          <w:szCs w:val="32"/>
        </w:rPr>
        <w:t>月</w:t>
      </w:r>
      <w:r w:rsidR="009C4F57">
        <w:rPr>
          <w:rFonts w:hAnsi="標楷體" w:hint="eastAsia"/>
          <w:szCs w:val="32"/>
        </w:rPr>
        <w:t>29</w:t>
      </w:r>
      <w:r w:rsidR="00436AEA" w:rsidRPr="003653C1">
        <w:rPr>
          <w:rFonts w:hAnsi="標楷體" w:hint="eastAsia"/>
          <w:szCs w:val="32"/>
        </w:rPr>
        <w:t>日</w:t>
      </w:r>
      <w:r w:rsidR="009C4F57">
        <w:rPr>
          <w:rFonts w:hAnsi="標楷體" w:hint="eastAsia"/>
          <w:szCs w:val="32"/>
        </w:rPr>
        <w:t>前往臺東縣太平溪現地履勘，並於當日</w:t>
      </w:r>
      <w:r w:rsidR="00436AEA" w:rsidRPr="003653C1">
        <w:rPr>
          <w:rFonts w:hAnsi="標楷體" w:hint="eastAsia"/>
          <w:szCs w:val="32"/>
        </w:rPr>
        <w:t>約詢</w:t>
      </w:r>
      <w:r w:rsidR="009C4F57">
        <w:rPr>
          <w:rFonts w:hAnsi="標楷體" w:hint="eastAsia"/>
          <w:szCs w:val="32"/>
        </w:rPr>
        <w:t>經濟部水利署王</w:t>
      </w:r>
      <w:r w:rsidR="00DC2829" w:rsidRPr="00DC2829">
        <w:rPr>
          <w:rFonts w:hAnsi="標楷體" w:hint="eastAsia"/>
          <w:szCs w:val="32"/>
        </w:rPr>
        <w:t>瑞德</w:t>
      </w:r>
      <w:r w:rsidR="009C4F57">
        <w:rPr>
          <w:rFonts w:hAnsi="標楷體" w:hint="eastAsia"/>
          <w:szCs w:val="32"/>
        </w:rPr>
        <w:t>副署長、臺東縣政府陳</w:t>
      </w:r>
      <w:r w:rsidR="00DC2829" w:rsidRPr="00DC2829">
        <w:rPr>
          <w:rFonts w:hAnsi="標楷體" w:hint="eastAsia"/>
          <w:szCs w:val="32"/>
        </w:rPr>
        <w:t>明仁</w:t>
      </w:r>
      <w:r w:rsidR="009C4F57">
        <w:rPr>
          <w:rFonts w:hAnsi="標楷體" w:hint="eastAsia"/>
          <w:szCs w:val="32"/>
        </w:rPr>
        <w:t>秘書長等相關主管人員</w:t>
      </w:r>
      <w:r w:rsidR="005A09E5" w:rsidRPr="003653C1">
        <w:rPr>
          <w:rFonts w:hAnsi="標楷體" w:hint="eastAsia"/>
          <w:noProof/>
          <w:szCs w:val="32"/>
        </w:rPr>
        <w:t>，</w:t>
      </w:r>
      <w:r w:rsidR="003D48AE" w:rsidRPr="003653C1">
        <w:rPr>
          <w:rFonts w:hAnsi="標楷體" w:hint="eastAsia"/>
          <w:noProof/>
          <w:szCs w:val="32"/>
        </w:rPr>
        <w:t>業</w:t>
      </w:r>
      <w:r w:rsidR="005A09E5" w:rsidRPr="003653C1">
        <w:rPr>
          <w:rFonts w:hAnsi="標楷體" w:hint="eastAsia"/>
          <w:noProof/>
          <w:szCs w:val="32"/>
        </w:rPr>
        <w:t>經調查竣事，茲</w:t>
      </w:r>
      <w:r w:rsidR="009C4F57">
        <w:rPr>
          <w:rFonts w:hAnsi="標楷體" w:hint="eastAsia"/>
          <w:noProof/>
          <w:szCs w:val="32"/>
        </w:rPr>
        <w:t>將</w:t>
      </w:r>
      <w:r w:rsidR="005A09E5" w:rsidRPr="003653C1">
        <w:rPr>
          <w:rFonts w:hAnsi="標楷體" w:hint="eastAsia"/>
          <w:noProof/>
          <w:szCs w:val="32"/>
        </w:rPr>
        <w:t>調查意見</w:t>
      </w:r>
      <w:r w:rsidR="009C4F57">
        <w:rPr>
          <w:rFonts w:hAnsi="標楷體" w:hint="eastAsia"/>
          <w:noProof/>
          <w:szCs w:val="32"/>
        </w:rPr>
        <w:t>臚述於后</w:t>
      </w:r>
      <w:r w:rsidR="005A09E5" w:rsidRPr="003653C1">
        <w:rPr>
          <w:rFonts w:hAnsi="標楷體" w:hint="eastAsia"/>
          <w:noProof/>
          <w:szCs w:val="32"/>
        </w:rPr>
        <w:t>：</w:t>
      </w:r>
    </w:p>
    <w:p w:rsidR="00D64EFA" w:rsidRDefault="00D64EFA" w:rsidP="00B32821">
      <w:pPr>
        <w:pStyle w:val="2"/>
        <w:overflowPunct w:val="0"/>
        <w:ind w:left="1020" w:hanging="680"/>
        <w:rPr>
          <w:rFonts w:hAnsi="標楷體"/>
          <w:b/>
          <w:szCs w:val="32"/>
        </w:rPr>
      </w:pPr>
      <w:r w:rsidRPr="00D64EFA">
        <w:rPr>
          <w:rFonts w:hAnsi="標楷體" w:hint="eastAsia"/>
          <w:b/>
          <w:szCs w:val="32"/>
        </w:rPr>
        <w:t>所訴「臺東縣政府於太平溪上游河川中央堆置大量土方，鳳凰颱風來襲時，大雨夾帶土方毀損下游</w:t>
      </w:r>
      <w:r w:rsidR="00BB50FA">
        <w:rPr>
          <w:rFonts w:hAnsi="標楷體" w:hint="eastAsia"/>
          <w:b/>
          <w:szCs w:val="32"/>
        </w:rPr>
        <w:t>陳訴人</w:t>
      </w:r>
      <w:r w:rsidR="005B68AA">
        <w:rPr>
          <w:rFonts w:hAnsi="標楷體" w:hint="eastAsia"/>
          <w:b/>
          <w:szCs w:val="32"/>
        </w:rPr>
        <w:t>等</w:t>
      </w:r>
      <w:r w:rsidRPr="00D64EFA">
        <w:rPr>
          <w:rFonts w:hAnsi="標楷體" w:hint="eastAsia"/>
          <w:b/>
          <w:szCs w:val="32"/>
        </w:rPr>
        <w:t>農地，損及權益」</w:t>
      </w:r>
      <w:r w:rsidR="00267CB3">
        <w:rPr>
          <w:rFonts w:hAnsi="標楷體" w:hint="eastAsia"/>
          <w:b/>
          <w:szCs w:val="32"/>
        </w:rPr>
        <w:t>部分</w:t>
      </w:r>
      <w:r w:rsidRPr="00D64EFA">
        <w:rPr>
          <w:rFonts w:hAnsi="標楷體" w:hint="eastAsia"/>
          <w:b/>
          <w:szCs w:val="32"/>
        </w:rPr>
        <w:t>，經</w:t>
      </w:r>
      <w:r w:rsidR="00B27EFB">
        <w:rPr>
          <w:rFonts w:hAnsi="標楷體" w:hint="eastAsia"/>
          <w:b/>
          <w:szCs w:val="32"/>
        </w:rPr>
        <w:t>調</w:t>
      </w:r>
      <w:r w:rsidRPr="00D64EFA">
        <w:rPr>
          <w:rFonts w:hAnsi="標楷體" w:hint="eastAsia"/>
          <w:b/>
          <w:szCs w:val="32"/>
        </w:rPr>
        <w:t>查</w:t>
      </w:r>
      <w:r w:rsidR="00490BC7">
        <w:rPr>
          <w:rFonts w:hAnsi="標楷體" w:hint="eastAsia"/>
          <w:b/>
          <w:szCs w:val="32"/>
        </w:rPr>
        <w:t>颱風前後之土方堆置數量無明顯改變，惟該府</w:t>
      </w:r>
      <w:r w:rsidR="006325B9">
        <w:rPr>
          <w:rFonts w:hAnsi="標楷體" w:hint="eastAsia"/>
          <w:b/>
          <w:szCs w:val="32"/>
        </w:rPr>
        <w:t>辦理疏濬工</w:t>
      </w:r>
      <w:r w:rsidR="002E2638">
        <w:rPr>
          <w:rFonts w:hAnsi="標楷體" w:hint="eastAsia"/>
          <w:b/>
          <w:szCs w:val="32"/>
        </w:rPr>
        <w:t>程未將土石清運至河川區外，有違經濟部核定之規劃報告內容，實有不當</w:t>
      </w:r>
    </w:p>
    <w:p w:rsidR="000A212D" w:rsidRDefault="00B27EFB" w:rsidP="00B32821">
      <w:pPr>
        <w:pStyle w:val="3"/>
        <w:overflowPunct w:val="0"/>
      </w:pPr>
      <w:r>
        <w:rPr>
          <w:rFonts w:hint="eastAsia"/>
        </w:rPr>
        <w:t>查</w:t>
      </w:r>
      <w:r w:rsidR="006273B9" w:rsidRPr="006273B9">
        <w:rPr>
          <w:rFonts w:hint="eastAsia"/>
        </w:rPr>
        <w:t>臺東縣政府於103年辦理「太平溪(太平橋上下游)河川疏濬清淤工程」（3月19日開工、6月8日完工），該工程</w:t>
      </w:r>
      <w:r w:rsidR="006273B9">
        <w:rPr>
          <w:rFonts w:hint="eastAsia"/>
        </w:rPr>
        <w:t>之</w:t>
      </w:r>
      <w:r w:rsidR="006273B9" w:rsidRPr="006273B9">
        <w:rPr>
          <w:rFonts w:hint="eastAsia"/>
        </w:rPr>
        <w:t>結算明細表共計挖填堆置30</w:t>
      </w:r>
      <w:r w:rsidR="006273B9">
        <w:rPr>
          <w:rFonts w:hint="eastAsia"/>
        </w:rPr>
        <w:t>萬</w:t>
      </w:r>
      <w:r w:rsidR="006273B9" w:rsidRPr="006273B9">
        <w:rPr>
          <w:rFonts w:hint="eastAsia"/>
        </w:rPr>
        <w:t>1,671立方公尺於太平橋下游右岸高灘地</w:t>
      </w:r>
      <w:r w:rsidR="006273B9">
        <w:rPr>
          <w:rFonts w:hint="eastAsia"/>
        </w:rPr>
        <w:t>，本院於104年1月29日至現地履勘後，要求該府針對高灘地現有土方重新量測，臺東縣政府於104年2</w:t>
      </w:r>
      <w:r w:rsidR="006273B9">
        <w:rPr>
          <w:rFonts w:hint="eastAsia"/>
        </w:rPr>
        <w:lastRenderedPageBreak/>
        <w:t>月9日以府建水字第1040027403號函報本院表示，經104年2月4日現場檢測土石堆置區為32萬5,994立方公尺，差異部分屬測量誤差範圍內，故原堆置土石無明顯流失等語。</w:t>
      </w:r>
      <w:r>
        <w:rPr>
          <w:rFonts w:hint="eastAsia"/>
        </w:rPr>
        <w:t>再查太平溪太平橋至南王橋間之歷年航照圖，該河段係屬辮狀河道，平時（非汛期）於河川區域中有多處沙島或沙洲，颱風來襲時（汛期）則均屬水流區域常遭淹沒，</w:t>
      </w:r>
      <w:r w:rsidR="006273B9">
        <w:rPr>
          <w:rFonts w:hint="eastAsia"/>
        </w:rPr>
        <w:t>所訴</w:t>
      </w:r>
      <w:r w:rsidR="006273B9" w:rsidRPr="006273B9">
        <w:rPr>
          <w:rFonts w:hint="eastAsia"/>
        </w:rPr>
        <w:t>「</w:t>
      </w:r>
      <w:r w:rsidR="006273B9" w:rsidRPr="006273B9">
        <w:rPr>
          <w:rFonts w:hAnsi="標楷體" w:hint="eastAsia"/>
          <w:szCs w:val="32"/>
        </w:rPr>
        <w:t>臺東縣政府於太平溪上游河川中央堆置大量土方，鳳凰颱風來襲時，大雨夾帶土方毀損下游</w:t>
      </w:r>
      <w:r w:rsidR="00BB50FA">
        <w:rPr>
          <w:rFonts w:hAnsi="標楷體" w:hint="eastAsia"/>
          <w:szCs w:val="32"/>
        </w:rPr>
        <w:t>陳訴人</w:t>
      </w:r>
      <w:r w:rsidR="005B68AA">
        <w:rPr>
          <w:rFonts w:hAnsi="標楷體" w:hint="eastAsia"/>
          <w:szCs w:val="32"/>
        </w:rPr>
        <w:t>等</w:t>
      </w:r>
      <w:r w:rsidR="006273B9" w:rsidRPr="006273B9">
        <w:rPr>
          <w:rFonts w:hAnsi="標楷體" w:hint="eastAsia"/>
          <w:szCs w:val="32"/>
        </w:rPr>
        <w:t>農地，損及權益</w:t>
      </w:r>
      <w:r w:rsidR="006273B9" w:rsidRPr="006273B9">
        <w:rPr>
          <w:rFonts w:hint="eastAsia"/>
        </w:rPr>
        <w:t>」</w:t>
      </w:r>
      <w:r w:rsidR="00267CB3">
        <w:rPr>
          <w:rFonts w:hint="eastAsia"/>
        </w:rPr>
        <w:t>部分</w:t>
      </w:r>
      <w:r>
        <w:rPr>
          <w:rFonts w:hint="eastAsia"/>
        </w:rPr>
        <w:t>，</w:t>
      </w:r>
      <w:r w:rsidR="00267CB3">
        <w:rPr>
          <w:rFonts w:hint="eastAsia"/>
        </w:rPr>
        <w:t>尚難認有具體違失</w:t>
      </w:r>
      <w:r>
        <w:rPr>
          <w:rFonts w:hint="eastAsia"/>
        </w:rPr>
        <w:t>。</w:t>
      </w:r>
    </w:p>
    <w:p w:rsidR="0006066D" w:rsidRDefault="006273B9" w:rsidP="00430364">
      <w:pPr>
        <w:pStyle w:val="3"/>
        <w:wordWrap w:val="0"/>
        <w:overflowPunct w:val="0"/>
        <w:ind w:left="1394"/>
      </w:pPr>
      <w:r>
        <w:rPr>
          <w:rFonts w:hint="eastAsia"/>
        </w:rPr>
        <w:t>惟</w:t>
      </w:r>
      <w:r w:rsidR="00B27EFB">
        <w:rPr>
          <w:rFonts w:hint="eastAsia"/>
        </w:rPr>
        <w:t>據</w:t>
      </w:r>
      <w:r w:rsidR="0006066D">
        <w:rPr>
          <w:rFonts w:hint="eastAsia"/>
        </w:rPr>
        <w:t>經濟部於98年4月6日以經授水字第09820203090號函核定之「易淹水地區水患治理計畫」臺東縣管河川太平溪水系規劃報告，</w:t>
      </w:r>
      <w:r w:rsidR="00543724">
        <w:rPr>
          <w:rFonts w:hint="eastAsia"/>
        </w:rPr>
        <w:t>摘要說明規劃目的係依據目前治水觀念重新檢討水道治理計畫，以防止水患，維持河川水流正常功能，俾供太平溪防洪工程設施與河川管理之依據。</w:t>
      </w:r>
      <w:r w:rsidR="005708B4">
        <w:rPr>
          <w:rFonts w:hint="eastAsia"/>
        </w:rPr>
        <w:t>其中第五章（河川特性及現況水理分析）</w:t>
      </w:r>
      <w:r w:rsidR="0098036F">
        <w:rPr>
          <w:rFonts w:hint="eastAsia"/>
        </w:rPr>
        <w:t>第5.4節</w:t>
      </w:r>
      <w:r w:rsidR="005708B4">
        <w:rPr>
          <w:rFonts w:hint="eastAsia"/>
        </w:rPr>
        <w:t>（各斷面輸砂能力）說明：「經分析後發現南王橋</w:t>
      </w:r>
      <w:r w:rsidR="0098036F">
        <w:rPr>
          <w:rFonts w:hint="eastAsia"/>
        </w:rPr>
        <w:t>（斷面編號20）</w:t>
      </w:r>
      <w:r w:rsidR="005708B4">
        <w:rPr>
          <w:rFonts w:hint="eastAsia"/>
        </w:rPr>
        <w:t>至太平橋</w:t>
      </w:r>
      <w:r w:rsidR="0098036F">
        <w:rPr>
          <w:rFonts w:hint="eastAsia"/>
        </w:rPr>
        <w:t>（斷面編號31）</w:t>
      </w:r>
      <w:r w:rsidR="005708B4">
        <w:rPr>
          <w:rFonts w:hint="eastAsia"/>
        </w:rPr>
        <w:t>河段之輸砂能力約為其他河段之兩倍，適為本計畫劃設為儲砂區之河段。」</w:t>
      </w:r>
      <w:r w:rsidR="0098036F">
        <w:rPr>
          <w:rFonts w:hint="eastAsia"/>
        </w:rPr>
        <w:t>另規劃報告第七章（水道治理計畫之研擬）第7.3.2節有關</w:t>
      </w:r>
      <w:r w:rsidR="0098036F" w:rsidRPr="0098036F">
        <w:rPr>
          <w:rFonts w:hint="eastAsia"/>
          <w:b/>
        </w:rPr>
        <w:t>計畫河寬之訂定</w:t>
      </w:r>
      <w:r w:rsidR="0098036F">
        <w:rPr>
          <w:rFonts w:hint="eastAsia"/>
        </w:rPr>
        <w:t>，有關斷面18至斷面33間（南王橋、太平橋位於其中）之河寬，於</w:t>
      </w:r>
      <w:r w:rsidR="0098036F" w:rsidRPr="0098036F">
        <w:rPr>
          <w:rFonts w:hint="eastAsia"/>
          <w:b/>
        </w:rPr>
        <w:t>本計畫及75年治理規劃時皆為200公尺至450公尺</w:t>
      </w:r>
      <w:r w:rsidR="0098036F">
        <w:rPr>
          <w:rFonts w:hint="eastAsia"/>
        </w:rPr>
        <w:t>，且第7.5.2節太平溪主流治理方案中說明：「斷面18至斷面33間，</w:t>
      </w:r>
      <w:r w:rsidR="0098036F" w:rsidRPr="00331AD4">
        <w:rPr>
          <w:rFonts w:hint="eastAsia"/>
          <w:b/>
        </w:rPr>
        <w:t>因上游洪流挾帶之土石常於本河段淤積</w:t>
      </w:r>
      <w:r w:rsidR="0098036F">
        <w:rPr>
          <w:rFonts w:hint="eastAsia"/>
        </w:rPr>
        <w:t>，未來管理單位仍</w:t>
      </w:r>
      <w:r w:rsidR="0098036F" w:rsidRPr="0098036F">
        <w:rPr>
          <w:rFonts w:hint="eastAsia"/>
          <w:b/>
        </w:rPr>
        <w:t>應隨時監控淤積狀況</w:t>
      </w:r>
      <w:r w:rsidR="0098036F">
        <w:rPr>
          <w:rFonts w:hint="eastAsia"/>
        </w:rPr>
        <w:t>，</w:t>
      </w:r>
      <w:r w:rsidR="0098036F" w:rsidRPr="0098036F">
        <w:rPr>
          <w:rFonts w:hint="eastAsia"/>
          <w:b/>
        </w:rPr>
        <w:t>並清運土石至區外</w:t>
      </w:r>
      <w:r w:rsidR="0098036F">
        <w:rPr>
          <w:rFonts w:hint="eastAsia"/>
        </w:rPr>
        <w:t>，以免造成下游河段之淤塞。」</w:t>
      </w:r>
    </w:p>
    <w:p w:rsidR="00091645" w:rsidRDefault="0098310D" w:rsidP="00B32821">
      <w:pPr>
        <w:pStyle w:val="3"/>
        <w:overflowPunct w:val="0"/>
      </w:pPr>
      <w:r>
        <w:rPr>
          <w:rFonts w:hint="eastAsia"/>
        </w:rPr>
        <w:t>復</w:t>
      </w:r>
      <w:r w:rsidR="00091645">
        <w:rPr>
          <w:rFonts w:hint="eastAsia"/>
        </w:rPr>
        <w:t>鳳凰颱風來襲後，臺東縣太平溪南王橋至太平橋間部分農地遭沖毀，據經濟部水利署第八河川局協</w:t>
      </w:r>
      <w:r w:rsidR="00091645">
        <w:rPr>
          <w:rFonts w:hint="eastAsia"/>
        </w:rPr>
        <w:lastRenderedPageBreak/>
        <w:t>助本院繪製沖毀處前、後影像對照圖顯示（如下圖），沖毀前河道主要流經寬度為113公尺，沖毀後約199公尺，</w:t>
      </w:r>
      <w:r w:rsidR="003E19B1">
        <w:rPr>
          <w:rFonts w:hint="eastAsia"/>
        </w:rPr>
        <w:t>亦</w:t>
      </w:r>
      <w:r w:rsidR="00091645">
        <w:rPr>
          <w:rFonts w:hint="eastAsia"/>
        </w:rPr>
        <w:t>佐證前述河道寬度需200公尺以上</w:t>
      </w:r>
      <w:r w:rsidR="00E2127F">
        <w:rPr>
          <w:rFonts w:hint="eastAsia"/>
        </w:rPr>
        <w:t>，始能維持河川水流正常功能</w:t>
      </w:r>
      <w:r w:rsidR="00091645">
        <w:rPr>
          <w:rFonts w:hint="eastAsia"/>
        </w:rPr>
        <w:t>之規劃報告內容。</w:t>
      </w:r>
    </w:p>
    <w:p w:rsidR="00091645" w:rsidRDefault="00091645" w:rsidP="00091645">
      <w:pPr>
        <w:pStyle w:val="32"/>
        <w:ind w:left="1361" w:firstLine="680"/>
      </w:pPr>
    </w:p>
    <w:tbl>
      <w:tblPr>
        <w:tblStyle w:val="af7"/>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3"/>
      </w:tblGrid>
      <w:tr w:rsidR="00091645" w:rsidTr="00091645">
        <w:tc>
          <w:tcPr>
            <w:tcW w:w="7667" w:type="dxa"/>
          </w:tcPr>
          <w:p w:rsidR="00091645" w:rsidRDefault="00091645" w:rsidP="00F66440">
            <w:pPr>
              <w:pStyle w:val="2"/>
              <w:numPr>
                <w:ilvl w:val="0"/>
                <w:numId w:val="0"/>
              </w:numPr>
              <w:rPr>
                <w:rFonts w:hAnsi="標楷體"/>
                <w:szCs w:val="32"/>
              </w:rPr>
            </w:pPr>
            <w:r>
              <w:rPr>
                <w:rFonts w:hAnsi="標楷體" w:hint="eastAsia"/>
                <w:noProof/>
                <w:szCs w:val="32"/>
              </w:rPr>
              <w:drawing>
                <wp:inline distT="0" distB="0" distL="0" distR="0" wp14:anchorId="63F92EF4" wp14:editId="698B3469">
                  <wp:extent cx="5116476" cy="1733107"/>
                  <wp:effectExtent l="19050" t="0" r="7974" b="0"/>
                  <wp:docPr id="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135308" cy="1739486"/>
                          </a:xfrm>
                          <a:prstGeom prst="rect">
                            <a:avLst/>
                          </a:prstGeom>
                          <a:noFill/>
                          <a:ln w="9525">
                            <a:noFill/>
                            <a:miter lim="800000"/>
                            <a:headEnd/>
                            <a:tailEnd/>
                          </a:ln>
                        </pic:spPr>
                      </pic:pic>
                    </a:graphicData>
                  </a:graphic>
                </wp:inline>
              </w:drawing>
            </w:r>
          </w:p>
        </w:tc>
      </w:tr>
      <w:tr w:rsidR="00091645" w:rsidTr="00091645">
        <w:tc>
          <w:tcPr>
            <w:tcW w:w="7667" w:type="dxa"/>
          </w:tcPr>
          <w:p w:rsidR="00091645" w:rsidRPr="00091645" w:rsidRDefault="00091645" w:rsidP="00F66440">
            <w:pPr>
              <w:pStyle w:val="2"/>
              <w:numPr>
                <w:ilvl w:val="0"/>
                <w:numId w:val="0"/>
              </w:numPr>
              <w:rPr>
                <w:rFonts w:hAnsi="標楷體"/>
                <w:noProof/>
                <w:spacing w:val="-10"/>
                <w:sz w:val="28"/>
                <w:szCs w:val="28"/>
              </w:rPr>
            </w:pPr>
            <w:r w:rsidRPr="00091645">
              <w:rPr>
                <w:rFonts w:hAnsi="標楷體" w:hint="eastAsia"/>
                <w:noProof/>
                <w:spacing w:val="-10"/>
                <w:sz w:val="28"/>
                <w:szCs w:val="28"/>
              </w:rPr>
              <w:t>上圖：沖毀前河道寬度僅113公尺；下圖：沖毀後約199公尺</w:t>
            </w:r>
          </w:p>
        </w:tc>
      </w:tr>
      <w:tr w:rsidR="00091645" w:rsidTr="00091645">
        <w:tc>
          <w:tcPr>
            <w:tcW w:w="7667" w:type="dxa"/>
          </w:tcPr>
          <w:p w:rsidR="00091645" w:rsidRDefault="00091645" w:rsidP="00F66440">
            <w:pPr>
              <w:pStyle w:val="2"/>
              <w:numPr>
                <w:ilvl w:val="0"/>
                <w:numId w:val="0"/>
              </w:numPr>
              <w:rPr>
                <w:rFonts w:hAnsi="標楷體"/>
                <w:bCs w:val="0"/>
                <w:noProof/>
                <w:szCs w:val="32"/>
              </w:rPr>
            </w:pPr>
            <w:r>
              <w:rPr>
                <w:rFonts w:hAnsi="標楷體" w:hint="eastAsia"/>
                <w:bCs w:val="0"/>
                <w:noProof/>
                <w:szCs w:val="32"/>
              </w:rPr>
              <w:drawing>
                <wp:inline distT="0" distB="0" distL="0" distR="0" wp14:anchorId="1C667DF5" wp14:editId="22FAE35E">
                  <wp:extent cx="5648325" cy="2057400"/>
                  <wp:effectExtent l="19050" t="0" r="9525" b="0"/>
                  <wp:docPr id="8"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648325" cy="2057400"/>
                          </a:xfrm>
                          <a:prstGeom prst="rect">
                            <a:avLst/>
                          </a:prstGeom>
                          <a:noFill/>
                          <a:ln w="9525">
                            <a:noFill/>
                            <a:miter lim="800000"/>
                            <a:headEnd/>
                            <a:tailEnd/>
                          </a:ln>
                        </pic:spPr>
                      </pic:pic>
                    </a:graphicData>
                  </a:graphic>
                </wp:inline>
              </w:drawing>
            </w:r>
          </w:p>
        </w:tc>
      </w:tr>
    </w:tbl>
    <w:p w:rsidR="00091645" w:rsidRDefault="003E19B1" w:rsidP="00430364">
      <w:pPr>
        <w:pStyle w:val="0"/>
        <w:ind w:left="680"/>
        <w:jc w:val="center"/>
      </w:pPr>
      <w:r>
        <w:rPr>
          <w:rFonts w:hint="eastAsia"/>
        </w:rPr>
        <w:t>臺東縣</w:t>
      </w:r>
      <w:r w:rsidR="00091645">
        <w:rPr>
          <w:rFonts w:hint="eastAsia"/>
        </w:rPr>
        <w:t>太平溪南王橋至太平橋間農地沖毀前後影像圖</w:t>
      </w:r>
    </w:p>
    <w:p w:rsidR="002C3BA2" w:rsidRDefault="00490BC7" w:rsidP="00B32821">
      <w:pPr>
        <w:pStyle w:val="3"/>
        <w:overflowPunct w:val="0"/>
      </w:pPr>
      <w:r>
        <w:rPr>
          <w:rFonts w:hint="eastAsia"/>
        </w:rPr>
        <w:t>前述</w:t>
      </w:r>
      <w:r w:rsidR="00331AD4">
        <w:rPr>
          <w:rFonts w:hint="eastAsia"/>
        </w:rPr>
        <w:t>臺東縣政府辦理</w:t>
      </w:r>
      <w:r>
        <w:rPr>
          <w:rFonts w:hint="eastAsia"/>
        </w:rPr>
        <w:t>之</w:t>
      </w:r>
      <w:r w:rsidR="00331AD4">
        <w:rPr>
          <w:rFonts w:hint="eastAsia"/>
        </w:rPr>
        <w:t>「</w:t>
      </w:r>
      <w:r w:rsidR="00331AD4" w:rsidRPr="00331AD4">
        <w:rPr>
          <w:rFonts w:hint="eastAsia"/>
        </w:rPr>
        <w:t>太平溪(太平橋上下游)河川疏濬清淤工程</w:t>
      </w:r>
      <w:r w:rsidR="00331AD4">
        <w:rPr>
          <w:rFonts w:hint="eastAsia"/>
        </w:rPr>
        <w:t>」</w:t>
      </w:r>
      <w:r w:rsidR="00C40A36">
        <w:rPr>
          <w:rFonts w:hint="eastAsia"/>
        </w:rPr>
        <w:t>，堆置30</w:t>
      </w:r>
      <w:r w:rsidR="0098310D">
        <w:rPr>
          <w:rFonts w:hint="eastAsia"/>
        </w:rPr>
        <w:t>萬</w:t>
      </w:r>
      <w:r w:rsidR="00C40A36">
        <w:rPr>
          <w:rFonts w:hint="eastAsia"/>
        </w:rPr>
        <w:t>1,671立方公尺於太平橋下游右岸高灘地（太平橋與南王橋間、河川區內），據</w:t>
      </w:r>
      <w:r>
        <w:rPr>
          <w:rFonts w:hint="eastAsia"/>
        </w:rPr>
        <w:t>該</w:t>
      </w:r>
      <w:r w:rsidR="00C40A36">
        <w:rPr>
          <w:rFonts w:hint="eastAsia"/>
        </w:rPr>
        <w:t>府資料顯示，該斷面河寬約290公尺，堆置區寬度約130公尺，河道寬度</w:t>
      </w:r>
      <w:r w:rsidR="006325B9">
        <w:rPr>
          <w:rFonts w:hint="eastAsia"/>
        </w:rPr>
        <w:t>僅餘</w:t>
      </w:r>
      <w:r w:rsidR="00C40A36">
        <w:rPr>
          <w:rFonts w:hint="eastAsia"/>
        </w:rPr>
        <w:t>160公尺</w:t>
      </w:r>
      <w:r w:rsidR="006325B9">
        <w:rPr>
          <w:rFonts w:hint="eastAsia"/>
        </w:rPr>
        <w:t>，不符規劃報告所述該河段需200公尺至450公尺寬，況此寬度範圍係75年即已認定，98年辦理規劃時再次確認，該府辦理疏濬工</w:t>
      </w:r>
      <w:r w:rsidR="002E2638">
        <w:rPr>
          <w:rFonts w:hint="eastAsia"/>
        </w:rPr>
        <w:t>程未將土石清運至河川區外，有違經濟部核定之規劃報告內容，實有不當</w:t>
      </w:r>
      <w:r w:rsidR="006325B9">
        <w:rPr>
          <w:rFonts w:hint="eastAsia"/>
        </w:rPr>
        <w:t>。</w:t>
      </w:r>
    </w:p>
    <w:p w:rsidR="00312C74" w:rsidRDefault="00312C74" w:rsidP="00B32821">
      <w:pPr>
        <w:pStyle w:val="2"/>
        <w:overflowPunct w:val="0"/>
        <w:ind w:left="1020" w:hanging="680"/>
        <w:rPr>
          <w:rFonts w:hAnsi="標楷體"/>
          <w:b/>
          <w:szCs w:val="32"/>
        </w:rPr>
      </w:pPr>
      <w:r w:rsidRPr="00312C74">
        <w:rPr>
          <w:rFonts w:hAnsi="標楷體" w:hint="eastAsia"/>
          <w:b/>
          <w:szCs w:val="32"/>
        </w:rPr>
        <w:lastRenderedPageBreak/>
        <w:t>所訴「</w:t>
      </w:r>
      <w:r w:rsidR="00F60CD7">
        <w:rPr>
          <w:rFonts w:hAnsi="標楷體" w:hint="eastAsia"/>
          <w:b/>
          <w:szCs w:val="32"/>
        </w:rPr>
        <w:t>臺東縣政府</w:t>
      </w:r>
      <w:r w:rsidRPr="00312C74">
        <w:rPr>
          <w:rFonts w:hAnsi="標楷體" w:hint="eastAsia"/>
          <w:b/>
          <w:szCs w:val="32"/>
        </w:rPr>
        <w:t>約於80年重新規劃河川區卻未善盡告知義務，農民不知情」</w:t>
      </w:r>
      <w:r w:rsidR="00AF110D">
        <w:rPr>
          <w:rFonts w:hAnsi="標楷體" w:hint="eastAsia"/>
          <w:b/>
          <w:szCs w:val="32"/>
        </w:rPr>
        <w:t>部分，經調查</w:t>
      </w:r>
      <w:r w:rsidR="000D2ACD">
        <w:rPr>
          <w:rFonts w:hAnsi="標楷體" w:hint="eastAsia"/>
          <w:b/>
          <w:szCs w:val="32"/>
        </w:rPr>
        <w:t>太平溪於87年始改列縣管河川，</w:t>
      </w:r>
      <w:r w:rsidR="00AF110D">
        <w:rPr>
          <w:rFonts w:hAnsi="標楷體" w:hint="eastAsia"/>
          <w:b/>
          <w:szCs w:val="32"/>
        </w:rPr>
        <w:t>前臺灣省政府依水利法及臺灣省河川管理規則</w:t>
      </w:r>
      <w:r w:rsidR="000D2ACD">
        <w:rPr>
          <w:rFonts w:hAnsi="標楷體" w:hint="eastAsia"/>
          <w:b/>
          <w:szCs w:val="32"/>
        </w:rPr>
        <w:t>於62年及82年</w:t>
      </w:r>
      <w:r w:rsidR="00AF110D">
        <w:rPr>
          <w:rFonts w:hAnsi="標楷體" w:hint="eastAsia"/>
          <w:b/>
          <w:szCs w:val="32"/>
        </w:rPr>
        <w:t>二度公告</w:t>
      </w:r>
      <w:r w:rsidR="007C76FF">
        <w:rPr>
          <w:rFonts w:hAnsi="標楷體" w:hint="eastAsia"/>
          <w:b/>
          <w:szCs w:val="32"/>
        </w:rPr>
        <w:t>太平溪河川區域</w:t>
      </w:r>
      <w:r w:rsidR="00AF110D">
        <w:rPr>
          <w:rFonts w:hAnsi="標楷體" w:hint="eastAsia"/>
          <w:b/>
          <w:szCs w:val="32"/>
        </w:rPr>
        <w:t>，</w:t>
      </w:r>
      <w:r w:rsidR="007C76FF">
        <w:rPr>
          <w:rFonts w:hAnsi="標楷體" w:hint="eastAsia"/>
          <w:b/>
          <w:szCs w:val="32"/>
        </w:rPr>
        <w:t>尚非無據</w:t>
      </w:r>
    </w:p>
    <w:p w:rsidR="00312C74" w:rsidRDefault="00312C74" w:rsidP="00B32821">
      <w:pPr>
        <w:pStyle w:val="3"/>
        <w:overflowPunct w:val="0"/>
      </w:pPr>
      <w:r>
        <w:rPr>
          <w:rFonts w:hint="eastAsia"/>
        </w:rPr>
        <w:t>52年12月10日總統令修正公布之「水利法」第82條、第83條規定：「水道治理計劃線或堤防預定線內之土地，經主管機關呈報上級主管機關核定公告後，</w:t>
      </w:r>
      <w:r w:rsidRPr="0023728B">
        <w:rPr>
          <w:rFonts w:hint="eastAsia"/>
          <w:b/>
        </w:rPr>
        <w:t>得依法徵收</w:t>
      </w:r>
      <w:r>
        <w:rPr>
          <w:rFonts w:hint="eastAsia"/>
        </w:rPr>
        <w:t>之；</w:t>
      </w:r>
      <w:r w:rsidRPr="0023728B">
        <w:rPr>
          <w:rFonts w:hint="eastAsia"/>
          <w:b/>
        </w:rPr>
        <w:t>未徵收者</w:t>
      </w:r>
      <w:r>
        <w:rPr>
          <w:rFonts w:hint="eastAsia"/>
        </w:rPr>
        <w:t>為防止水患並</w:t>
      </w:r>
      <w:r w:rsidRPr="0023728B">
        <w:rPr>
          <w:rFonts w:hint="eastAsia"/>
          <w:b/>
        </w:rPr>
        <w:t>得限制其使用</w:t>
      </w:r>
      <w:r>
        <w:rPr>
          <w:rFonts w:hint="eastAsia"/>
        </w:rPr>
        <w:t>」、「尋常洪水位行水區域之土地，不得私有；其已為</w:t>
      </w:r>
      <w:r w:rsidRPr="0023728B">
        <w:rPr>
          <w:rFonts w:hint="eastAsia"/>
          <w:b/>
        </w:rPr>
        <w:t>私有者</w:t>
      </w:r>
      <w:r>
        <w:rPr>
          <w:rFonts w:hint="eastAsia"/>
        </w:rPr>
        <w:t>，</w:t>
      </w:r>
      <w:r w:rsidRPr="0023728B">
        <w:rPr>
          <w:rFonts w:hint="eastAsia"/>
          <w:b/>
        </w:rPr>
        <w:t>得</w:t>
      </w:r>
      <w:r>
        <w:rPr>
          <w:rFonts w:hint="eastAsia"/>
        </w:rPr>
        <w:t>由主管機關</w:t>
      </w:r>
      <w:r w:rsidRPr="0023728B">
        <w:rPr>
          <w:rFonts w:hint="eastAsia"/>
          <w:b/>
        </w:rPr>
        <w:t>依法徵收</w:t>
      </w:r>
      <w:r>
        <w:rPr>
          <w:rFonts w:hint="eastAsia"/>
        </w:rPr>
        <w:t>之，</w:t>
      </w:r>
      <w:r w:rsidRPr="0023728B">
        <w:rPr>
          <w:rFonts w:hint="eastAsia"/>
          <w:b/>
        </w:rPr>
        <w:t>未徵收者</w:t>
      </w:r>
      <w:r>
        <w:rPr>
          <w:rFonts w:hint="eastAsia"/>
        </w:rPr>
        <w:t>為防止水患並</w:t>
      </w:r>
      <w:r w:rsidRPr="0023728B">
        <w:rPr>
          <w:rFonts w:hint="eastAsia"/>
          <w:b/>
        </w:rPr>
        <w:t>得限制其使用</w:t>
      </w:r>
      <w:r>
        <w:rPr>
          <w:rFonts w:hint="eastAsia"/>
        </w:rPr>
        <w:t>」。嗣54年12月22日前臺灣省政府以（54）府建水字第86351號令訂定發布「臺灣省河川管理規則」，其中第18條規定：「</w:t>
      </w:r>
      <w:r w:rsidRPr="0023728B">
        <w:rPr>
          <w:rFonts w:hint="eastAsia"/>
          <w:b/>
        </w:rPr>
        <w:t>河川區域</w:t>
      </w:r>
      <w:r>
        <w:rPr>
          <w:rFonts w:hint="eastAsia"/>
        </w:rPr>
        <w:t>及其境界線測量工作完成後，主辦機關應將河川圖籍報請省政府核定後</w:t>
      </w:r>
      <w:r w:rsidRPr="0023728B">
        <w:rPr>
          <w:rFonts w:hint="eastAsia"/>
          <w:b/>
        </w:rPr>
        <w:t>刊登省府公報</w:t>
      </w:r>
      <w:r>
        <w:rPr>
          <w:rFonts w:hint="eastAsia"/>
        </w:rPr>
        <w:t>，並應將河川區域變更登記表、異動地積計算表、及測量原圖等送由縣市地政主管單位訂正地籍圖。」63年8月20日前臺灣省政府以（63）府建水字第77111號令修正發布之「臺灣省河川管理規則」第10條第1項及第11條規定：「</w:t>
      </w:r>
      <w:r w:rsidRPr="0023728B">
        <w:rPr>
          <w:rFonts w:hint="eastAsia"/>
          <w:b/>
        </w:rPr>
        <w:t>河川區域線</w:t>
      </w:r>
      <w:r>
        <w:rPr>
          <w:rFonts w:hint="eastAsia"/>
        </w:rPr>
        <w:t>之測定與變更，管理機關應於測量完竣會同地政機關</w:t>
      </w:r>
      <w:r w:rsidRPr="0023728B">
        <w:rPr>
          <w:rFonts w:hint="eastAsia"/>
          <w:b/>
        </w:rPr>
        <w:t>報請省府核定公告</w:t>
      </w:r>
      <w:r>
        <w:rPr>
          <w:rFonts w:hint="eastAsia"/>
        </w:rPr>
        <w:t>」、「河川區域內之公有土地，概受河川管理機關管理；其</w:t>
      </w:r>
      <w:r w:rsidRPr="0023728B">
        <w:rPr>
          <w:rFonts w:hint="eastAsia"/>
          <w:b/>
        </w:rPr>
        <w:t>私有者</w:t>
      </w:r>
      <w:r>
        <w:rPr>
          <w:rFonts w:hint="eastAsia"/>
        </w:rPr>
        <w:t>，在未依法徵收前，</w:t>
      </w:r>
      <w:r w:rsidRPr="0023728B">
        <w:rPr>
          <w:rFonts w:hint="eastAsia"/>
          <w:b/>
        </w:rPr>
        <w:t>依水利法第82條及第83條規定辦理</w:t>
      </w:r>
      <w:r>
        <w:rPr>
          <w:rFonts w:hint="eastAsia"/>
        </w:rPr>
        <w:t>」。復於79年8月29日前臺灣省政府以（79）府法四字第58005號令修正發布之「臺灣省河川管理規則」第10條規定：「河川區域之劃定與變更由管理機關測定後報本府核定公告，並函送當地縣（市）政府轉由有關鄉（鎮、市、區）公所</w:t>
      </w:r>
      <w:r w:rsidRPr="0023728B">
        <w:rPr>
          <w:rFonts w:hint="eastAsia"/>
          <w:b/>
        </w:rPr>
        <w:t>揭示並</w:t>
      </w:r>
      <w:r w:rsidRPr="0023728B">
        <w:rPr>
          <w:rFonts w:hint="eastAsia"/>
          <w:b/>
        </w:rPr>
        <w:lastRenderedPageBreak/>
        <w:t>公開閱覽</w:t>
      </w:r>
      <w:r>
        <w:rPr>
          <w:rFonts w:hint="eastAsia"/>
        </w:rPr>
        <w:t>。前項公告劃入河川區域內之公私有土地，管理機關應於河川區域線埋設界標或檢附圖冊囑託地政機關</w:t>
      </w:r>
      <w:r w:rsidRPr="0023728B">
        <w:rPr>
          <w:rFonts w:hint="eastAsia"/>
          <w:b/>
        </w:rPr>
        <w:t>逕為</w:t>
      </w:r>
      <w:r>
        <w:rPr>
          <w:rFonts w:hint="eastAsia"/>
        </w:rPr>
        <w:t>測量分割登記並</w:t>
      </w:r>
      <w:r w:rsidRPr="0023728B">
        <w:rPr>
          <w:rFonts w:hint="eastAsia"/>
          <w:b/>
        </w:rPr>
        <w:t>依法編定或變更編定為水利用地</w:t>
      </w:r>
      <w:r>
        <w:rPr>
          <w:rFonts w:hint="eastAsia"/>
        </w:rPr>
        <w:t>。」</w:t>
      </w:r>
    </w:p>
    <w:p w:rsidR="00312C74" w:rsidRDefault="00312C74" w:rsidP="00B32821">
      <w:pPr>
        <w:pStyle w:val="3"/>
        <w:overflowPunct w:val="0"/>
      </w:pPr>
      <w:r>
        <w:rPr>
          <w:rFonts w:hint="eastAsia"/>
        </w:rPr>
        <w:t>查太平溪河川區域係由前臺灣省政府於62年5月21日以府建水字第55805號公告，前臺灣省政府於82年4月19日再以府建水字第159707號公告第1次河川區域變更；嗣於87年6月26日太平溪改列為臺東縣縣管河川後，臺東縣政府於94年1月24日以府工河字第0003002279號公告第2次河川區域變更。所訴「</w:t>
      </w:r>
      <w:r w:rsidR="00F60CD7">
        <w:rPr>
          <w:rFonts w:hint="eastAsia"/>
        </w:rPr>
        <w:t>臺東縣政府</w:t>
      </w:r>
      <w:r>
        <w:rPr>
          <w:rFonts w:hint="eastAsia"/>
        </w:rPr>
        <w:t>約於80年重新規劃河川區卻未善盡告知義務，農民不知情」</w:t>
      </w:r>
      <w:r w:rsidR="008C7D15">
        <w:rPr>
          <w:rFonts w:hint="eastAsia"/>
        </w:rPr>
        <w:t>等情</w:t>
      </w:r>
      <w:r>
        <w:rPr>
          <w:rFonts w:hint="eastAsia"/>
        </w:rPr>
        <w:t>，</w:t>
      </w:r>
      <w:r w:rsidR="002D7AC2">
        <w:rPr>
          <w:rFonts w:hint="eastAsia"/>
        </w:rPr>
        <w:t>太平溪於87年</w:t>
      </w:r>
      <w:r w:rsidR="004E46DC">
        <w:rPr>
          <w:rFonts w:hint="eastAsia"/>
        </w:rPr>
        <w:t>精省後始改列縣管河川，87年以前</w:t>
      </w:r>
      <w:r w:rsidR="00F85641">
        <w:rPr>
          <w:rFonts w:hint="eastAsia"/>
        </w:rPr>
        <w:t>屬省管次要河川，前臺灣省政府依據</w:t>
      </w:r>
      <w:r>
        <w:rPr>
          <w:rFonts w:hint="eastAsia"/>
        </w:rPr>
        <w:t>水利法及臺灣省河川管理規則相關規定，於62年5月21日及82年4月19日二度公告太平溪河川區域，均屬依法而為</w:t>
      </w:r>
      <w:r w:rsidR="008C7D15">
        <w:rPr>
          <w:rFonts w:hint="eastAsia"/>
        </w:rPr>
        <w:t>，尚非無據</w:t>
      </w:r>
      <w:r>
        <w:rPr>
          <w:rFonts w:hint="eastAsia"/>
        </w:rPr>
        <w:t>。</w:t>
      </w:r>
    </w:p>
    <w:p w:rsidR="00E96F3E" w:rsidRDefault="00AF285D" w:rsidP="00B32821">
      <w:pPr>
        <w:pStyle w:val="2"/>
        <w:overflowPunct w:val="0"/>
        <w:ind w:left="1020" w:hanging="680"/>
        <w:rPr>
          <w:rFonts w:hAnsi="標楷體"/>
          <w:b/>
          <w:szCs w:val="32"/>
        </w:rPr>
      </w:pPr>
      <w:r>
        <w:rPr>
          <w:rFonts w:hAnsi="標楷體" w:hint="eastAsia"/>
          <w:b/>
          <w:szCs w:val="32"/>
        </w:rPr>
        <w:t>所訴「</w:t>
      </w:r>
      <w:r w:rsidRPr="00AF285D">
        <w:rPr>
          <w:rFonts w:hAnsi="標楷體" w:hint="eastAsia"/>
          <w:b/>
          <w:szCs w:val="32"/>
        </w:rPr>
        <w:t>臺東縣政府為辦理堤防興建工程，欲徵收</w:t>
      </w:r>
      <w:r w:rsidR="00BB50FA">
        <w:rPr>
          <w:rFonts w:hAnsi="標楷體" w:hint="eastAsia"/>
          <w:b/>
          <w:szCs w:val="32"/>
        </w:rPr>
        <w:t>陳訴人</w:t>
      </w:r>
      <w:r w:rsidR="005B68AA">
        <w:rPr>
          <w:rFonts w:hAnsi="標楷體" w:hint="eastAsia"/>
          <w:b/>
          <w:szCs w:val="32"/>
        </w:rPr>
        <w:t>等</w:t>
      </w:r>
      <w:r w:rsidRPr="00AF285D">
        <w:rPr>
          <w:rFonts w:hAnsi="標楷體" w:hint="eastAsia"/>
          <w:b/>
          <w:szCs w:val="32"/>
        </w:rPr>
        <w:t>農地上之果樹，卻不同時徵收農地</w:t>
      </w:r>
      <w:r>
        <w:rPr>
          <w:rFonts w:hAnsi="標楷體" w:hint="eastAsia"/>
          <w:b/>
          <w:szCs w:val="32"/>
        </w:rPr>
        <w:t>」</w:t>
      </w:r>
      <w:r w:rsidR="00267CB3">
        <w:rPr>
          <w:rFonts w:hAnsi="標楷體" w:hint="eastAsia"/>
          <w:b/>
          <w:szCs w:val="32"/>
        </w:rPr>
        <w:t>部分</w:t>
      </w:r>
      <w:r>
        <w:rPr>
          <w:rFonts w:hAnsi="標楷體" w:hint="eastAsia"/>
          <w:b/>
          <w:szCs w:val="32"/>
        </w:rPr>
        <w:t>，經</w:t>
      </w:r>
      <w:r w:rsidR="00B27EFB">
        <w:rPr>
          <w:rFonts w:hAnsi="標楷體" w:hint="eastAsia"/>
          <w:b/>
          <w:szCs w:val="32"/>
        </w:rPr>
        <w:t>調</w:t>
      </w:r>
      <w:r>
        <w:rPr>
          <w:rFonts w:hAnsi="標楷體" w:hint="eastAsia"/>
          <w:b/>
          <w:szCs w:val="32"/>
        </w:rPr>
        <w:t>查</w:t>
      </w:r>
      <w:r w:rsidR="00BD5848">
        <w:rPr>
          <w:rFonts w:hAnsi="標楷體" w:hint="eastAsia"/>
          <w:b/>
          <w:szCs w:val="32"/>
        </w:rPr>
        <w:t>臺東縣政府於</w:t>
      </w:r>
      <w:r w:rsidR="00CE443C">
        <w:rPr>
          <w:rFonts w:hAnsi="標楷體" w:hint="eastAsia"/>
          <w:b/>
          <w:szCs w:val="32"/>
        </w:rPr>
        <w:t>鳳凰</w:t>
      </w:r>
      <w:r w:rsidR="00BD5848">
        <w:rPr>
          <w:rFonts w:hAnsi="標楷體" w:hint="eastAsia"/>
          <w:b/>
          <w:szCs w:val="32"/>
        </w:rPr>
        <w:t>颱風過後辦理災損查估，惟無法達到救助或補助標準，另該府為進行太平溪疏濬工程而辦理之地上物補償或救濟金</w:t>
      </w:r>
      <w:r w:rsidR="001675DF">
        <w:rPr>
          <w:rFonts w:hAnsi="標楷體" w:hint="eastAsia"/>
          <w:b/>
          <w:szCs w:val="32"/>
        </w:rPr>
        <w:t>程序亦屬有據，尚難認有具體疏失之處</w:t>
      </w:r>
    </w:p>
    <w:p w:rsidR="00FF4E47" w:rsidRDefault="00FF4E47" w:rsidP="00B32821">
      <w:pPr>
        <w:pStyle w:val="3"/>
        <w:overflowPunct w:val="0"/>
      </w:pPr>
      <w:r>
        <w:rPr>
          <w:rFonts w:hint="eastAsia"/>
        </w:rPr>
        <w:t>鳳凰颱風來襲後，造成臺東縣相關損失，臺東縣政府分</w:t>
      </w:r>
      <w:r w:rsidRPr="00664863">
        <w:rPr>
          <w:rFonts w:hint="eastAsia"/>
          <w:b/>
        </w:rPr>
        <w:t>由「農業土地流失」及「農產業損失」二部分，依據相關救助法規進行查證是否符合標準</w:t>
      </w:r>
      <w:r>
        <w:rPr>
          <w:rFonts w:hint="eastAsia"/>
        </w:rPr>
        <w:t>，分述如下：</w:t>
      </w:r>
    </w:p>
    <w:p w:rsidR="005D6834" w:rsidRDefault="005D6834" w:rsidP="00B32821">
      <w:pPr>
        <w:pStyle w:val="4"/>
        <w:kinsoku w:val="0"/>
        <w:overflowPunct w:val="0"/>
      </w:pPr>
      <w:r>
        <w:rPr>
          <w:rFonts w:hint="eastAsia"/>
        </w:rPr>
        <w:t>農業土地流失部分：</w:t>
      </w:r>
    </w:p>
    <w:p w:rsidR="00093671" w:rsidRPr="003653C1" w:rsidRDefault="00093671" w:rsidP="00B32821">
      <w:pPr>
        <w:pStyle w:val="42"/>
        <w:kinsoku w:val="0"/>
        <w:overflowPunct w:val="0"/>
        <w:ind w:left="1701" w:firstLine="680"/>
      </w:pPr>
      <w:r>
        <w:rPr>
          <w:rFonts w:hint="eastAsia"/>
        </w:rPr>
        <w:t>臺東縣政府於94年2月16日以府農務字第0943004884號函頒「臺東縣農田及魚塭淹水救助</w:t>
      </w:r>
      <w:r>
        <w:rPr>
          <w:rFonts w:hint="eastAsia"/>
        </w:rPr>
        <w:lastRenderedPageBreak/>
        <w:t>作業要點</w:t>
      </w:r>
      <w:r>
        <w:rPr>
          <w:rStyle w:val="af6"/>
        </w:rPr>
        <w:footnoteReference w:id="1"/>
      </w:r>
      <w:r>
        <w:rPr>
          <w:rFonts w:hint="eastAsia"/>
        </w:rPr>
        <w:t>」第2點規定：「農田淹水救助所指農田，指編定為農牧用地現供農作使用之耕地或原住民保留地及已登錄之水田、旱田。」鳳凰颱風來襲後，臺東縣政府</w:t>
      </w:r>
      <w:r w:rsidR="0098310D">
        <w:rPr>
          <w:rFonts w:hint="eastAsia"/>
        </w:rPr>
        <w:t>辦理現場</w:t>
      </w:r>
      <w:r>
        <w:rPr>
          <w:rFonts w:hint="eastAsia"/>
        </w:rPr>
        <w:t>勘查並編制「</w:t>
      </w:r>
      <w:r w:rsidRPr="00093671">
        <w:rPr>
          <w:rFonts w:hint="eastAsia"/>
        </w:rPr>
        <w:t>鳳凰颱風農田災害核定救濟金額農戶名冊</w:t>
      </w:r>
      <w:r>
        <w:rPr>
          <w:rFonts w:hint="eastAsia"/>
        </w:rPr>
        <w:t>」，惟該等土地</w:t>
      </w:r>
      <w:r w:rsidR="0098310D">
        <w:rPr>
          <w:rFonts w:hint="eastAsia"/>
        </w:rPr>
        <w:t>多</w:t>
      </w:r>
      <w:r w:rsidR="00FF4534">
        <w:rPr>
          <w:rFonts w:hint="eastAsia"/>
        </w:rPr>
        <w:t>位於太平溪河川區域內，已編定或變更編定為水利</w:t>
      </w:r>
      <w:r>
        <w:rPr>
          <w:rFonts w:hint="eastAsia"/>
        </w:rPr>
        <w:t>用地，不符前述要點第2點需為農牧用地始能救助之規定，爰農業土地流失部分無法救助。</w:t>
      </w:r>
    </w:p>
    <w:p w:rsidR="005D6834" w:rsidRDefault="005D6834" w:rsidP="00B32821">
      <w:pPr>
        <w:pStyle w:val="4"/>
        <w:kinsoku w:val="0"/>
        <w:overflowPunct w:val="0"/>
      </w:pPr>
      <w:bookmarkStart w:id="46" w:name="_Toc525066147"/>
      <w:bookmarkStart w:id="47" w:name="_Toc525070838"/>
      <w:bookmarkStart w:id="48" w:name="_Toc525938378"/>
      <w:bookmarkStart w:id="49" w:name="_Toc525939226"/>
      <w:bookmarkStart w:id="50" w:name="_Toc525939731"/>
      <w:bookmarkStart w:id="51" w:name="_Toc529218271"/>
      <w:bookmarkStart w:id="52" w:name="_Toc529222688"/>
      <w:bookmarkStart w:id="53" w:name="_Toc529223110"/>
      <w:bookmarkStart w:id="54" w:name="_Toc529223861"/>
      <w:bookmarkStart w:id="55" w:name="_Toc529228264"/>
      <w:r>
        <w:rPr>
          <w:rFonts w:hint="eastAsia"/>
        </w:rPr>
        <w:t>農產業損失部分：</w:t>
      </w:r>
    </w:p>
    <w:p w:rsidR="00AF285D" w:rsidRDefault="00CD367D" w:rsidP="00B32821">
      <w:pPr>
        <w:pStyle w:val="5"/>
        <w:overflowPunct w:val="0"/>
      </w:pPr>
      <w:r w:rsidRPr="00CD367D">
        <w:rPr>
          <w:rFonts w:hint="eastAsia"/>
        </w:rPr>
        <w:t>「農業天然災害救助辦法」第8條規定</w:t>
      </w:r>
      <w:r>
        <w:rPr>
          <w:rFonts w:hint="eastAsia"/>
        </w:rPr>
        <w:t>：「救助地區範圍之認定以直轄市或縣（市）轄區為單位，並依其農業產值多寡，分為下列四級：…二、</w:t>
      </w:r>
      <w:r w:rsidRPr="00CD5510">
        <w:rPr>
          <w:rFonts w:hint="eastAsia"/>
          <w:b/>
        </w:rPr>
        <w:t>第二級</w:t>
      </w:r>
      <w:r>
        <w:rPr>
          <w:rFonts w:hint="eastAsia"/>
        </w:rPr>
        <w:t>：…</w:t>
      </w:r>
      <w:r w:rsidRPr="00CD5510">
        <w:rPr>
          <w:rFonts w:hint="eastAsia"/>
          <w:b/>
        </w:rPr>
        <w:t>臺東縣</w:t>
      </w:r>
      <w:r>
        <w:rPr>
          <w:rFonts w:hint="eastAsia"/>
        </w:rPr>
        <w:t>…。」</w:t>
      </w:r>
      <w:r w:rsidRPr="00CD367D">
        <w:rPr>
          <w:rFonts w:hint="eastAsia"/>
        </w:rPr>
        <w:t>同辦法第10條規定</w:t>
      </w:r>
      <w:r>
        <w:rPr>
          <w:rFonts w:hint="eastAsia"/>
        </w:rPr>
        <w:t>：「個別直轄市或縣（市）轄區內天然災害農業損失金額達下列標準者，由中央主管機關公告辦理</w:t>
      </w:r>
      <w:r w:rsidRPr="00CD5510">
        <w:rPr>
          <w:rFonts w:hint="eastAsia"/>
          <w:b/>
        </w:rPr>
        <w:t>現金救助</w:t>
      </w:r>
      <w:r>
        <w:rPr>
          <w:rFonts w:hint="eastAsia"/>
        </w:rPr>
        <w:t>：…二、</w:t>
      </w:r>
      <w:r w:rsidRPr="00CD5510">
        <w:rPr>
          <w:rFonts w:hint="eastAsia"/>
          <w:b/>
        </w:rPr>
        <w:t>第二級：新臺幣一億元以上</w:t>
      </w:r>
      <w:r>
        <w:rPr>
          <w:rFonts w:hint="eastAsia"/>
        </w:rPr>
        <w:t>。…」同辦法</w:t>
      </w:r>
      <w:r w:rsidRPr="00CD367D">
        <w:rPr>
          <w:rFonts w:hint="eastAsia"/>
        </w:rPr>
        <w:t>第14條規定：「</w:t>
      </w:r>
      <w:r>
        <w:rPr>
          <w:rFonts w:hint="eastAsia"/>
        </w:rPr>
        <w:t>天然災害農業損失</w:t>
      </w:r>
      <w:r w:rsidRPr="00CD5510">
        <w:rPr>
          <w:rFonts w:hint="eastAsia"/>
          <w:b/>
        </w:rPr>
        <w:t>未達第十條</w:t>
      </w:r>
      <w:r>
        <w:rPr>
          <w:rFonts w:hint="eastAsia"/>
        </w:rPr>
        <w:t>所定標準，經直轄市或縣（市）主管機關會同中央、直轄市或縣（市）主管機關所屬各試驗改良場所勘查認定對農民產生嚴重損害者，得於天然災害發生後十四日內選擇補助項目並檢附勘查報告相關資料</w:t>
      </w:r>
      <w:r w:rsidRPr="00CD5510">
        <w:rPr>
          <w:rFonts w:hint="eastAsia"/>
          <w:b/>
        </w:rPr>
        <w:t>專案</w:t>
      </w:r>
      <w:r>
        <w:rPr>
          <w:rFonts w:hint="eastAsia"/>
        </w:rPr>
        <w:t>報請中央主管機關同意後辦理</w:t>
      </w:r>
      <w:r w:rsidRPr="00CD5510">
        <w:rPr>
          <w:rFonts w:hint="eastAsia"/>
          <w:b/>
        </w:rPr>
        <w:t>補助</w:t>
      </w:r>
      <w:r>
        <w:rPr>
          <w:rFonts w:hint="eastAsia"/>
        </w:rPr>
        <w:t>。</w:t>
      </w:r>
      <w:r w:rsidRPr="00CD367D">
        <w:rPr>
          <w:rFonts w:hint="eastAsia"/>
        </w:rPr>
        <w:t>」</w:t>
      </w:r>
      <w:r w:rsidR="00CD5510">
        <w:rPr>
          <w:rFonts w:hint="eastAsia"/>
        </w:rPr>
        <w:t>另據「農產業天然災害救助作業要點」第5點、（二）、1.規定：「農民申請救助項目與本</w:t>
      </w:r>
      <w:r w:rsidR="00CD5510">
        <w:rPr>
          <w:rFonts w:hint="eastAsia"/>
        </w:rPr>
        <w:lastRenderedPageBreak/>
        <w:t>會公告或同意災害救助項目相同，且經基層公所派員實地勘查認定</w:t>
      </w:r>
      <w:r w:rsidR="00CD5510" w:rsidRPr="00CD5510">
        <w:rPr>
          <w:rFonts w:hint="eastAsia"/>
          <w:b/>
        </w:rPr>
        <w:t>損失率達百分之二十以上者，始符合災害救助條件</w:t>
      </w:r>
      <w:r w:rsidR="00CD5510">
        <w:rPr>
          <w:rFonts w:hint="eastAsia"/>
        </w:rPr>
        <w:t>。」</w:t>
      </w:r>
      <w:r w:rsidR="00146B1C">
        <w:rPr>
          <w:rFonts w:hint="eastAsia"/>
        </w:rPr>
        <w:t>復查行政院農業委員會研定之「天然災害農產業災害建議救助表」說明：「依農業天然災害救助辦法第14條規定，建議辦理專案補助，除</w:t>
      </w:r>
      <w:r w:rsidR="00146B1C" w:rsidRPr="00146B1C">
        <w:rPr>
          <w:rFonts w:hint="eastAsia"/>
        </w:rPr>
        <w:t>發生大規模或嚴重性天然災害外，建議救助農作物（或生產設施）項目以檢附農產業災害勘查報告表之相關農作物（或生產設施）項目且</w:t>
      </w:r>
      <w:r w:rsidR="00146B1C" w:rsidRPr="002E38D0">
        <w:rPr>
          <w:rFonts w:hint="eastAsia"/>
          <w:b/>
        </w:rPr>
        <w:t>損害程度達20％者為限</w:t>
      </w:r>
      <w:r w:rsidR="00146B1C" w:rsidRPr="00146B1C">
        <w:rPr>
          <w:rFonts w:hint="eastAsia"/>
        </w:rPr>
        <w:t>。</w:t>
      </w:r>
      <w:r w:rsidR="00146B1C">
        <w:rPr>
          <w:rFonts w:hint="eastAsia"/>
        </w:rPr>
        <w:t>」</w:t>
      </w:r>
    </w:p>
    <w:p w:rsidR="003410F0" w:rsidRDefault="007C6FFB" w:rsidP="00B32821">
      <w:pPr>
        <w:pStyle w:val="5"/>
        <w:overflowPunct w:val="0"/>
      </w:pPr>
      <w:r>
        <w:rPr>
          <w:rFonts w:hint="eastAsia"/>
        </w:rPr>
        <w:t>查臺東縣於鳳凰颱風來襲期間，農林漁牧共損失532萬4千元，未達前揭規定第二級之1億元。再查此次</w:t>
      </w:r>
      <w:r w:rsidR="008D64A4">
        <w:rPr>
          <w:rFonts w:hint="eastAsia"/>
        </w:rPr>
        <w:t>臺東縣</w:t>
      </w:r>
      <w:r>
        <w:rPr>
          <w:rFonts w:hint="eastAsia"/>
        </w:rPr>
        <w:t>農作物災損面積</w:t>
      </w:r>
      <w:r w:rsidR="008E7DF0">
        <w:rPr>
          <w:rFonts w:hint="eastAsia"/>
        </w:rPr>
        <w:t>147.67公頃中，番荔枝為77公頃，占逾52％，故以番荔枝為例，103年臺東市種植面積為1588.1公頃、全臺東縣種植面積為4952.33公頃，番荔枝之損害程度以臺東市計算為4.85％、以全臺東縣計算僅為1.55％，亦均不符上開專案補助需「損害程度達20％為限」之規定</w:t>
      </w:r>
      <w:r w:rsidR="00102B79">
        <w:rPr>
          <w:rFonts w:hint="eastAsia"/>
        </w:rPr>
        <w:t>，故農產業損失部分，依前揭救助辦法第8條之現金救助，或第14條之專案補助均無法辦理</w:t>
      </w:r>
      <w:r w:rsidR="008E7DF0">
        <w:rPr>
          <w:rFonts w:hint="eastAsia"/>
        </w:rPr>
        <w:t>。</w:t>
      </w:r>
    </w:p>
    <w:p w:rsidR="002E38D0" w:rsidRDefault="00FF4E47" w:rsidP="00B32821">
      <w:pPr>
        <w:pStyle w:val="3"/>
        <w:overflowPunct w:val="0"/>
      </w:pPr>
      <w:r w:rsidRPr="00664863">
        <w:rPr>
          <w:rFonts w:hint="eastAsia"/>
          <w:b/>
        </w:rPr>
        <w:t>臺東縣政府因</w:t>
      </w:r>
      <w:r w:rsidR="00862047" w:rsidRPr="00664863">
        <w:rPr>
          <w:rFonts w:hint="eastAsia"/>
          <w:b/>
        </w:rPr>
        <w:t>需辦理</w:t>
      </w:r>
      <w:r w:rsidRPr="00664863">
        <w:rPr>
          <w:rFonts w:hint="eastAsia"/>
          <w:b/>
        </w:rPr>
        <w:t>太平溪太平橋至南王橋間</w:t>
      </w:r>
      <w:r w:rsidR="00862047" w:rsidRPr="00664863">
        <w:rPr>
          <w:rFonts w:hint="eastAsia"/>
          <w:b/>
        </w:rPr>
        <w:t>之疏濬工程（或河道整理）</w:t>
      </w:r>
      <w:r w:rsidR="00862047">
        <w:rPr>
          <w:rFonts w:hint="eastAsia"/>
        </w:rPr>
        <w:t>，</w:t>
      </w:r>
      <w:r w:rsidR="0086128E">
        <w:rPr>
          <w:rFonts w:hint="eastAsia"/>
        </w:rPr>
        <w:t>依據相關法令所採措施如下：</w:t>
      </w:r>
    </w:p>
    <w:p w:rsidR="00550DDA" w:rsidRDefault="00A22386" w:rsidP="00B32821">
      <w:pPr>
        <w:pStyle w:val="4"/>
        <w:kinsoku w:val="0"/>
        <w:overflowPunct w:val="0"/>
      </w:pPr>
      <w:r>
        <w:rPr>
          <w:rFonts w:hint="eastAsia"/>
        </w:rPr>
        <w:t>「水利法」第82條第1項規定：「水道治理計畫線或用地範圍線內之土地，經主管機關報請上級主管機關核定公告後，得依法徵收之；</w:t>
      </w:r>
      <w:r w:rsidRPr="00C7315A">
        <w:rPr>
          <w:rFonts w:hint="eastAsia"/>
          <w:b/>
        </w:rPr>
        <w:t>未徵收者</w:t>
      </w:r>
      <w:r>
        <w:rPr>
          <w:rFonts w:hint="eastAsia"/>
        </w:rPr>
        <w:t>，為防止水患，並</w:t>
      </w:r>
      <w:r w:rsidRPr="00C7315A">
        <w:rPr>
          <w:rFonts w:hint="eastAsia"/>
          <w:b/>
        </w:rPr>
        <w:t>得限制其使用</w:t>
      </w:r>
      <w:r>
        <w:rPr>
          <w:rFonts w:hint="eastAsia"/>
        </w:rPr>
        <w:t>。」</w:t>
      </w:r>
      <w:r w:rsidR="00620070">
        <w:rPr>
          <w:rFonts w:hint="eastAsia"/>
        </w:rPr>
        <w:t>「河川管理辦法」第17條規定：「為維持河川治理通洪斷面，河川管理機關所為疏濬等必要工程，除施設防</w:t>
      </w:r>
      <w:r w:rsidR="00620070">
        <w:rPr>
          <w:rFonts w:hint="eastAsia"/>
        </w:rPr>
        <w:lastRenderedPageBreak/>
        <w:t>護工程所需用地或辦理疏濬後其土地無法為原來之使用，應依法徵收其土地外，得不經河川私有地所有人之同意逕行為之，但其</w:t>
      </w:r>
      <w:r w:rsidR="00620070" w:rsidRPr="00C7315A">
        <w:rPr>
          <w:rFonts w:hint="eastAsia"/>
          <w:b/>
        </w:rPr>
        <w:t>原有合法地上物應予補償</w:t>
      </w:r>
      <w:r w:rsidR="00620070">
        <w:rPr>
          <w:rFonts w:hint="eastAsia"/>
        </w:rPr>
        <w:t>。」</w:t>
      </w:r>
    </w:p>
    <w:p w:rsidR="0086128E" w:rsidRDefault="00A22386" w:rsidP="00B32821">
      <w:pPr>
        <w:pStyle w:val="4"/>
        <w:kinsoku w:val="0"/>
        <w:overflowPunct w:val="0"/>
      </w:pPr>
      <w:r>
        <w:rPr>
          <w:rFonts w:hint="eastAsia"/>
        </w:rPr>
        <w:t>「</w:t>
      </w:r>
      <w:r w:rsidRPr="00A22386">
        <w:rPr>
          <w:rFonts w:hint="eastAsia"/>
        </w:rPr>
        <w:t>臺東縣政府暨所屬機關辦理公共工程用地地上物自動拆遷救濟金及獎勵金處理原則</w:t>
      </w:r>
      <w:r>
        <w:rPr>
          <w:rFonts w:hint="eastAsia"/>
        </w:rPr>
        <w:t>」</w:t>
      </w:r>
      <w:r w:rsidR="00550DDA">
        <w:rPr>
          <w:rFonts w:hint="eastAsia"/>
        </w:rPr>
        <w:t>第3點規定：「本府及所屬機關對於發給獎勵金及救濟金，應…</w:t>
      </w:r>
      <w:r w:rsidR="00550DDA" w:rsidRPr="00A52BB8">
        <w:rPr>
          <w:rFonts w:hint="eastAsia"/>
          <w:b/>
        </w:rPr>
        <w:t>專案簽請縣長或其授權之人核定</w:t>
      </w:r>
      <w:r w:rsidR="00550DDA">
        <w:rPr>
          <w:rFonts w:hint="eastAsia"/>
        </w:rPr>
        <w:t>…」同原則第4點第1項</w:t>
      </w:r>
      <w:r w:rsidR="00A52BB8">
        <w:rPr>
          <w:rFonts w:hint="eastAsia"/>
        </w:rPr>
        <w:t>、第2項</w:t>
      </w:r>
      <w:r w:rsidR="00550DDA">
        <w:rPr>
          <w:rFonts w:hint="eastAsia"/>
        </w:rPr>
        <w:t>規定：「有下列情形之一者不得發給獎勵金或救濟金：…（四）</w:t>
      </w:r>
      <w:r w:rsidR="008D64A4">
        <w:rPr>
          <w:rFonts w:hint="eastAsia"/>
        </w:rPr>
        <w:t>…</w:t>
      </w:r>
      <w:r w:rsidR="00550DDA">
        <w:rPr>
          <w:rFonts w:hint="eastAsia"/>
        </w:rPr>
        <w:t>本縣所舉借一年以上公共</w:t>
      </w:r>
      <w:r w:rsidR="00550DDA" w:rsidRPr="006A2155">
        <w:rPr>
          <w:rFonts w:hint="eastAsia"/>
          <w:b/>
        </w:rPr>
        <w:t>債務未償餘額</w:t>
      </w:r>
      <w:r w:rsidR="00550DDA">
        <w:rPr>
          <w:rFonts w:hint="eastAsia"/>
        </w:rPr>
        <w:t>預算及特別歲出預算總額，</w:t>
      </w:r>
      <w:r w:rsidR="00550DDA" w:rsidRPr="00A52BB8">
        <w:rPr>
          <w:rFonts w:hint="eastAsia"/>
          <w:b/>
        </w:rPr>
        <w:t>超過該年度總預算百分之三十五者</w:t>
      </w:r>
      <w:r w:rsidR="00550DDA">
        <w:rPr>
          <w:rFonts w:hint="eastAsia"/>
        </w:rPr>
        <w:t>。</w:t>
      </w:r>
      <w:r w:rsidR="00A52BB8">
        <w:rPr>
          <w:rFonts w:hint="eastAsia"/>
        </w:rPr>
        <w:t>」「依前項第四款及第五款規定不得發給獎勵金或救濟金時，於有下列各款情形者，得各依所定標準內發給之：…經中央或</w:t>
      </w:r>
      <w:r w:rsidR="00A52BB8" w:rsidRPr="006A2155">
        <w:rPr>
          <w:rFonts w:hint="eastAsia"/>
          <w:b/>
        </w:rPr>
        <w:t>縣核定</w:t>
      </w:r>
      <w:r w:rsidR="00A52BB8">
        <w:rPr>
          <w:rFonts w:hint="eastAsia"/>
        </w:rPr>
        <w:t>重大或具急迫性需限期完成之建設計畫，得</w:t>
      </w:r>
      <w:r w:rsidR="00A52BB8" w:rsidRPr="00A52BB8">
        <w:rPr>
          <w:rFonts w:hint="eastAsia"/>
          <w:b/>
        </w:rPr>
        <w:t>依本原則所定救濟金標準，最高發給百分之三十</w:t>
      </w:r>
      <w:r w:rsidR="00A52BB8">
        <w:rPr>
          <w:rFonts w:hint="eastAsia"/>
        </w:rPr>
        <w:t>。」同原則第5點第1項規定：「經依第三點核定發給救濟金依下列規定計算：…（二）</w:t>
      </w:r>
      <w:r w:rsidR="00A52BB8" w:rsidRPr="00A52BB8">
        <w:rPr>
          <w:rFonts w:hint="eastAsia"/>
          <w:b/>
        </w:rPr>
        <w:t>未合法之農、林、漁、牧</w:t>
      </w:r>
      <w:r w:rsidR="00A52BB8">
        <w:rPr>
          <w:rFonts w:hint="eastAsia"/>
        </w:rPr>
        <w:t>及水產養殖及其生產固定設備，配合施工自行拆遷者，</w:t>
      </w:r>
      <w:r w:rsidR="00A52BB8" w:rsidRPr="00A52BB8">
        <w:rPr>
          <w:rFonts w:hint="eastAsia"/>
          <w:b/>
        </w:rPr>
        <w:t>依合法查估補償基準之百分之五十發給</w:t>
      </w:r>
      <w:r w:rsidR="00A52BB8">
        <w:rPr>
          <w:rFonts w:hint="eastAsia"/>
        </w:rPr>
        <w:t>配合施工</w:t>
      </w:r>
      <w:r w:rsidR="00A52BB8" w:rsidRPr="00A52BB8">
        <w:rPr>
          <w:rFonts w:hint="eastAsia"/>
          <w:b/>
        </w:rPr>
        <w:t>救濟金</w:t>
      </w:r>
      <w:r w:rsidR="00A52BB8">
        <w:rPr>
          <w:rFonts w:hint="eastAsia"/>
        </w:rPr>
        <w:t>。」</w:t>
      </w:r>
    </w:p>
    <w:p w:rsidR="00BB0B05" w:rsidRPr="00430364" w:rsidRDefault="0040384C" w:rsidP="00B32821">
      <w:pPr>
        <w:pStyle w:val="4"/>
        <w:kinsoku w:val="0"/>
        <w:overflowPunct w:val="0"/>
      </w:pPr>
      <w:r>
        <w:rPr>
          <w:rFonts w:hint="eastAsia"/>
        </w:rPr>
        <w:t>查臺東縣政府建設處水利科於103年11月20日，為辦理「太平溪（南王橋至太平橋）河道整理工程」，擬依相關規定發放地上物補償金及救濟金案上簽至縣長</w:t>
      </w:r>
      <w:r w:rsidR="005C3362">
        <w:rPr>
          <w:rFonts w:hint="eastAsia"/>
        </w:rPr>
        <w:t>（會簽財政及經濟發展處</w:t>
      </w:r>
      <w:r w:rsidR="008D64A4">
        <w:rPr>
          <w:rFonts w:hint="eastAsia"/>
        </w:rPr>
        <w:t>、</w:t>
      </w:r>
      <w:r w:rsidR="005C3362">
        <w:rPr>
          <w:rFonts w:hint="eastAsia"/>
        </w:rPr>
        <w:t>主計處），經各單位表示意見後，由縣長授權人於103年12月1日批示「如各擬依規定辦理」。</w:t>
      </w:r>
      <w:r w:rsidR="00303E4B">
        <w:rPr>
          <w:rFonts w:hint="eastAsia"/>
        </w:rPr>
        <w:t>太平溪南王橋至太平橋間之地上物查估作業，經核算地上物補償費為1,692萬7,519元</w:t>
      </w:r>
      <w:r w:rsidR="007373A1">
        <w:rPr>
          <w:rFonts w:hint="eastAsia"/>
        </w:rPr>
        <w:t>（後修正為1,690</w:t>
      </w:r>
      <w:r w:rsidR="007373A1">
        <w:rPr>
          <w:rFonts w:hint="eastAsia"/>
        </w:rPr>
        <w:lastRenderedPageBreak/>
        <w:t>萬7,400元）</w:t>
      </w:r>
      <w:r w:rsidR="00303E4B">
        <w:rPr>
          <w:rFonts w:hint="eastAsia"/>
        </w:rPr>
        <w:t>，救濟金為228萬1,099元，共計1,920萬8,618元</w:t>
      </w:r>
      <w:r w:rsidR="007373A1">
        <w:rPr>
          <w:rFonts w:hint="eastAsia"/>
        </w:rPr>
        <w:t>（後修正為1,918萬8,499元）</w:t>
      </w:r>
      <w:r w:rsidR="00303E4B">
        <w:rPr>
          <w:rFonts w:hint="eastAsia"/>
        </w:rPr>
        <w:t>，截至104年2月17日農曆過年前，</w:t>
      </w:r>
      <w:r w:rsidR="00500A7C">
        <w:rPr>
          <w:rFonts w:hint="eastAsia"/>
        </w:rPr>
        <w:t>相關已領補償金或救濟金資料如下表：</w:t>
      </w:r>
      <w:r w:rsidR="001B46D6">
        <w:rPr>
          <w:rFonts w:hint="eastAsia"/>
        </w:rPr>
        <w:t xml:space="preserve">　　　</w:t>
      </w:r>
      <w:r w:rsidR="001B46D6" w:rsidRPr="001B46D6">
        <w:rPr>
          <w:rFonts w:hint="eastAsia"/>
          <w:sz w:val="24"/>
          <w:szCs w:val="24"/>
        </w:rPr>
        <w:t>（單位：元）</w:t>
      </w:r>
    </w:p>
    <w:p w:rsidR="00430364" w:rsidRDefault="00430364" w:rsidP="00430364">
      <w:pPr>
        <w:pStyle w:val="21"/>
        <w:ind w:left="1020" w:firstLine="680"/>
      </w:pPr>
    </w:p>
    <w:tbl>
      <w:tblPr>
        <w:tblStyle w:val="af7"/>
        <w:tblW w:w="0" w:type="auto"/>
        <w:tblInd w:w="737" w:type="dxa"/>
        <w:tblCellMar>
          <w:left w:w="28" w:type="dxa"/>
          <w:right w:w="28" w:type="dxa"/>
        </w:tblCellMar>
        <w:tblLook w:val="04A0" w:firstRow="1" w:lastRow="0" w:firstColumn="1" w:lastColumn="0" w:noHBand="0" w:noVBand="1"/>
      </w:tblPr>
      <w:tblGrid>
        <w:gridCol w:w="567"/>
        <w:gridCol w:w="2623"/>
        <w:gridCol w:w="1819"/>
        <w:gridCol w:w="1819"/>
        <w:gridCol w:w="1335"/>
      </w:tblGrid>
      <w:tr w:rsidR="00500A7C" w:rsidRPr="00500A7C" w:rsidTr="00500A7C">
        <w:tc>
          <w:tcPr>
            <w:tcW w:w="567" w:type="dxa"/>
          </w:tcPr>
          <w:p w:rsidR="00500A7C" w:rsidRPr="00500A7C" w:rsidRDefault="00500A7C" w:rsidP="00B32821">
            <w:pPr>
              <w:pStyle w:val="21"/>
              <w:kinsoku w:val="0"/>
              <w:overflowPunct w:val="0"/>
              <w:ind w:leftChars="0" w:left="0" w:firstLineChars="0" w:firstLine="0"/>
              <w:jc w:val="center"/>
              <w:rPr>
                <w:sz w:val="28"/>
                <w:szCs w:val="28"/>
              </w:rPr>
            </w:pPr>
          </w:p>
        </w:tc>
        <w:tc>
          <w:tcPr>
            <w:tcW w:w="2623" w:type="dxa"/>
            <w:vAlign w:val="center"/>
          </w:tcPr>
          <w:p w:rsidR="00500A7C" w:rsidRPr="00500A7C" w:rsidRDefault="00500A7C" w:rsidP="00B32821">
            <w:pPr>
              <w:pStyle w:val="21"/>
              <w:kinsoku w:val="0"/>
              <w:overflowPunct w:val="0"/>
              <w:ind w:leftChars="0" w:left="0" w:firstLineChars="0" w:firstLine="0"/>
              <w:jc w:val="center"/>
              <w:rPr>
                <w:sz w:val="28"/>
                <w:szCs w:val="28"/>
              </w:rPr>
            </w:pPr>
          </w:p>
        </w:tc>
        <w:tc>
          <w:tcPr>
            <w:tcW w:w="1819" w:type="dxa"/>
            <w:vAlign w:val="center"/>
          </w:tcPr>
          <w:p w:rsidR="00500A7C" w:rsidRPr="00500A7C" w:rsidRDefault="00500A7C" w:rsidP="00B32821">
            <w:pPr>
              <w:pStyle w:val="21"/>
              <w:kinsoku w:val="0"/>
              <w:overflowPunct w:val="0"/>
              <w:ind w:leftChars="0" w:left="0" w:firstLineChars="0" w:firstLine="0"/>
              <w:jc w:val="center"/>
              <w:rPr>
                <w:sz w:val="28"/>
                <w:szCs w:val="28"/>
              </w:rPr>
            </w:pPr>
            <w:r>
              <w:rPr>
                <w:rFonts w:hint="eastAsia"/>
                <w:sz w:val="28"/>
                <w:szCs w:val="28"/>
              </w:rPr>
              <w:t>已領</w:t>
            </w:r>
          </w:p>
        </w:tc>
        <w:tc>
          <w:tcPr>
            <w:tcW w:w="1819" w:type="dxa"/>
            <w:vAlign w:val="center"/>
          </w:tcPr>
          <w:p w:rsidR="00500A7C" w:rsidRPr="00500A7C" w:rsidRDefault="00500A7C" w:rsidP="00B32821">
            <w:pPr>
              <w:pStyle w:val="21"/>
              <w:kinsoku w:val="0"/>
              <w:overflowPunct w:val="0"/>
              <w:ind w:leftChars="0" w:left="0" w:firstLineChars="0" w:firstLine="0"/>
              <w:jc w:val="center"/>
              <w:rPr>
                <w:sz w:val="28"/>
                <w:szCs w:val="28"/>
              </w:rPr>
            </w:pPr>
            <w:r>
              <w:rPr>
                <w:rFonts w:hint="eastAsia"/>
                <w:sz w:val="28"/>
                <w:szCs w:val="28"/>
              </w:rPr>
              <w:t>全部</w:t>
            </w:r>
          </w:p>
        </w:tc>
        <w:tc>
          <w:tcPr>
            <w:tcW w:w="1335" w:type="dxa"/>
          </w:tcPr>
          <w:p w:rsidR="00500A7C" w:rsidRPr="00500A7C" w:rsidRDefault="00500A7C" w:rsidP="00B32821">
            <w:pPr>
              <w:pStyle w:val="21"/>
              <w:kinsoku w:val="0"/>
              <w:overflowPunct w:val="0"/>
              <w:ind w:leftChars="0" w:left="0" w:firstLineChars="0" w:firstLine="0"/>
              <w:jc w:val="center"/>
              <w:rPr>
                <w:sz w:val="28"/>
                <w:szCs w:val="28"/>
              </w:rPr>
            </w:pPr>
            <w:r>
              <w:rPr>
                <w:rFonts w:hint="eastAsia"/>
                <w:sz w:val="28"/>
                <w:szCs w:val="28"/>
              </w:rPr>
              <w:t>占比</w:t>
            </w:r>
          </w:p>
        </w:tc>
      </w:tr>
      <w:tr w:rsidR="00500A7C" w:rsidRPr="00500A7C" w:rsidTr="00500A7C">
        <w:tc>
          <w:tcPr>
            <w:tcW w:w="567" w:type="dxa"/>
            <w:vMerge w:val="restart"/>
          </w:tcPr>
          <w:p w:rsidR="00500A7C" w:rsidRDefault="00500A7C" w:rsidP="00B32821">
            <w:pPr>
              <w:pStyle w:val="21"/>
              <w:kinsoku w:val="0"/>
              <w:overflowPunct w:val="0"/>
              <w:ind w:leftChars="0" w:left="0" w:firstLineChars="0" w:firstLine="0"/>
              <w:jc w:val="center"/>
              <w:rPr>
                <w:sz w:val="28"/>
                <w:szCs w:val="28"/>
              </w:rPr>
            </w:pPr>
            <w:r>
              <w:rPr>
                <w:rFonts w:hint="eastAsia"/>
                <w:sz w:val="28"/>
                <w:szCs w:val="28"/>
              </w:rPr>
              <w:t>補償金</w:t>
            </w:r>
          </w:p>
        </w:tc>
        <w:tc>
          <w:tcPr>
            <w:tcW w:w="2623" w:type="dxa"/>
            <w:vAlign w:val="center"/>
          </w:tcPr>
          <w:p w:rsidR="00500A7C" w:rsidRPr="00500A7C" w:rsidRDefault="00500A7C" w:rsidP="00B32821">
            <w:pPr>
              <w:pStyle w:val="21"/>
              <w:kinsoku w:val="0"/>
              <w:overflowPunct w:val="0"/>
              <w:ind w:leftChars="0" w:left="0" w:firstLineChars="0" w:firstLine="0"/>
              <w:jc w:val="center"/>
              <w:rPr>
                <w:sz w:val="28"/>
                <w:szCs w:val="28"/>
              </w:rPr>
            </w:pPr>
            <w:r>
              <w:rPr>
                <w:rFonts w:hint="eastAsia"/>
                <w:sz w:val="28"/>
                <w:szCs w:val="28"/>
              </w:rPr>
              <w:t>補償金所有權人或使用人之人數</w:t>
            </w:r>
          </w:p>
        </w:tc>
        <w:tc>
          <w:tcPr>
            <w:tcW w:w="1819" w:type="dxa"/>
            <w:vAlign w:val="center"/>
          </w:tcPr>
          <w:p w:rsidR="00500A7C" w:rsidRPr="00500A7C" w:rsidRDefault="00500A7C" w:rsidP="00B32821">
            <w:pPr>
              <w:pStyle w:val="21"/>
              <w:kinsoku w:val="0"/>
              <w:overflowPunct w:val="0"/>
              <w:ind w:leftChars="0" w:left="0" w:firstLineChars="0" w:firstLine="0"/>
              <w:jc w:val="center"/>
              <w:rPr>
                <w:sz w:val="28"/>
                <w:szCs w:val="28"/>
              </w:rPr>
            </w:pPr>
            <w:r>
              <w:rPr>
                <w:rFonts w:hint="eastAsia"/>
                <w:sz w:val="28"/>
                <w:szCs w:val="28"/>
              </w:rPr>
              <w:t>42</w:t>
            </w:r>
          </w:p>
        </w:tc>
        <w:tc>
          <w:tcPr>
            <w:tcW w:w="1819" w:type="dxa"/>
            <w:vAlign w:val="center"/>
          </w:tcPr>
          <w:p w:rsidR="00500A7C" w:rsidRPr="00500A7C" w:rsidRDefault="00500A7C" w:rsidP="00B32821">
            <w:pPr>
              <w:pStyle w:val="21"/>
              <w:kinsoku w:val="0"/>
              <w:overflowPunct w:val="0"/>
              <w:ind w:leftChars="0" w:left="0" w:firstLineChars="0" w:firstLine="0"/>
              <w:jc w:val="center"/>
              <w:rPr>
                <w:sz w:val="28"/>
                <w:szCs w:val="28"/>
              </w:rPr>
            </w:pPr>
            <w:r>
              <w:rPr>
                <w:rFonts w:hint="eastAsia"/>
                <w:sz w:val="28"/>
                <w:szCs w:val="28"/>
              </w:rPr>
              <w:t>52</w:t>
            </w:r>
          </w:p>
        </w:tc>
        <w:tc>
          <w:tcPr>
            <w:tcW w:w="1335" w:type="dxa"/>
            <w:vAlign w:val="center"/>
          </w:tcPr>
          <w:p w:rsidR="00500A7C" w:rsidRPr="00500A7C" w:rsidRDefault="00500A7C" w:rsidP="00B32821">
            <w:pPr>
              <w:pStyle w:val="21"/>
              <w:kinsoku w:val="0"/>
              <w:overflowPunct w:val="0"/>
              <w:ind w:leftChars="0" w:left="0" w:firstLineChars="0" w:firstLine="0"/>
              <w:jc w:val="center"/>
              <w:rPr>
                <w:sz w:val="28"/>
                <w:szCs w:val="28"/>
              </w:rPr>
            </w:pPr>
            <w:r>
              <w:rPr>
                <w:rFonts w:hint="eastAsia"/>
                <w:sz w:val="28"/>
                <w:szCs w:val="28"/>
              </w:rPr>
              <w:t>80.77％</w:t>
            </w:r>
          </w:p>
        </w:tc>
      </w:tr>
      <w:tr w:rsidR="00500A7C" w:rsidRPr="00500A7C" w:rsidTr="00500A7C">
        <w:tc>
          <w:tcPr>
            <w:tcW w:w="567" w:type="dxa"/>
            <w:vMerge/>
          </w:tcPr>
          <w:p w:rsidR="00500A7C" w:rsidRDefault="00500A7C" w:rsidP="00B32821">
            <w:pPr>
              <w:pStyle w:val="21"/>
              <w:kinsoku w:val="0"/>
              <w:overflowPunct w:val="0"/>
              <w:ind w:leftChars="0" w:left="0" w:firstLineChars="0" w:firstLine="0"/>
              <w:jc w:val="center"/>
              <w:rPr>
                <w:sz w:val="28"/>
                <w:szCs w:val="28"/>
              </w:rPr>
            </w:pPr>
          </w:p>
        </w:tc>
        <w:tc>
          <w:tcPr>
            <w:tcW w:w="2623" w:type="dxa"/>
            <w:vAlign w:val="center"/>
          </w:tcPr>
          <w:p w:rsidR="00500A7C" w:rsidRPr="00500A7C" w:rsidRDefault="00500A7C" w:rsidP="00B32821">
            <w:pPr>
              <w:pStyle w:val="21"/>
              <w:kinsoku w:val="0"/>
              <w:overflowPunct w:val="0"/>
              <w:ind w:leftChars="0" w:left="0" w:firstLineChars="0" w:firstLine="0"/>
              <w:jc w:val="center"/>
              <w:rPr>
                <w:sz w:val="28"/>
                <w:szCs w:val="28"/>
              </w:rPr>
            </w:pPr>
            <w:r>
              <w:rPr>
                <w:rFonts w:hint="eastAsia"/>
                <w:sz w:val="28"/>
                <w:szCs w:val="28"/>
              </w:rPr>
              <w:t>補償金金額</w:t>
            </w:r>
          </w:p>
        </w:tc>
        <w:tc>
          <w:tcPr>
            <w:tcW w:w="1819" w:type="dxa"/>
            <w:vAlign w:val="center"/>
          </w:tcPr>
          <w:p w:rsidR="00500A7C" w:rsidRPr="00500A7C" w:rsidRDefault="00500A7C" w:rsidP="00B32821">
            <w:pPr>
              <w:pStyle w:val="21"/>
              <w:kinsoku w:val="0"/>
              <w:overflowPunct w:val="0"/>
              <w:ind w:leftChars="0" w:left="0" w:firstLineChars="0" w:firstLine="0"/>
              <w:jc w:val="center"/>
              <w:rPr>
                <w:sz w:val="28"/>
                <w:szCs w:val="28"/>
              </w:rPr>
            </w:pPr>
            <w:r>
              <w:rPr>
                <w:rFonts w:hint="eastAsia"/>
                <w:sz w:val="28"/>
                <w:szCs w:val="28"/>
              </w:rPr>
              <w:t>11,862,658</w:t>
            </w:r>
          </w:p>
        </w:tc>
        <w:tc>
          <w:tcPr>
            <w:tcW w:w="1819" w:type="dxa"/>
            <w:vAlign w:val="center"/>
          </w:tcPr>
          <w:p w:rsidR="00500A7C" w:rsidRPr="00500A7C" w:rsidRDefault="00500A7C" w:rsidP="00B32821">
            <w:pPr>
              <w:pStyle w:val="21"/>
              <w:kinsoku w:val="0"/>
              <w:overflowPunct w:val="0"/>
              <w:ind w:leftChars="0" w:left="0" w:firstLineChars="0" w:firstLine="0"/>
              <w:jc w:val="center"/>
              <w:rPr>
                <w:sz w:val="28"/>
                <w:szCs w:val="28"/>
              </w:rPr>
            </w:pPr>
            <w:r>
              <w:rPr>
                <w:rFonts w:hint="eastAsia"/>
                <w:sz w:val="28"/>
                <w:szCs w:val="28"/>
              </w:rPr>
              <w:t>16,907,400</w:t>
            </w:r>
          </w:p>
        </w:tc>
        <w:tc>
          <w:tcPr>
            <w:tcW w:w="1335" w:type="dxa"/>
            <w:vAlign w:val="center"/>
          </w:tcPr>
          <w:p w:rsidR="00500A7C" w:rsidRPr="00500A7C" w:rsidRDefault="00500A7C" w:rsidP="00B32821">
            <w:pPr>
              <w:pStyle w:val="21"/>
              <w:kinsoku w:val="0"/>
              <w:overflowPunct w:val="0"/>
              <w:ind w:leftChars="0" w:left="0" w:firstLineChars="0" w:firstLine="0"/>
              <w:jc w:val="center"/>
              <w:rPr>
                <w:sz w:val="28"/>
                <w:szCs w:val="28"/>
              </w:rPr>
            </w:pPr>
            <w:r>
              <w:rPr>
                <w:rFonts w:hint="eastAsia"/>
                <w:sz w:val="28"/>
                <w:szCs w:val="28"/>
              </w:rPr>
              <w:t>70.16％</w:t>
            </w:r>
          </w:p>
        </w:tc>
      </w:tr>
      <w:tr w:rsidR="00500A7C" w:rsidRPr="00500A7C" w:rsidTr="00500A7C">
        <w:tc>
          <w:tcPr>
            <w:tcW w:w="567" w:type="dxa"/>
            <w:vMerge w:val="restart"/>
          </w:tcPr>
          <w:p w:rsidR="00500A7C" w:rsidRDefault="00500A7C" w:rsidP="00B32821">
            <w:pPr>
              <w:pStyle w:val="21"/>
              <w:kinsoku w:val="0"/>
              <w:overflowPunct w:val="0"/>
              <w:ind w:leftChars="0" w:left="0" w:firstLineChars="0" w:firstLine="0"/>
              <w:jc w:val="center"/>
              <w:rPr>
                <w:sz w:val="28"/>
                <w:szCs w:val="28"/>
              </w:rPr>
            </w:pPr>
            <w:r>
              <w:rPr>
                <w:rFonts w:hint="eastAsia"/>
                <w:sz w:val="28"/>
                <w:szCs w:val="28"/>
              </w:rPr>
              <w:t>救濟金</w:t>
            </w:r>
          </w:p>
        </w:tc>
        <w:tc>
          <w:tcPr>
            <w:tcW w:w="2623" w:type="dxa"/>
            <w:vAlign w:val="center"/>
          </w:tcPr>
          <w:p w:rsidR="00500A7C" w:rsidRDefault="00500A7C" w:rsidP="00B32821">
            <w:pPr>
              <w:pStyle w:val="21"/>
              <w:kinsoku w:val="0"/>
              <w:overflowPunct w:val="0"/>
              <w:ind w:leftChars="0" w:left="0" w:firstLineChars="0" w:firstLine="0"/>
              <w:jc w:val="center"/>
              <w:rPr>
                <w:sz w:val="28"/>
                <w:szCs w:val="28"/>
              </w:rPr>
            </w:pPr>
            <w:r>
              <w:rPr>
                <w:rFonts w:hint="eastAsia"/>
                <w:sz w:val="28"/>
                <w:szCs w:val="28"/>
              </w:rPr>
              <w:t>救濟金所有權人或使用人之人數</w:t>
            </w:r>
          </w:p>
        </w:tc>
        <w:tc>
          <w:tcPr>
            <w:tcW w:w="1819" w:type="dxa"/>
            <w:vAlign w:val="center"/>
          </w:tcPr>
          <w:p w:rsidR="00500A7C" w:rsidRPr="00500A7C" w:rsidRDefault="00500A7C" w:rsidP="00B32821">
            <w:pPr>
              <w:pStyle w:val="21"/>
              <w:kinsoku w:val="0"/>
              <w:overflowPunct w:val="0"/>
              <w:ind w:leftChars="0" w:left="0" w:firstLineChars="0" w:firstLine="0"/>
              <w:jc w:val="center"/>
              <w:rPr>
                <w:sz w:val="28"/>
                <w:szCs w:val="28"/>
              </w:rPr>
            </w:pPr>
            <w:r>
              <w:rPr>
                <w:rFonts w:hint="eastAsia"/>
                <w:sz w:val="28"/>
                <w:szCs w:val="28"/>
              </w:rPr>
              <w:t>1</w:t>
            </w:r>
          </w:p>
        </w:tc>
        <w:tc>
          <w:tcPr>
            <w:tcW w:w="1819" w:type="dxa"/>
            <w:vAlign w:val="center"/>
          </w:tcPr>
          <w:p w:rsidR="00500A7C" w:rsidRDefault="00500A7C" w:rsidP="00B32821">
            <w:pPr>
              <w:pStyle w:val="21"/>
              <w:kinsoku w:val="0"/>
              <w:overflowPunct w:val="0"/>
              <w:ind w:leftChars="0" w:left="0" w:firstLineChars="0" w:firstLine="0"/>
              <w:jc w:val="center"/>
              <w:rPr>
                <w:sz w:val="28"/>
                <w:szCs w:val="28"/>
              </w:rPr>
            </w:pPr>
            <w:r>
              <w:rPr>
                <w:rFonts w:hint="eastAsia"/>
                <w:sz w:val="28"/>
                <w:szCs w:val="28"/>
              </w:rPr>
              <w:t>3</w:t>
            </w:r>
          </w:p>
        </w:tc>
        <w:tc>
          <w:tcPr>
            <w:tcW w:w="1335" w:type="dxa"/>
            <w:vAlign w:val="center"/>
          </w:tcPr>
          <w:p w:rsidR="00500A7C" w:rsidRPr="00500A7C" w:rsidRDefault="00500A7C" w:rsidP="00B32821">
            <w:pPr>
              <w:pStyle w:val="21"/>
              <w:kinsoku w:val="0"/>
              <w:overflowPunct w:val="0"/>
              <w:ind w:leftChars="0" w:left="0" w:firstLineChars="0" w:firstLine="0"/>
              <w:jc w:val="center"/>
              <w:rPr>
                <w:sz w:val="28"/>
                <w:szCs w:val="28"/>
              </w:rPr>
            </w:pPr>
            <w:r>
              <w:rPr>
                <w:rFonts w:hint="eastAsia"/>
                <w:sz w:val="28"/>
                <w:szCs w:val="28"/>
              </w:rPr>
              <w:t>33.33％</w:t>
            </w:r>
          </w:p>
        </w:tc>
      </w:tr>
      <w:tr w:rsidR="00500A7C" w:rsidRPr="00500A7C" w:rsidTr="00500A7C">
        <w:tc>
          <w:tcPr>
            <w:tcW w:w="567" w:type="dxa"/>
            <w:vMerge/>
          </w:tcPr>
          <w:p w:rsidR="00500A7C" w:rsidRDefault="00500A7C" w:rsidP="00B32821">
            <w:pPr>
              <w:pStyle w:val="21"/>
              <w:kinsoku w:val="0"/>
              <w:overflowPunct w:val="0"/>
              <w:ind w:leftChars="0" w:left="0" w:firstLineChars="0" w:firstLine="0"/>
              <w:jc w:val="center"/>
              <w:rPr>
                <w:sz w:val="28"/>
                <w:szCs w:val="28"/>
              </w:rPr>
            </w:pPr>
          </w:p>
        </w:tc>
        <w:tc>
          <w:tcPr>
            <w:tcW w:w="2623" w:type="dxa"/>
            <w:vAlign w:val="center"/>
          </w:tcPr>
          <w:p w:rsidR="00500A7C" w:rsidRPr="00500A7C" w:rsidRDefault="00500A7C" w:rsidP="00B32821">
            <w:pPr>
              <w:pStyle w:val="21"/>
              <w:kinsoku w:val="0"/>
              <w:overflowPunct w:val="0"/>
              <w:ind w:leftChars="0" w:left="0" w:firstLineChars="0" w:firstLine="0"/>
              <w:jc w:val="center"/>
              <w:rPr>
                <w:sz w:val="28"/>
                <w:szCs w:val="28"/>
              </w:rPr>
            </w:pPr>
            <w:r>
              <w:rPr>
                <w:rFonts w:hint="eastAsia"/>
                <w:sz w:val="28"/>
                <w:szCs w:val="28"/>
              </w:rPr>
              <w:t>救濟金金額</w:t>
            </w:r>
          </w:p>
        </w:tc>
        <w:tc>
          <w:tcPr>
            <w:tcW w:w="1819" w:type="dxa"/>
            <w:vAlign w:val="center"/>
          </w:tcPr>
          <w:p w:rsidR="00500A7C" w:rsidRPr="00500A7C" w:rsidRDefault="00500A7C" w:rsidP="00B32821">
            <w:pPr>
              <w:pStyle w:val="21"/>
              <w:kinsoku w:val="0"/>
              <w:overflowPunct w:val="0"/>
              <w:ind w:leftChars="0" w:left="0" w:firstLineChars="0" w:firstLine="0"/>
              <w:jc w:val="center"/>
              <w:rPr>
                <w:sz w:val="28"/>
                <w:szCs w:val="28"/>
              </w:rPr>
            </w:pPr>
            <w:r>
              <w:rPr>
                <w:rFonts w:hint="eastAsia"/>
                <w:sz w:val="28"/>
                <w:szCs w:val="28"/>
              </w:rPr>
              <w:t>33,364</w:t>
            </w:r>
          </w:p>
        </w:tc>
        <w:tc>
          <w:tcPr>
            <w:tcW w:w="1819" w:type="dxa"/>
            <w:vAlign w:val="center"/>
          </w:tcPr>
          <w:p w:rsidR="00500A7C" w:rsidRPr="00500A7C" w:rsidRDefault="00500A7C" w:rsidP="00B32821">
            <w:pPr>
              <w:pStyle w:val="21"/>
              <w:kinsoku w:val="0"/>
              <w:overflowPunct w:val="0"/>
              <w:ind w:leftChars="0" w:left="0" w:firstLineChars="0" w:firstLine="0"/>
              <w:jc w:val="center"/>
              <w:rPr>
                <w:sz w:val="28"/>
                <w:szCs w:val="28"/>
              </w:rPr>
            </w:pPr>
            <w:r>
              <w:rPr>
                <w:rFonts w:hint="eastAsia"/>
                <w:sz w:val="28"/>
                <w:szCs w:val="28"/>
              </w:rPr>
              <w:t>2,281,099</w:t>
            </w:r>
          </w:p>
        </w:tc>
        <w:tc>
          <w:tcPr>
            <w:tcW w:w="1335" w:type="dxa"/>
            <w:vAlign w:val="center"/>
          </w:tcPr>
          <w:p w:rsidR="00500A7C" w:rsidRPr="00500A7C" w:rsidRDefault="00500A7C" w:rsidP="00B32821">
            <w:pPr>
              <w:pStyle w:val="21"/>
              <w:kinsoku w:val="0"/>
              <w:overflowPunct w:val="0"/>
              <w:ind w:leftChars="0" w:left="0" w:firstLineChars="0" w:firstLine="0"/>
              <w:jc w:val="center"/>
              <w:rPr>
                <w:sz w:val="28"/>
                <w:szCs w:val="28"/>
              </w:rPr>
            </w:pPr>
            <w:r>
              <w:rPr>
                <w:rFonts w:hint="eastAsia"/>
                <w:sz w:val="28"/>
                <w:szCs w:val="28"/>
              </w:rPr>
              <w:t>1.46％</w:t>
            </w:r>
          </w:p>
        </w:tc>
      </w:tr>
      <w:tr w:rsidR="00500A7C" w:rsidRPr="00500A7C" w:rsidTr="00500A7C">
        <w:tc>
          <w:tcPr>
            <w:tcW w:w="567" w:type="dxa"/>
          </w:tcPr>
          <w:p w:rsidR="00500A7C" w:rsidRPr="00500A7C" w:rsidRDefault="00500A7C" w:rsidP="00B32821">
            <w:pPr>
              <w:pStyle w:val="21"/>
              <w:kinsoku w:val="0"/>
              <w:overflowPunct w:val="0"/>
              <w:ind w:leftChars="0" w:left="0" w:firstLineChars="0" w:firstLine="0"/>
              <w:jc w:val="center"/>
              <w:rPr>
                <w:sz w:val="28"/>
                <w:szCs w:val="28"/>
              </w:rPr>
            </w:pPr>
          </w:p>
        </w:tc>
        <w:tc>
          <w:tcPr>
            <w:tcW w:w="2623" w:type="dxa"/>
            <w:vAlign w:val="center"/>
          </w:tcPr>
          <w:p w:rsidR="00500A7C" w:rsidRPr="00500A7C" w:rsidRDefault="00500A7C" w:rsidP="00B32821">
            <w:pPr>
              <w:pStyle w:val="21"/>
              <w:kinsoku w:val="0"/>
              <w:overflowPunct w:val="0"/>
              <w:ind w:leftChars="0" w:left="0" w:firstLineChars="0" w:firstLine="0"/>
              <w:jc w:val="center"/>
              <w:rPr>
                <w:sz w:val="28"/>
                <w:szCs w:val="28"/>
              </w:rPr>
            </w:pPr>
            <w:r>
              <w:rPr>
                <w:rFonts w:hint="eastAsia"/>
                <w:sz w:val="28"/>
                <w:szCs w:val="28"/>
              </w:rPr>
              <w:t>金額總計</w:t>
            </w:r>
          </w:p>
        </w:tc>
        <w:tc>
          <w:tcPr>
            <w:tcW w:w="1819" w:type="dxa"/>
            <w:vAlign w:val="center"/>
          </w:tcPr>
          <w:p w:rsidR="00500A7C" w:rsidRPr="00500A7C" w:rsidRDefault="00500A7C" w:rsidP="00B32821">
            <w:pPr>
              <w:pStyle w:val="21"/>
              <w:kinsoku w:val="0"/>
              <w:overflowPunct w:val="0"/>
              <w:ind w:leftChars="0" w:left="0" w:firstLineChars="0" w:firstLine="0"/>
              <w:jc w:val="center"/>
              <w:rPr>
                <w:sz w:val="28"/>
                <w:szCs w:val="28"/>
              </w:rPr>
            </w:pPr>
            <w:r>
              <w:rPr>
                <w:rFonts w:hint="eastAsia"/>
                <w:sz w:val="28"/>
                <w:szCs w:val="28"/>
              </w:rPr>
              <w:t>11,896,022</w:t>
            </w:r>
          </w:p>
        </w:tc>
        <w:tc>
          <w:tcPr>
            <w:tcW w:w="1819" w:type="dxa"/>
            <w:vAlign w:val="center"/>
          </w:tcPr>
          <w:p w:rsidR="00500A7C" w:rsidRPr="00500A7C" w:rsidRDefault="00500A7C" w:rsidP="00B32821">
            <w:pPr>
              <w:pStyle w:val="21"/>
              <w:kinsoku w:val="0"/>
              <w:overflowPunct w:val="0"/>
              <w:ind w:leftChars="0" w:left="0" w:firstLineChars="0" w:firstLine="0"/>
              <w:jc w:val="center"/>
              <w:rPr>
                <w:sz w:val="28"/>
                <w:szCs w:val="28"/>
              </w:rPr>
            </w:pPr>
            <w:r>
              <w:rPr>
                <w:rFonts w:hint="eastAsia"/>
                <w:sz w:val="28"/>
                <w:szCs w:val="28"/>
              </w:rPr>
              <w:t>19,188,499</w:t>
            </w:r>
          </w:p>
        </w:tc>
        <w:tc>
          <w:tcPr>
            <w:tcW w:w="1335" w:type="dxa"/>
            <w:vAlign w:val="center"/>
          </w:tcPr>
          <w:p w:rsidR="00500A7C" w:rsidRPr="00500A7C" w:rsidRDefault="00500A7C" w:rsidP="00B32821">
            <w:pPr>
              <w:pStyle w:val="21"/>
              <w:kinsoku w:val="0"/>
              <w:overflowPunct w:val="0"/>
              <w:ind w:leftChars="0" w:left="0" w:firstLineChars="0" w:firstLine="0"/>
              <w:jc w:val="center"/>
              <w:rPr>
                <w:sz w:val="28"/>
                <w:szCs w:val="28"/>
              </w:rPr>
            </w:pPr>
            <w:r>
              <w:rPr>
                <w:rFonts w:hint="eastAsia"/>
                <w:sz w:val="28"/>
                <w:szCs w:val="28"/>
              </w:rPr>
              <w:t>62</w:t>
            </w:r>
            <w:r w:rsidR="006150B7">
              <w:rPr>
                <w:rFonts w:hint="eastAsia"/>
                <w:sz w:val="28"/>
                <w:szCs w:val="28"/>
              </w:rPr>
              <w:t>.00％</w:t>
            </w:r>
          </w:p>
        </w:tc>
      </w:tr>
    </w:tbl>
    <w:p w:rsidR="005840A1" w:rsidRPr="005840A1" w:rsidRDefault="005840A1" w:rsidP="005840A1">
      <w:pPr>
        <w:pStyle w:val="0"/>
        <w:kinsoku w:val="0"/>
        <w:overflowPunct w:val="0"/>
        <w:ind w:left="680"/>
        <w:rPr>
          <w:sz w:val="24"/>
          <w:szCs w:val="24"/>
        </w:rPr>
      </w:pPr>
      <w:r w:rsidRPr="005840A1">
        <w:rPr>
          <w:rFonts w:hint="eastAsia"/>
          <w:sz w:val="24"/>
          <w:szCs w:val="24"/>
        </w:rPr>
        <w:t>資料來源：</w:t>
      </w:r>
      <w:r>
        <w:rPr>
          <w:rFonts w:hint="eastAsia"/>
          <w:sz w:val="24"/>
          <w:szCs w:val="24"/>
        </w:rPr>
        <w:t>臺東縣政府資料，本院彙整。</w:t>
      </w:r>
    </w:p>
    <w:p w:rsidR="00500A7C" w:rsidRDefault="005034F8" w:rsidP="003F06F9">
      <w:pPr>
        <w:pStyle w:val="4"/>
        <w:kinsoku w:val="0"/>
        <w:overflowPunct w:val="0"/>
      </w:pPr>
      <w:r>
        <w:rPr>
          <w:rFonts w:hint="eastAsia"/>
        </w:rPr>
        <w:t>再查臺東縣政府已於104年1月9日辦理「</w:t>
      </w:r>
      <w:r w:rsidR="00423294" w:rsidRPr="00423294">
        <w:rPr>
          <w:rFonts w:hint="eastAsia"/>
        </w:rPr>
        <w:t>太平溪(太平橋下游)河川疏濬清淤第三期工程</w:t>
      </w:r>
      <w:r>
        <w:rPr>
          <w:rFonts w:hint="eastAsia"/>
        </w:rPr>
        <w:t>」採購作業，俟完成相關行政程序後即辦理該段河道整理工程，詢據該府人員表示，</w:t>
      </w:r>
      <w:r w:rsidR="00D4616F">
        <w:rPr>
          <w:rFonts w:hint="eastAsia"/>
        </w:rPr>
        <w:t>救濟金發放對象係於公有土地上未合法種植植物者，救濟金額依上開處理原則為查估金額之50％的30％（</w:t>
      </w:r>
      <w:r w:rsidR="005E0FAD">
        <w:rPr>
          <w:rFonts w:hint="eastAsia"/>
        </w:rPr>
        <w:t>該府債務未償餘額已逾上限，最高救濟金額度為</w:t>
      </w:r>
      <w:r w:rsidR="00D4616F">
        <w:rPr>
          <w:rFonts w:hint="eastAsia"/>
        </w:rPr>
        <w:t>查估金額15％），故請領意願不高</w:t>
      </w:r>
      <w:r w:rsidR="00D91BD8">
        <w:rPr>
          <w:rFonts w:hint="eastAsia"/>
        </w:rPr>
        <w:t>（</w:t>
      </w:r>
      <w:r w:rsidR="00053DE6">
        <w:rPr>
          <w:rFonts w:hint="eastAsia"/>
        </w:rPr>
        <w:t>按：</w:t>
      </w:r>
      <w:r w:rsidR="00D91BD8">
        <w:rPr>
          <w:rFonts w:hint="eastAsia"/>
        </w:rPr>
        <w:t>私有土地種植植物補償查估金額100％）</w:t>
      </w:r>
      <w:r w:rsidR="00053DE6">
        <w:rPr>
          <w:rFonts w:hint="eastAsia"/>
        </w:rPr>
        <w:t>。</w:t>
      </w:r>
    </w:p>
    <w:p w:rsidR="000C4C3A" w:rsidRDefault="00E90DD5" w:rsidP="00B32821">
      <w:pPr>
        <w:pStyle w:val="3"/>
        <w:overflowPunct w:val="0"/>
      </w:pPr>
      <w:r w:rsidRPr="00664863">
        <w:rPr>
          <w:rFonts w:hint="eastAsia"/>
          <w:b/>
        </w:rPr>
        <w:t>太平溪南王橋至太平橋間私有土地徵收部分</w:t>
      </w:r>
      <w:r>
        <w:rPr>
          <w:rFonts w:hint="eastAsia"/>
        </w:rPr>
        <w:t>：</w:t>
      </w:r>
    </w:p>
    <w:p w:rsidR="00E90DD5" w:rsidRDefault="00002708" w:rsidP="00B32821">
      <w:pPr>
        <w:pStyle w:val="32"/>
        <w:kinsoku w:val="0"/>
        <w:overflowPunct w:val="0"/>
        <w:ind w:left="1361" w:firstLine="680"/>
      </w:pPr>
      <w:r>
        <w:rPr>
          <w:rFonts w:hint="eastAsia"/>
        </w:rPr>
        <w:t>103年11月14</w:t>
      </w:r>
      <w:r w:rsidR="008D64A4">
        <w:rPr>
          <w:rFonts w:hint="eastAsia"/>
        </w:rPr>
        <w:t>日，臺東縣黃</w:t>
      </w:r>
      <w:r w:rsidR="00DC2829" w:rsidRPr="00DC2829">
        <w:rPr>
          <w:rFonts w:hint="eastAsia"/>
        </w:rPr>
        <w:t>健庭</w:t>
      </w:r>
      <w:r w:rsidR="008D64A4">
        <w:rPr>
          <w:rFonts w:hint="eastAsia"/>
        </w:rPr>
        <w:t>縣長召開太平溪左岸路</w:t>
      </w:r>
      <w:r>
        <w:rPr>
          <w:rFonts w:hint="eastAsia"/>
        </w:rPr>
        <w:t>堤共構啟動記者說明會，說明</w:t>
      </w:r>
      <w:r w:rsidR="00013822">
        <w:rPr>
          <w:rFonts w:hint="eastAsia"/>
        </w:rPr>
        <w:t>「因103年9月份鳳凰颱風於臺東地區造成災害，103年10月19日馬</w:t>
      </w:r>
      <w:r w:rsidR="00DC2829">
        <w:rPr>
          <w:rFonts w:hint="eastAsia"/>
        </w:rPr>
        <w:t>英九</w:t>
      </w:r>
      <w:r w:rsidR="00013822">
        <w:rPr>
          <w:rFonts w:hint="eastAsia"/>
        </w:rPr>
        <w:t>總統蒞縣視察太平溪治理計畫辦理情形時，</w:t>
      </w:r>
      <w:r>
        <w:rPr>
          <w:rFonts w:hint="eastAsia"/>
        </w:rPr>
        <w:t>臺東縣政府提出</w:t>
      </w:r>
      <w:r w:rsidR="00013822">
        <w:rPr>
          <w:rFonts w:hint="eastAsia"/>
        </w:rPr>
        <w:t>『</w:t>
      </w:r>
      <w:r>
        <w:rPr>
          <w:rFonts w:hint="eastAsia"/>
        </w:rPr>
        <w:t>太平溪（馬蘭橋～太平橋河段）</w:t>
      </w:r>
      <w:r w:rsidR="00013822">
        <w:rPr>
          <w:rFonts w:hint="eastAsia"/>
        </w:rPr>
        <w:t>左岸路堤共構計畫』，</w:t>
      </w:r>
      <w:r w:rsidR="00013822" w:rsidRPr="00013822">
        <w:rPr>
          <w:rFonts w:hint="eastAsia"/>
        </w:rPr>
        <w:t>辦理堤防改善兼作替代道路，同時解決綠色隧道交通壅塞問題</w:t>
      </w:r>
      <w:r w:rsidR="00013822">
        <w:rPr>
          <w:rFonts w:hint="eastAsia"/>
        </w:rPr>
        <w:t>，總統</w:t>
      </w:r>
      <w:r w:rsidR="00013822" w:rsidRPr="00013822">
        <w:rPr>
          <w:rFonts w:hint="eastAsia"/>
        </w:rPr>
        <w:lastRenderedPageBreak/>
        <w:t>對此計畫表示肯定，並當場指示經濟部及交通部補助13億元經費（包含工程費及土地徵收費</w:t>
      </w:r>
      <w:r w:rsidR="00013822">
        <w:rPr>
          <w:rFonts w:hint="eastAsia"/>
        </w:rPr>
        <w:t>）。」</w:t>
      </w:r>
      <w:r w:rsidR="009F776C">
        <w:rPr>
          <w:rFonts w:hint="eastAsia"/>
        </w:rPr>
        <w:t>復本院於104年1月29日約詢臺東縣政府人員表示，未來本案預計徵收太平溪該河段私有土地（含河道內之私有土地），惟仍須視中央財政能否補助等語。</w:t>
      </w:r>
    </w:p>
    <w:p w:rsidR="00A74EBE" w:rsidRDefault="00061E59" w:rsidP="00B32821">
      <w:pPr>
        <w:pStyle w:val="3"/>
        <w:overflowPunct w:val="0"/>
      </w:pPr>
      <w:r>
        <w:rPr>
          <w:rFonts w:hint="eastAsia"/>
        </w:rPr>
        <w:t>綜上，</w:t>
      </w:r>
      <w:r w:rsidR="00A87207">
        <w:rPr>
          <w:rFonts w:hint="eastAsia"/>
        </w:rPr>
        <w:t>103年9月鳳凰颱風造成臺東縣災損後，臺東縣政府分就農業土地流失及農產業損失二部分，依據相關規定辦理查估工作，惟尚無法達到救助或補助標準，另該府為進行太平溪之疏濬工程（或河道整理），辦理地上物補償或救濟</w:t>
      </w:r>
      <w:r w:rsidR="00BD5848">
        <w:rPr>
          <w:rFonts w:hint="eastAsia"/>
        </w:rPr>
        <w:t>金</w:t>
      </w:r>
      <w:r w:rsidR="00A87207">
        <w:rPr>
          <w:rFonts w:hint="eastAsia"/>
        </w:rPr>
        <w:t>程序亦屬有據，至所訴徵收農地部分，則需俟未來「太平溪（馬蘭橋～太平橋河段）左岸路堤共構計畫」之經費而定，故</w:t>
      </w:r>
      <w:r w:rsidR="00A87207" w:rsidRPr="00A87207">
        <w:rPr>
          <w:rFonts w:hint="eastAsia"/>
        </w:rPr>
        <w:t>所訴「臺東縣政府為辦理堤防興建工程，欲徵收</w:t>
      </w:r>
      <w:r w:rsidR="00BB50FA">
        <w:rPr>
          <w:rFonts w:hint="eastAsia"/>
        </w:rPr>
        <w:t>陳訴人</w:t>
      </w:r>
      <w:r w:rsidR="005B68AA">
        <w:rPr>
          <w:rFonts w:hint="eastAsia"/>
        </w:rPr>
        <w:t>等</w:t>
      </w:r>
      <w:r w:rsidR="00A87207" w:rsidRPr="00A87207">
        <w:rPr>
          <w:rFonts w:hint="eastAsia"/>
        </w:rPr>
        <w:t>農地上之果樹，卻不同時徵收農地」部分，經調查</w:t>
      </w:r>
      <w:r w:rsidR="00A87207">
        <w:rPr>
          <w:rFonts w:hint="eastAsia"/>
        </w:rPr>
        <w:t>臺東縣政府均依據相關法令辦理，難認有</w:t>
      </w:r>
      <w:r w:rsidR="001675DF">
        <w:rPr>
          <w:rFonts w:hint="eastAsia"/>
        </w:rPr>
        <w:t>具體</w:t>
      </w:r>
      <w:r w:rsidR="00A87207">
        <w:rPr>
          <w:rFonts w:hint="eastAsia"/>
        </w:rPr>
        <w:t>疏失之處。</w:t>
      </w:r>
    </w:p>
    <w:p w:rsidR="00156AF2" w:rsidRDefault="00156AF2" w:rsidP="00B32821">
      <w:pPr>
        <w:pStyle w:val="2"/>
        <w:overflowPunct w:val="0"/>
        <w:rPr>
          <w:b/>
        </w:rPr>
      </w:pPr>
      <w:r>
        <w:rPr>
          <w:rFonts w:hint="eastAsia"/>
          <w:b/>
        </w:rPr>
        <w:t>臺東縣政府辦理太平溪各項疏濬清淤或河道整理工程</w:t>
      </w:r>
      <w:r w:rsidR="00A7416E">
        <w:rPr>
          <w:rFonts w:hint="eastAsia"/>
          <w:b/>
        </w:rPr>
        <w:t>採購，近</w:t>
      </w:r>
      <w:r w:rsidR="00D443AC">
        <w:rPr>
          <w:rFonts w:hint="eastAsia"/>
          <w:b/>
        </w:rPr>
        <w:t>2</w:t>
      </w:r>
      <w:r w:rsidR="00A7416E">
        <w:rPr>
          <w:rFonts w:hint="eastAsia"/>
          <w:b/>
        </w:rPr>
        <w:t>年標案之決標金額均低於底價之70％，顯未逐年考量市場行情</w:t>
      </w:r>
      <w:r w:rsidR="002F5366">
        <w:rPr>
          <w:rFonts w:hint="eastAsia"/>
          <w:b/>
        </w:rPr>
        <w:t>及政府機關決標資料，覈實校正採購工項單價或確實訂定底價，未盡妥適</w:t>
      </w:r>
    </w:p>
    <w:p w:rsidR="00156AF2" w:rsidRDefault="00861DE0" w:rsidP="00D46BC5">
      <w:pPr>
        <w:pStyle w:val="3"/>
        <w:overflowPunct w:val="0"/>
        <w:ind w:left="1394"/>
      </w:pPr>
      <w:r>
        <w:rPr>
          <w:rFonts w:hint="eastAsia"/>
        </w:rPr>
        <w:t>「</w:t>
      </w:r>
      <w:r w:rsidR="00D46BC5">
        <w:rPr>
          <w:rFonts w:hint="eastAsia"/>
        </w:rPr>
        <w:t>政府採購法</w:t>
      </w:r>
      <w:r>
        <w:rPr>
          <w:rFonts w:hint="eastAsia"/>
        </w:rPr>
        <w:t>」</w:t>
      </w:r>
      <w:r w:rsidR="00D46BC5">
        <w:rPr>
          <w:rFonts w:hint="eastAsia"/>
        </w:rPr>
        <w:t>第46條第1項規定：「機關辦理採購，除本法另有規定外，應訂定底價。底價應依圖說、規範、契約並</w:t>
      </w:r>
      <w:r w:rsidR="00D46BC5" w:rsidRPr="00D46BC5">
        <w:rPr>
          <w:rFonts w:hint="eastAsia"/>
          <w:b/>
        </w:rPr>
        <w:t>考量成本、市場行情及政府機關決標資料</w:t>
      </w:r>
      <w:r w:rsidR="00D46BC5">
        <w:rPr>
          <w:rFonts w:hint="eastAsia"/>
        </w:rPr>
        <w:t>逐項編列，由機關首長或其授權人員核定。」同法第58條規定：「機關辦理採購採最低標決標時，如認為</w:t>
      </w:r>
      <w:r w:rsidR="00D46BC5" w:rsidRPr="00181DBA">
        <w:rPr>
          <w:rFonts w:hint="eastAsia"/>
          <w:b/>
        </w:rPr>
        <w:t>最低標廠商之總標價</w:t>
      </w:r>
      <w:r w:rsidR="00D46BC5">
        <w:rPr>
          <w:rFonts w:hint="eastAsia"/>
        </w:rPr>
        <w:t>或部分標價</w:t>
      </w:r>
      <w:r w:rsidR="00D46BC5" w:rsidRPr="00181DBA">
        <w:rPr>
          <w:rFonts w:hint="eastAsia"/>
          <w:b/>
        </w:rPr>
        <w:t>偏低</w:t>
      </w:r>
      <w:r w:rsidR="00D46BC5">
        <w:rPr>
          <w:rFonts w:hint="eastAsia"/>
        </w:rPr>
        <w:t>，顯不合理，有降低品質、不能誠信履約之虞或其他特殊情形，</w:t>
      </w:r>
      <w:r w:rsidR="00D46BC5" w:rsidRPr="00181DBA">
        <w:rPr>
          <w:rFonts w:hint="eastAsia"/>
          <w:b/>
        </w:rPr>
        <w:t>得限期通知該廠商提出說明或擔保</w:t>
      </w:r>
      <w:r w:rsidR="00D46BC5">
        <w:rPr>
          <w:rFonts w:hint="eastAsia"/>
        </w:rPr>
        <w:t>。」</w:t>
      </w:r>
      <w:r>
        <w:rPr>
          <w:rFonts w:hint="eastAsia"/>
        </w:rPr>
        <w:t>「</w:t>
      </w:r>
      <w:r w:rsidR="00D46BC5">
        <w:rPr>
          <w:rFonts w:hint="eastAsia"/>
        </w:rPr>
        <w:t>政府採購法施行細則</w:t>
      </w:r>
      <w:r>
        <w:rPr>
          <w:rFonts w:hint="eastAsia"/>
        </w:rPr>
        <w:t>」</w:t>
      </w:r>
      <w:r w:rsidR="00D46BC5">
        <w:rPr>
          <w:rFonts w:hint="eastAsia"/>
        </w:rPr>
        <w:t>第80條規定：「</w:t>
      </w:r>
      <w:r w:rsidR="00D46BC5">
        <w:rPr>
          <w:rFonts w:hint="eastAsia"/>
        </w:rPr>
        <w:lastRenderedPageBreak/>
        <w:t>本法第五十八條所稱部分標價偏低，指下列情形之一：一、該部分標價有對應之底價項目可供比較，該部分標價</w:t>
      </w:r>
      <w:r w:rsidR="00D46BC5" w:rsidRPr="00A7416E">
        <w:rPr>
          <w:rFonts w:hint="eastAsia"/>
          <w:b/>
        </w:rPr>
        <w:t>低於</w:t>
      </w:r>
      <w:r w:rsidR="00D46BC5">
        <w:rPr>
          <w:rFonts w:hint="eastAsia"/>
        </w:rPr>
        <w:t>相同部分項目</w:t>
      </w:r>
      <w:r w:rsidR="00D46BC5" w:rsidRPr="00A7416E">
        <w:rPr>
          <w:rFonts w:hint="eastAsia"/>
          <w:b/>
        </w:rPr>
        <w:t>底價之百分之七十者</w:t>
      </w:r>
      <w:r w:rsidR="00D46BC5">
        <w:rPr>
          <w:rFonts w:hint="eastAsia"/>
        </w:rPr>
        <w:t>。二、廠商之部分標價經評審或評選委員會認為偏低者。三、廠商之部分標價低於其他機關最近辦理相同採購決標價之百分之七十者。四、廠商之部分標價低於可供參考之一般價格之百分之七十者。」</w:t>
      </w:r>
    </w:p>
    <w:p w:rsidR="00156AF2" w:rsidRDefault="00156AF2" w:rsidP="00156AF2">
      <w:pPr>
        <w:pStyle w:val="3"/>
      </w:pPr>
      <w:r>
        <w:rPr>
          <w:rFonts w:hint="eastAsia"/>
        </w:rPr>
        <w:t>查政府電子採購網</w:t>
      </w:r>
      <w:r w:rsidR="00A7416E">
        <w:rPr>
          <w:rFonts w:hint="eastAsia"/>
        </w:rPr>
        <w:t>資料，臺東縣政府近幾年來辦理太平溪</w:t>
      </w:r>
      <w:r w:rsidR="008461E2">
        <w:rPr>
          <w:rFonts w:hint="eastAsia"/>
        </w:rPr>
        <w:t>疏濬清淤或河道整理工程標案資料如下表：</w:t>
      </w:r>
      <w:r w:rsidR="008461E2" w:rsidRPr="008461E2">
        <w:rPr>
          <w:rFonts w:hint="eastAsia"/>
          <w:sz w:val="24"/>
          <w:szCs w:val="24"/>
        </w:rPr>
        <w:t>（單位：元）</w:t>
      </w:r>
    </w:p>
    <w:tbl>
      <w:tblPr>
        <w:tblStyle w:val="af7"/>
        <w:tblW w:w="0" w:type="auto"/>
        <w:tblInd w:w="680" w:type="dxa"/>
        <w:tblLayout w:type="fixed"/>
        <w:tblCellMar>
          <w:left w:w="0" w:type="dxa"/>
          <w:right w:w="0" w:type="dxa"/>
        </w:tblCellMar>
        <w:tblLook w:val="04A0" w:firstRow="1" w:lastRow="0" w:firstColumn="1" w:lastColumn="0" w:noHBand="0" w:noVBand="1"/>
      </w:tblPr>
      <w:tblGrid>
        <w:gridCol w:w="2160"/>
        <w:gridCol w:w="1134"/>
        <w:gridCol w:w="1276"/>
        <w:gridCol w:w="1134"/>
        <w:gridCol w:w="1260"/>
        <w:gridCol w:w="1210"/>
      </w:tblGrid>
      <w:tr w:rsidR="00156AF2" w:rsidRPr="00156AF2" w:rsidTr="00156AF2">
        <w:tc>
          <w:tcPr>
            <w:tcW w:w="2160" w:type="dxa"/>
          </w:tcPr>
          <w:p w:rsidR="00156AF2" w:rsidRPr="00156AF2" w:rsidRDefault="00156AF2" w:rsidP="00156AF2">
            <w:pPr>
              <w:pStyle w:val="0"/>
              <w:ind w:leftChars="0" w:left="0"/>
              <w:jc w:val="center"/>
              <w:rPr>
                <w:sz w:val="24"/>
                <w:szCs w:val="24"/>
              </w:rPr>
            </w:pPr>
            <w:r>
              <w:rPr>
                <w:rFonts w:hint="eastAsia"/>
                <w:sz w:val="24"/>
                <w:szCs w:val="24"/>
              </w:rPr>
              <w:t>標案名稱</w:t>
            </w:r>
          </w:p>
        </w:tc>
        <w:tc>
          <w:tcPr>
            <w:tcW w:w="1134" w:type="dxa"/>
          </w:tcPr>
          <w:p w:rsidR="00156AF2" w:rsidRPr="00156AF2" w:rsidRDefault="00156AF2" w:rsidP="00156AF2">
            <w:pPr>
              <w:pStyle w:val="0"/>
              <w:ind w:leftChars="0" w:left="0"/>
              <w:jc w:val="center"/>
              <w:rPr>
                <w:sz w:val="24"/>
                <w:szCs w:val="24"/>
              </w:rPr>
            </w:pPr>
            <w:r>
              <w:rPr>
                <w:rFonts w:hint="eastAsia"/>
                <w:sz w:val="24"/>
                <w:szCs w:val="24"/>
              </w:rPr>
              <w:t>決標日期</w:t>
            </w:r>
          </w:p>
        </w:tc>
        <w:tc>
          <w:tcPr>
            <w:tcW w:w="1276" w:type="dxa"/>
          </w:tcPr>
          <w:p w:rsidR="00156AF2" w:rsidRPr="00156AF2" w:rsidRDefault="00156AF2" w:rsidP="00156AF2">
            <w:pPr>
              <w:pStyle w:val="0"/>
              <w:ind w:leftChars="0" w:left="0"/>
              <w:jc w:val="center"/>
              <w:rPr>
                <w:sz w:val="24"/>
                <w:szCs w:val="24"/>
              </w:rPr>
            </w:pPr>
            <w:r>
              <w:rPr>
                <w:rFonts w:hint="eastAsia"/>
                <w:sz w:val="24"/>
                <w:szCs w:val="24"/>
              </w:rPr>
              <w:t>預算金額</w:t>
            </w:r>
          </w:p>
        </w:tc>
        <w:tc>
          <w:tcPr>
            <w:tcW w:w="1134" w:type="dxa"/>
          </w:tcPr>
          <w:p w:rsidR="00156AF2" w:rsidRPr="00156AF2" w:rsidRDefault="00156AF2" w:rsidP="00156AF2">
            <w:pPr>
              <w:pStyle w:val="0"/>
              <w:ind w:leftChars="0" w:left="0"/>
              <w:jc w:val="center"/>
              <w:rPr>
                <w:sz w:val="24"/>
                <w:szCs w:val="24"/>
              </w:rPr>
            </w:pPr>
            <w:r>
              <w:rPr>
                <w:rFonts w:hint="eastAsia"/>
                <w:sz w:val="24"/>
                <w:szCs w:val="24"/>
              </w:rPr>
              <w:t>底價金額</w:t>
            </w:r>
          </w:p>
        </w:tc>
        <w:tc>
          <w:tcPr>
            <w:tcW w:w="1260" w:type="dxa"/>
          </w:tcPr>
          <w:p w:rsidR="00156AF2" w:rsidRPr="00156AF2" w:rsidRDefault="00156AF2" w:rsidP="00156AF2">
            <w:pPr>
              <w:pStyle w:val="0"/>
              <w:ind w:leftChars="0" w:left="0"/>
              <w:jc w:val="center"/>
              <w:rPr>
                <w:sz w:val="24"/>
                <w:szCs w:val="24"/>
              </w:rPr>
            </w:pPr>
            <w:r>
              <w:rPr>
                <w:rFonts w:hint="eastAsia"/>
                <w:sz w:val="24"/>
                <w:szCs w:val="24"/>
              </w:rPr>
              <w:t>決標金額</w:t>
            </w:r>
          </w:p>
        </w:tc>
        <w:tc>
          <w:tcPr>
            <w:tcW w:w="1210" w:type="dxa"/>
          </w:tcPr>
          <w:p w:rsidR="00156AF2" w:rsidRPr="00156AF2" w:rsidRDefault="00156AF2" w:rsidP="00156AF2">
            <w:pPr>
              <w:pStyle w:val="0"/>
              <w:ind w:leftChars="0" w:left="0"/>
              <w:jc w:val="center"/>
              <w:rPr>
                <w:sz w:val="24"/>
                <w:szCs w:val="24"/>
              </w:rPr>
            </w:pPr>
            <w:r>
              <w:rPr>
                <w:rFonts w:hint="eastAsia"/>
                <w:sz w:val="24"/>
                <w:szCs w:val="24"/>
              </w:rPr>
              <w:t>決標/底價</w:t>
            </w:r>
          </w:p>
        </w:tc>
      </w:tr>
      <w:tr w:rsidR="00156AF2" w:rsidRPr="00156AF2" w:rsidTr="00156AF2">
        <w:tc>
          <w:tcPr>
            <w:tcW w:w="2160" w:type="dxa"/>
            <w:vAlign w:val="center"/>
          </w:tcPr>
          <w:p w:rsidR="00156AF2" w:rsidRPr="00156AF2" w:rsidRDefault="00156AF2" w:rsidP="00156AF2">
            <w:pPr>
              <w:spacing w:line="300" w:lineRule="exact"/>
              <w:jc w:val="both"/>
              <w:rPr>
                <w:rFonts w:ascii="新細明體" w:eastAsia="新細明體" w:hAnsi="新細明體" w:cs="新細明體"/>
                <w:color w:val="000000"/>
                <w:spacing w:val="-20"/>
                <w:sz w:val="24"/>
                <w:szCs w:val="24"/>
              </w:rPr>
            </w:pPr>
            <w:r w:rsidRPr="00156AF2">
              <w:rPr>
                <w:rFonts w:hint="eastAsia"/>
                <w:color w:val="000000"/>
                <w:spacing w:val="-20"/>
                <w:sz w:val="24"/>
                <w:szCs w:val="24"/>
              </w:rPr>
              <w:t>太平溪</w:t>
            </w:r>
            <w:r w:rsidRPr="00156AF2">
              <w:rPr>
                <w:rFonts w:hint="eastAsia"/>
                <w:color w:val="000000"/>
                <w:spacing w:val="-20"/>
                <w:sz w:val="24"/>
                <w:szCs w:val="24"/>
              </w:rPr>
              <w:t>(</w:t>
            </w:r>
            <w:r w:rsidRPr="00156AF2">
              <w:rPr>
                <w:rFonts w:hint="eastAsia"/>
                <w:color w:val="000000"/>
                <w:spacing w:val="-20"/>
                <w:sz w:val="24"/>
                <w:szCs w:val="24"/>
              </w:rPr>
              <w:t>太平橋上下游</w:t>
            </w:r>
            <w:r w:rsidRPr="00156AF2">
              <w:rPr>
                <w:rFonts w:hint="eastAsia"/>
                <w:color w:val="000000"/>
                <w:spacing w:val="-20"/>
                <w:sz w:val="24"/>
                <w:szCs w:val="24"/>
              </w:rPr>
              <w:t>)</w:t>
            </w:r>
            <w:r w:rsidRPr="00156AF2">
              <w:rPr>
                <w:rFonts w:hint="eastAsia"/>
                <w:color w:val="000000"/>
                <w:spacing w:val="-20"/>
                <w:sz w:val="24"/>
                <w:szCs w:val="24"/>
              </w:rPr>
              <w:t>河川疏濬清淤工程</w:t>
            </w:r>
          </w:p>
        </w:tc>
        <w:tc>
          <w:tcPr>
            <w:tcW w:w="1134" w:type="dxa"/>
            <w:vAlign w:val="center"/>
          </w:tcPr>
          <w:p w:rsidR="00156AF2" w:rsidRPr="00156AF2" w:rsidRDefault="00156AF2" w:rsidP="00156AF2">
            <w:pPr>
              <w:jc w:val="center"/>
              <w:rPr>
                <w:rFonts w:ascii="新細明體" w:eastAsia="新細明體" w:hAnsi="新細明體" w:cs="新細明體"/>
                <w:color w:val="000000"/>
                <w:sz w:val="24"/>
                <w:szCs w:val="24"/>
              </w:rPr>
            </w:pPr>
            <w:r w:rsidRPr="00156AF2">
              <w:rPr>
                <w:rFonts w:hint="eastAsia"/>
                <w:color w:val="000000"/>
                <w:sz w:val="24"/>
                <w:szCs w:val="24"/>
              </w:rPr>
              <w:t>100.5.10</w:t>
            </w:r>
          </w:p>
        </w:tc>
        <w:tc>
          <w:tcPr>
            <w:tcW w:w="1276" w:type="dxa"/>
            <w:vAlign w:val="center"/>
          </w:tcPr>
          <w:p w:rsidR="00156AF2" w:rsidRPr="00156AF2" w:rsidRDefault="00156AF2" w:rsidP="00156AF2">
            <w:pPr>
              <w:jc w:val="center"/>
              <w:rPr>
                <w:rFonts w:ascii="新細明體" w:eastAsia="新細明體" w:hAnsi="新細明體" w:cs="新細明體"/>
                <w:color w:val="000000"/>
                <w:sz w:val="24"/>
                <w:szCs w:val="24"/>
              </w:rPr>
            </w:pPr>
            <w:r w:rsidRPr="00156AF2">
              <w:rPr>
                <w:rFonts w:hint="eastAsia"/>
                <w:color w:val="000000"/>
                <w:sz w:val="24"/>
                <w:szCs w:val="24"/>
              </w:rPr>
              <w:t>4,064,000</w:t>
            </w:r>
          </w:p>
        </w:tc>
        <w:tc>
          <w:tcPr>
            <w:tcW w:w="1134" w:type="dxa"/>
            <w:vAlign w:val="center"/>
          </w:tcPr>
          <w:p w:rsidR="00156AF2" w:rsidRPr="00156AF2" w:rsidRDefault="00156AF2" w:rsidP="00156AF2">
            <w:pPr>
              <w:jc w:val="center"/>
              <w:rPr>
                <w:rFonts w:ascii="新細明體" w:eastAsia="新細明體" w:hAnsi="新細明體" w:cs="新細明體"/>
                <w:color w:val="000000"/>
                <w:sz w:val="24"/>
                <w:szCs w:val="24"/>
              </w:rPr>
            </w:pPr>
            <w:r w:rsidRPr="00156AF2">
              <w:rPr>
                <w:rFonts w:hint="eastAsia"/>
                <w:color w:val="000000"/>
                <w:sz w:val="24"/>
                <w:szCs w:val="24"/>
              </w:rPr>
              <w:t>3,460,000</w:t>
            </w:r>
          </w:p>
        </w:tc>
        <w:tc>
          <w:tcPr>
            <w:tcW w:w="1260" w:type="dxa"/>
            <w:vAlign w:val="center"/>
          </w:tcPr>
          <w:p w:rsidR="00156AF2" w:rsidRPr="00156AF2" w:rsidRDefault="00156AF2" w:rsidP="00156AF2">
            <w:pPr>
              <w:jc w:val="center"/>
              <w:rPr>
                <w:rFonts w:ascii="新細明體" w:eastAsia="新細明體" w:hAnsi="新細明體" w:cs="新細明體"/>
                <w:color w:val="000000"/>
                <w:sz w:val="24"/>
                <w:szCs w:val="24"/>
              </w:rPr>
            </w:pPr>
            <w:r w:rsidRPr="00156AF2">
              <w:rPr>
                <w:rFonts w:hint="eastAsia"/>
                <w:color w:val="000000"/>
                <w:sz w:val="24"/>
                <w:szCs w:val="24"/>
              </w:rPr>
              <w:t>2,850,000</w:t>
            </w:r>
          </w:p>
        </w:tc>
        <w:tc>
          <w:tcPr>
            <w:tcW w:w="1210" w:type="dxa"/>
            <w:vAlign w:val="center"/>
          </w:tcPr>
          <w:p w:rsidR="00156AF2" w:rsidRPr="00156AF2" w:rsidRDefault="00156AF2" w:rsidP="00156AF2">
            <w:pPr>
              <w:jc w:val="center"/>
              <w:rPr>
                <w:rFonts w:ascii="新細明體" w:eastAsia="新細明體" w:hAnsi="新細明體" w:cs="新細明體"/>
                <w:color w:val="000000"/>
                <w:sz w:val="24"/>
                <w:szCs w:val="24"/>
              </w:rPr>
            </w:pPr>
            <w:r w:rsidRPr="00156AF2">
              <w:rPr>
                <w:rFonts w:hint="eastAsia"/>
                <w:color w:val="000000"/>
                <w:sz w:val="24"/>
                <w:szCs w:val="24"/>
              </w:rPr>
              <w:t>82.37%</w:t>
            </w:r>
          </w:p>
        </w:tc>
      </w:tr>
      <w:tr w:rsidR="00156AF2" w:rsidRPr="00156AF2" w:rsidTr="00156AF2">
        <w:tc>
          <w:tcPr>
            <w:tcW w:w="2160" w:type="dxa"/>
            <w:vAlign w:val="center"/>
          </w:tcPr>
          <w:p w:rsidR="00156AF2" w:rsidRPr="00156AF2" w:rsidRDefault="00156AF2" w:rsidP="00156AF2">
            <w:pPr>
              <w:spacing w:line="300" w:lineRule="exact"/>
              <w:jc w:val="both"/>
              <w:rPr>
                <w:rFonts w:ascii="新細明體" w:eastAsia="新細明體" w:hAnsi="新細明體" w:cs="新細明體"/>
                <w:color w:val="000000"/>
                <w:spacing w:val="-20"/>
                <w:sz w:val="24"/>
                <w:szCs w:val="24"/>
              </w:rPr>
            </w:pPr>
            <w:r w:rsidRPr="00156AF2">
              <w:rPr>
                <w:rFonts w:hint="eastAsia"/>
                <w:color w:val="000000"/>
                <w:spacing w:val="-20"/>
                <w:sz w:val="24"/>
                <w:szCs w:val="24"/>
              </w:rPr>
              <w:t>太平溪利嘉溪河道整理及週邊設施改善工程</w:t>
            </w:r>
          </w:p>
        </w:tc>
        <w:tc>
          <w:tcPr>
            <w:tcW w:w="1134" w:type="dxa"/>
            <w:vAlign w:val="center"/>
          </w:tcPr>
          <w:p w:rsidR="00156AF2" w:rsidRPr="00156AF2" w:rsidRDefault="00156AF2" w:rsidP="00156AF2">
            <w:pPr>
              <w:jc w:val="center"/>
              <w:rPr>
                <w:rFonts w:ascii="新細明體" w:eastAsia="新細明體" w:hAnsi="新細明體" w:cs="新細明體"/>
                <w:color w:val="000000"/>
                <w:sz w:val="24"/>
                <w:szCs w:val="24"/>
              </w:rPr>
            </w:pPr>
            <w:r w:rsidRPr="00156AF2">
              <w:rPr>
                <w:rFonts w:hint="eastAsia"/>
                <w:color w:val="000000"/>
                <w:sz w:val="24"/>
                <w:szCs w:val="24"/>
              </w:rPr>
              <w:t>102.1.8</w:t>
            </w:r>
          </w:p>
        </w:tc>
        <w:tc>
          <w:tcPr>
            <w:tcW w:w="1276" w:type="dxa"/>
            <w:vAlign w:val="center"/>
          </w:tcPr>
          <w:p w:rsidR="00156AF2" w:rsidRPr="00156AF2" w:rsidRDefault="00156AF2" w:rsidP="00156AF2">
            <w:pPr>
              <w:jc w:val="center"/>
              <w:rPr>
                <w:rFonts w:ascii="新細明體" w:eastAsia="新細明體" w:hAnsi="新細明體" w:cs="新細明體"/>
                <w:color w:val="000000"/>
                <w:sz w:val="24"/>
                <w:szCs w:val="24"/>
              </w:rPr>
            </w:pPr>
            <w:r w:rsidRPr="00156AF2">
              <w:rPr>
                <w:rFonts w:hint="eastAsia"/>
                <w:color w:val="000000"/>
                <w:sz w:val="24"/>
                <w:szCs w:val="24"/>
              </w:rPr>
              <w:t>8,096,792</w:t>
            </w:r>
          </w:p>
        </w:tc>
        <w:tc>
          <w:tcPr>
            <w:tcW w:w="1134" w:type="dxa"/>
            <w:vAlign w:val="center"/>
          </w:tcPr>
          <w:p w:rsidR="00156AF2" w:rsidRPr="00156AF2" w:rsidRDefault="00156AF2" w:rsidP="00156AF2">
            <w:pPr>
              <w:jc w:val="center"/>
              <w:rPr>
                <w:rFonts w:ascii="新細明體" w:eastAsia="新細明體" w:hAnsi="新細明體" w:cs="新細明體"/>
                <w:color w:val="000000"/>
                <w:sz w:val="24"/>
                <w:szCs w:val="24"/>
              </w:rPr>
            </w:pPr>
            <w:r w:rsidRPr="00156AF2">
              <w:rPr>
                <w:rFonts w:hint="eastAsia"/>
                <w:color w:val="000000"/>
                <w:sz w:val="24"/>
                <w:szCs w:val="24"/>
              </w:rPr>
              <w:t>7,494,000</w:t>
            </w:r>
          </w:p>
        </w:tc>
        <w:tc>
          <w:tcPr>
            <w:tcW w:w="1260" w:type="dxa"/>
            <w:vAlign w:val="center"/>
          </w:tcPr>
          <w:p w:rsidR="00156AF2" w:rsidRPr="00156AF2" w:rsidRDefault="00156AF2" w:rsidP="00156AF2">
            <w:pPr>
              <w:jc w:val="center"/>
              <w:rPr>
                <w:rFonts w:ascii="新細明體" w:eastAsia="新細明體" w:hAnsi="新細明體" w:cs="新細明體"/>
                <w:color w:val="000000"/>
                <w:sz w:val="24"/>
                <w:szCs w:val="24"/>
              </w:rPr>
            </w:pPr>
            <w:r w:rsidRPr="00156AF2">
              <w:rPr>
                <w:rFonts w:hint="eastAsia"/>
                <w:color w:val="000000"/>
                <w:sz w:val="24"/>
                <w:szCs w:val="24"/>
              </w:rPr>
              <w:t>5,300,000</w:t>
            </w:r>
          </w:p>
        </w:tc>
        <w:tc>
          <w:tcPr>
            <w:tcW w:w="1210" w:type="dxa"/>
            <w:vAlign w:val="center"/>
          </w:tcPr>
          <w:p w:rsidR="00156AF2" w:rsidRPr="00156AF2" w:rsidRDefault="00156AF2" w:rsidP="00156AF2">
            <w:pPr>
              <w:jc w:val="center"/>
              <w:rPr>
                <w:rFonts w:ascii="新細明體" w:eastAsia="新細明體" w:hAnsi="新細明體" w:cs="新細明體"/>
                <w:color w:val="000000"/>
                <w:sz w:val="24"/>
                <w:szCs w:val="24"/>
              </w:rPr>
            </w:pPr>
            <w:r w:rsidRPr="00156AF2">
              <w:rPr>
                <w:rFonts w:hint="eastAsia"/>
                <w:color w:val="000000"/>
                <w:sz w:val="24"/>
                <w:szCs w:val="24"/>
              </w:rPr>
              <w:t>70.72%</w:t>
            </w:r>
          </w:p>
        </w:tc>
      </w:tr>
      <w:tr w:rsidR="00156AF2" w:rsidRPr="00156AF2" w:rsidTr="00156AF2">
        <w:tc>
          <w:tcPr>
            <w:tcW w:w="2160" w:type="dxa"/>
            <w:vAlign w:val="center"/>
          </w:tcPr>
          <w:p w:rsidR="00156AF2" w:rsidRPr="00156AF2" w:rsidRDefault="00156AF2" w:rsidP="00156AF2">
            <w:pPr>
              <w:spacing w:line="300" w:lineRule="exact"/>
              <w:jc w:val="both"/>
              <w:rPr>
                <w:rFonts w:ascii="新細明體" w:eastAsia="新細明體" w:hAnsi="新細明體" w:cs="新細明體"/>
                <w:color w:val="000000"/>
                <w:spacing w:val="-20"/>
                <w:sz w:val="24"/>
                <w:szCs w:val="24"/>
              </w:rPr>
            </w:pPr>
            <w:r w:rsidRPr="00156AF2">
              <w:rPr>
                <w:rFonts w:hint="eastAsia"/>
                <w:color w:val="000000"/>
                <w:spacing w:val="-20"/>
                <w:sz w:val="24"/>
                <w:szCs w:val="24"/>
              </w:rPr>
              <w:t>太平溪及周邊排水緊急清疏工程</w:t>
            </w:r>
          </w:p>
        </w:tc>
        <w:tc>
          <w:tcPr>
            <w:tcW w:w="1134" w:type="dxa"/>
            <w:vAlign w:val="center"/>
          </w:tcPr>
          <w:p w:rsidR="00156AF2" w:rsidRPr="00156AF2" w:rsidRDefault="00156AF2" w:rsidP="00156AF2">
            <w:pPr>
              <w:jc w:val="center"/>
              <w:rPr>
                <w:rFonts w:ascii="新細明體" w:eastAsia="新細明體" w:hAnsi="新細明體" w:cs="新細明體"/>
                <w:color w:val="000000"/>
                <w:sz w:val="24"/>
                <w:szCs w:val="24"/>
              </w:rPr>
            </w:pPr>
            <w:r w:rsidRPr="00156AF2">
              <w:rPr>
                <w:rFonts w:hint="eastAsia"/>
                <w:color w:val="000000"/>
                <w:sz w:val="24"/>
                <w:szCs w:val="24"/>
              </w:rPr>
              <w:t>102.5.16</w:t>
            </w:r>
          </w:p>
        </w:tc>
        <w:tc>
          <w:tcPr>
            <w:tcW w:w="1276" w:type="dxa"/>
            <w:vAlign w:val="center"/>
          </w:tcPr>
          <w:p w:rsidR="00156AF2" w:rsidRPr="00156AF2" w:rsidRDefault="00156AF2" w:rsidP="00156AF2">
            <w:pPr>
              <w:jc w:val="center"/>
              <w:rPr>
                <w:rFonts w:ascii="新細明體" w:eastAsia="新細明體" w:hAnsi="新細明體" w:cs="新細明體"/>
                <w:color w:val="000000"/>
                <w:sz w:val="24"/>
                <w:szCs w:val="24"/>
              </w:rPr>
            </w:pPr>
            <w:r w:rsidRPr="00156AF2">
              <w:rPr>
                <w:rFonts w:hint="eastAsia"/>
                <w:color w:val="000000"/>
                <w:sz w:val="24"/>
                <w:szCs w:val="24"/>
              </w:rPr>
              <w:t>3,649,479</w:t>
            </w:r>
          </w:p>
        </w:tc>
        <w:tc>
          <w:tcPr>
            <w:tcW w:w="1134" w:type="dxa"/>
            <w:vAlign w:val="center"/>
          </w:tcPr>
          <w:p w:rsidR="00156AF2" w:rsidRPr="00156AF2" w:rsidRDefault="00156AF2" w:rsidP="00156AF2">
            <w:pPr>
              <w:jc w:val="center"/>
              <w:rPr>
                <w:rFonts w:ascii="新細明體" w:eastAsia="新細明體" w:hAnsi="新細明體" w:cs="新細明體"/>
                <w:color w:val="000000"/>
                <w:sz w:val="24"/>
                <w:szCs w:val="24"/>
              </w:rPr>
            </w:pPr>
            <w:r w:rsidRPr="00156AF2">
              <w:rPr>
                <w:rFonts w:hint="eastAsia"/>
                <w:color w:val="000000"/>
                <w:sz w:val="24"/>
                <w:szCs w:val="24"/>
              </w:rPr>
              <w:t>3,598,000</w:t>
            </w:r>
          </w:p>
        </w:tc>
        <w:tc>
          <w:tcPr>
            <w:tcW w:w="1260" w:type="dxa"/>
            <w:vAlign w:val="center"/>
          </w:tcPr>
          <w:p w:rsidR="00156AF2" w:rsidRPr="00156AF2" w:rsidRDefault="00156AF2" w:rsidP="00156AF2">
            <w:pPr>
              <w:jc w:val="center"/>
              <w:rPr>
                <w:rFonts w:ascii="新細明體" w:eastAsia="新細明體" w:hAnsi="新細明體" w:cs="新細明體"/>
                <w:color w:val="000000"/>
                <w:sz w:val="24"/>
                <w:szCs w:val="24"/>
              </w:rPr>
            </w:pPr>
            <w:r w:rsidRPr="00156AF2">
              <w:rPr>
                <w:rFonts w:hint="eastAsia"/>
                <w:color w:val="000000"/>
                <w:sz w:val="24"/>
                <w:szCs w:val="24"/>
              </w:rPr>
              <w:t>2,180,000</w:t>
            </w:r>
          </w:p>
        </w:tc>
        <w:tc>
          <w:tcPr>
            <w:tcW w:w="1210" w:type="dxa"/>
            <w:vAlign w:val="center"/>
          </w:tcPr>
          <w:p w:rsidR="00156AF2" w:rsidRPr="00156AF2" w:rsidRDefault="00156AF2" w:rsidP="00156AF2">
            <w:pPr>
              <w:jc w:val="center"/>
              <w:rPr>
                <w:rFonts w:ascii="新細明體" w:eastAsia="新細明體" w:hAnsi="新細明體" w:cs="新細明體"/>
                <w:color w:val="000000"/>
                <w:sz w:val="24"/>
                <w:szCs w:val="24"/>
              </w:rPr>
            </w:pPr>
            <w:r w:rsidRPr="00156AF2">
              <w:rPr>
                <w:rFonts w:hint="eastAsia"/>
                <w:color w:val="000000"/>
                <w:sz w:val="24"/>
                <w:szCs w:val="24"/>
              </w:rPr>
              <w:t>60.59%</w:t>
            </w:r>
          </w:p>
        </w:tc>
      </w:tr>
      <w:tr w:rsidR="00156AF2" w:rsidRPr="00156AF2" w:rsidTr="00156AF2">
        <w:tc>
          <w:tcPr>
            <w:tcW w:w="2160" w:type="dxa"/>
            <w:vAlign w:val="center"/>
          </w:tcPr>
          <w:p w:rsidR="00156AF2" w:rsidRPr="00156AF2" w:rsidRDefault="00156AF2" w:rsidP="00156AF2">
            <w:pPr>
              <w:spacing w:line="300" w:lineRule="exact"/>
              <w:jc w:val="both"/>
              <w:rPr>
                <w:rFonts w:ascii="新細明體" w:eastAsia="新細明體" w:hAnsi="新細明體" w:cs="新細明體"/>
                <w:color w:val="000000"/>
                <w:spacing w:val="-20"/>
                <w:sz w:val="24"/>
                <w:szCs w:val="24"/>
              </w:rPr>
            </w:pPr>
            <w:r w:rsidRPr="00156AF2">
              <w:rPr>
                <w:rFonts w:hint="eastAsia"/>
                <w:color w:val="000000"/>
                <w:spacing w:val="-20"/>
                <w:sz w:val="24"/>
                <w:szCs w:val="24"/>
              </w:rPr>
              <w:t>太平溪馬蘭橋至日光橋河道整理工程</w:t>
            </w:r>
            <w:r w:rsidRPr="00156AF2">
              <w:rPr>
                <w:rFonts w:hint="eastAsia"/>
                <w:color w:val="000000"/>
                <w:spacing w:val="-20"/>
                <w:sz w:val="24"/>
                <w:szCs w:val="24"/>
              </w:rPr>
              <w:t xml:space="preserve"> </w:t>
            </w:r>
          </w:p>
        </w:tc>
        <w:tc>
          <w:tcPr>
            <w:tcW w:w="1134" w:type="dxa"/>
            <w:vAlign w:val="center"/>
          </w:tcPr>
          <w:p w:rsidR="00156AF2" w:rsidRPr="00156AF2" w:rsidRDefault="00156AF2" w:rsidP="00156AF2">
            <w:pPr>
              <w:jc w:val="center"/>
              <w:rPr>
                <w:rFonts w:ascii="新細明體" w:eastAsia="新細明體" w:hAnsi="新細明體" w:cs="新細明體"/>
                <w:color w:val="000000"/>
                <w:sz w:val="24"/>
                <w:szCs w:val="24"/>
              </w:rPr>
            </w:pPr>
            <w:r w:rsidRPr="00156AF2">
              <w:rPr>
                <w:rFonts w:hint="eastAsia"/>
                <w:color w:val="000000"/>
                <w:sz w:val="24"/>
                <w:szCs w:val="24"/>
              </w:rPr>
              <w:t>102.12.17</w:t>
            </w:r>
          </w:p>
        </w:tc>
        <w:tc>
          <w:tcPr>
            <w:tcW w:w="1276" w:type="dxa"/>
            <w:vAlign w:val="center"/>
          </w:tcPr>
          <w:p w:rsidR="00156AF2" w:rsidRPr="00156AF2" w:rsidRDefault="00156AF2" w:rsidP="00156AF2">
            <w:pPr>
              <w:jc w:val="center"/>
              <w:rPr>
                <w:rFonts w:ascii="新細明體" w:eastAsia="新細明體" w:hAnsi="新細明體" w:cs="新細明體"/>
                <w:color w:val="000000"/>
                <w:sz w:val="24"/>
                <w:szCs w:val="24"/>
              </w:rPr>
            </w:pPr>
            <w:r w:rsidRPr="00156AF2">
              <w:rPr>
                <w:rFonts w:hint="eastAsia"/>
                <w:color w:val="000000"/>
                <w:sz w:val="24"/>
                <w:szCs w:val="24"/>
              </w:rPr>
              <w:t>3,756,000</w:t>
            </w:r>
          </w:p>
        </w:tc>
        <w:tc>
          <w:tcPr>
            <w:tcW w:w="1134" w:type="dxa"/>
            <w:vAlign w:val="center"/>
          </w:tcPr>
          <w:p w:rsidR="00156AF2" w:rsidRPr="00156AF2" w:rsidRDefault="00156AF2" w:rsidP="00156AF2">
            <w:pPr>
              <w:jc w:val="center"/>
              <w:rPr>
                <w:rFonts w:ascii="新細明體" w:eastAsia="新細明體" w:hAnsi="新細明體" w:cs="新細明體"/>
                <w:color w:val="000000"/>
                <w:sz w:val="24"/>
                <w:szCs w:val="24"/>
              </w:rPr>
            </w:pPr>
            <w:r w:rsidRPr="00156AF2">
              <w:rPr>
                <w:rFonts w:hint="eastAsia"/>
                <w:color w:val="000000"/>
                <w:sz w:val="24"/>
                <w:szCs w:val="24"/>
              </w:rPr>
              <w:t>3,520,000</w:t>
            </w:r>
          </w:p>
        </w:tc>
        <w:tc>
          <w:tcPr>
            <w:tcW w:w="1260" w:type="dxa"/>
            <w:vAlign w:val="center"/>
          </w:tcPr>
          <w:p w:rsidR="00156AF2" w:rsidRPr="00156AF2" w:rsidRDefault="00156AF2" w:rsidP="00156AF2">
            <w:pPr>
              <w:jc w:val="center"/>
              <w:rPr>
                <w:rFonts w:ascii="新細明體" w:eastAsia="新細明體" w:hAnsi="新細明體" w:cs="新細明體"/>
                <w:color w:val="000000"/>
                <w:sz w:val="24"/>
                <w:szCs w:val="24"/>
              </w:rPr>
            </w:pPr>
            <w:r w:rsidRPr="00156AF2">
              <w:rPr>
                <w:rFonts w:hint="eastAsia"/>
                <w:color w:val="000000"/>
                <w:sz w:val="24"/>
                <w:szCs w:val="24"/>
              </w:rPr>
              <w:t>2,150,000</w:t>
            </w:r>
          </w:p>
        </w:tc>
        <w:tc>
          <w:tcPr>
            <w:tcW w:w="1210" w:type="dxa"/>
            <w:vAlign w:val="center"/>
          </w:tcPr>
          <w:p w:rsidR="00156AF2" w:rsidRPr="00156AF2" w:rsidRDefault="00156AF2" w:rsidP="00156AF2">
            <w:pPr>
              <w:jc w:val="center"/>
              <w:rPr>
                <w:rFonts w:ascii="新細明體" w:eastAsia="新細明體" w:hAnsi="新細明體" w:cs="新細明體"/>
                <w:color w:val="000000"/>
                <w:sz w:val="24"/>
                <w:szCs w:val="24"/>
              </w:rPr>
            </w:pPr>
            <w:r w:rsidRPr="00156AF2">
              <w:rPr>
                <w:rFonts w:hint="eastAsia"/>
                <w:color w:val="000000"/>
                <w:sz w:val="24"/>
                <w:szCs w:val="24"/>
              </w:rPr>
              <w:t>61.08%</w:t>
            </w:r>
          </w:p>
        </w:tc>
      </w:tr>
      <w:tr w:rsidR="00156AF2" w:rsidRPr="00156AF2" w:rsidTr="00156AF2">
        <w:tc>
          <w:tcPr>
            <w:tcW w:w="2160" w:type="dxa"/>
            <w:vAlign w:val="center"/>
          </w:tcPr>
          <w:p w:rsidR="00156AF2" w:rsidRPr="00156AF2" w:rsidRDefault="00156AF2" w:rsidP="00156AF2">
            <w:pPr>
              <w:spacing w:line="300" w:lineRule="exact"/>
              <w:jc w:val="both"/>
              <w:rPr>
                <w:rFonts w:ascii="新細明體" w:eastAsia="新細明體" w:hAnsi="新細明體" w:cs="新細明體"/>
                <w:color w:val="000000"/>
                <w:spacing w:val="-20"/>
                <w:sz w:val="24"/>
                <w:szCs w:val="24"/>
              </w:rPr>
            </w:pPr>
            <w:r w:rsidRPr="00156AF2">
              <w:rPr>
                <w:rFonts w:hint="eastAsia"/>
                <w:color w:val="000000"/>
                <w:spacing w:val="-20"/>
                <w:sz w:val="24"/>
                <w:szCs w:val="24"/>
              </w:rPr>
              <w:t>太平溪</w:t>
            </w:r>
            <w:r w:rsidRPr="00156AF2">
              <w:rPr>
                <w:rFonts w:hint="eastAsia"/>
                <w:color w:val="000000"/>
                <w:spacing w:val="-20"/>
                <w:sz w:val="24"/>
                <w:szCs w:val="24"/>
              </w:rPr>
              <w:t>(</w:t>
            </w:r>
            <w:r w:rsidRPr="00156AF2">
              <w:rPr>
                <w:rFonts w:hint="eastAsia"/>
                <w:color w:val="000000"/>
                <w:spacing w:val="-20"/>
                <w:sz w:val="24"/>
                <w:szCs w:val="24"/>
              </w:rPr>
              <w:t>太平橋上下游</w:t>
            </w:r>
            <w:r w:rsidRPr="00156AF2">
              <w:rPr>
                <w:rFonts w:hint="eastAsia"/>
                <w:color w:val="000000"/>
                <w:spacing w:val="-20"/>
                <w:sz w:val="24"/>
                <w:szCs w:val="24"/>
              </w:rPr>
              <w:t>)</w:t>
            </w:r>
            <w:r w:rsidRPr="00156AF2">
              <w:rPr>
                <w:rFonts w:hint="eastAsia"/>
                <w:color w:val="000000"/>
                <w:spacing w:val="-20"/>
                <w:sz w:val="24"/>
                <w:szCs w:val="24"/>
              </w:rPr>
              <w:t>河川疏濬清淤工程</w:t>
            </w:r>
          </w:p>
        </w:tc>
        <w:tc>
          <w:tcPr>
            <w:tcW w:w="1134" w:type="dxa"/>
            <w:vAlign w:val="center"/>
          </w:tcPr>
          <w:p w:rsidR="00156AF2" w:rsidRPr="00156AF2" w:rsidRDefault="00156AF2" w:rsidP="00156AF2">
            <w:pPr>
              <w:jc w:val="center"/>
              <w:rPr>
                <w:rFonts w:ascii="新細明體" w:eastAsia="新細明體" w:hAnsi="新細明體" w:cs="新細明體"/>
                <w:color w:val="000000"/>
                <w:sz w:val="24"/>
                <w:szCs w:val="24"/>
              </w:rPr>
            </w:pPr>
            <w:r w:rsidRPr="00156AF2">
              <w:rPr>
                <w:rFonts w:hint="eastAsia"/>
                <w:color w:val="000000"/>
                <w:sz w:val="24"/>
                <w:szCs w:val="24"/>
              </w:rPr>
              <w:t>103.3.12</w:t>
            </w:r>
          </w:p>
        </w:tc>
        <w:tc>
          <w:tcPr>
            <w:tcW w:w="1276" w:type="dxa"/>
            <w:vAlign w:val="center"/>
          </w:tcPr>
          <w:p w:rsidR="00156AF2" w:rsidRPr="00156AF2" w:rsidRDefault="00156AF2" w:rsidP="00156AF2">
            <w:pPr>
              <w:jc w:val="center"/>
              <w:rPr>
                <w:rFonts w:ascii="新細明體" w:eastAsia="新細明體" w:hAnsi="新細明體" w:cs="新細明體"/>
                <w:color w:val="000000"/>
                <w:sz w:val="24"/>
                <w:szCs w:val="24"/>
              </w:rPr>
            </w:pPr>
            <w:r w:rsidRPr="00156AF2">
              <w:rPr>
                <w:rFonts w:hint="eastAsia"/>
                <w:color w:val="000000"/>
                <w:sz w:val="24"/>
                <w:szCs w:val="24"/>
              </w:rPr>
              <w:t>8,722,000</w:t>
            </w:r>
          </w:p>
        </w:tc>
        <w:tc>
          <w:tcPr>
            <w:tcW w:w="1134" w:type="dxa"/>
            <w:vAlign w:val="center"/>
          </w:tcPr>
          <w:p w:rsidR="00156AF2" w:rsidRPr="00156AF2" w:rsidRDefault="00156AF2" w:rsidP="00156AF2">
            <w:pPr>
              <w:jc w:val="center"/>
              <w:rPr>
                <w:rFonts w:ascii="新細明體" w:eastAsia="新細明體" w:hAnsi="新細明體" w:cs="新細明體"/>
                <w:color w:val="000000"/>
                <w:sz w:val="24"/>
                <w:szCs w:val="24"/>
              </w:rPr>
            </w:pPr>
            <w:r w:rsidRPr="00156AF2">
              <w:rPr>
                <w:rFonts w:hint="eastAsia"/>
                <w:color w:val="000000"/>
                <w:sz w:val="24"/>
                <w:szCs w:val="24"/>
              </w:rPr>
              <w:t>7,990,000</w:t>
            </w:r>
          </w:p>
        </w:tc>
        <w:tc>
          <w:tcPr>
            <w:tcW w:w="1260" w:type="dxa"/>
            <w:vAlign w:val="center"/>
          </w:tcPr>
          <w:p w:rsidR="00156AF2" w:rsidRPr="00156AF2" w:rsidRDefault="00156AF2" w:rsidP="00156AF2">
            <w:pPr>
              <w:jc w:val="center"/>
              <w:rPr>
                <w:rFonts w:ascii="新細明體" w:eastAsia="新細明體" w:hAnsi="新細明體" w:cs="新細明體"/>
                <w:color w:val="000000"/>
                <w:sz w:val="24"/>
                <w:szCs w:val="24"/>
              </w:rPr>
            </w:pPr>
            <w:r w:rsidRPr="00156AF2">
              <w:rPr>
                <w:rFonts w:hint="eastAsia"/>
                <w:color w:val="000000"/>
                <w:sz w:val="24"/>
                <w:szCs w:val="24"/>
              </w:rPr>
              <w:t>4,470,000</w:t>
            </w:r>
          </w:p>
        </w:tc>
        <w:tc>
          <w:tcPr>
            <w:tcW w:w="1210" w:type="dxa"/>
            <w:vAlign w:val="center"/>
          </w:tcPr>
          <w:p w:rsidR="00156AF2" w:rsidRPr="00156AF2" w:rsidRDefault="00156AF2" w:rsidP="00156AF2">
            <w:pPr>
              <w:jc w:val="center"/>
              <w:rPr>
                <w:rFonts w:ascii="新細明體" w:eastAsia="新細明體" w:hAnsi="新細明體" w:cs="新細明體"/>
                <w:color w:val="000000"/>
                <w:sz w:val="24"/>
                <w:szCs w:val="24"/>
              </w:rPr>
            </w:pPr>
            <w:r w:rsidRPr="00156AF2">
              <w:rPr>
                <w:rFonts w:hint="eastAsia"/>
                <w:color w:val="000000"/>
                <w:sz w:val="24"/>
                <w:szCs w:val="24"/>
              </w:rPr>
              <w:t>55.94%</w:t>
            </w:r>
          </w:p>
        </w:tc>
      </w:tr>
      <w:tr w:rsidR="00156AF2" w:rsidRPr="00156AF2" w:rsidTr="00156AF2">
        <w:tc>
          <w:tcPr>
            <w:tcW w:w="2160" w:type="dxa"/>
            <w:vAlign w:val="center"/>
          </w:tcPr>
          <w:p w:rsidR="00156AF2" w:rsidRPr="00156AF2" w:rsidRDefault="00156AF2" w:rsidP="00156AF2">
            <w:pPr>
              <w:spacing w:line="300" w:lineRule="exact"/>
              <w:jc w:val="both"/>
              <w:rPr>
                <w:rFonts w:ascii="新細明體" w:eastAsia="新細明體" w:hAnsi="新細明體" w:cs="新細明體"/>
                <w:color w:val="000000"/>
                <w:spacing w:val="-20"/>
                <w:sz w:val="24"/>
                <w:szCs w:val="24"/>
              </w:rPr>
            </w:pPr>
            <w:r w:rsidRPr="00156AF2">
              <w:rPr>
                <w:rFonts w:hint="eastAsia"/>
                <w:color w:val="000000"/>
                <w:spacing w:val="-20"/>
                <w:sz w:val="24"/>
                <w:szCs w:val="24"/>
              </w:rPr>
              <w:t>太平溪</w:t>
            </w:r>
            <w:r w:rsidRPr="00156AF2">
              <w:rPr>
                <w:rFonts w:hint="eastAsia"/>
                <w:color w:val="000000"/>
                <w:spacing w:val="-20"/>
                <w:sz w:val="24"/>
                <w:szCs w:val="24"/>
              </w:rPr>
              <w:t>(</w:t>
            </w:r>
            <w:r w:rsidRPr="00156AF2">
              <w:rPr>
                <w:rFonts w:hint="eastAsia"/>
                <w:color w:val="000000"/>
                <w:spacing w:val="-20"/>
                <w:sz w:val="24"/>
                <w:szCs w:val="24"/>
              </w:rPr>
              <w:t>太平橋上下游</w:t>
            </w:r>
            <w:r w:rsidRPr="00156AF2">
              <w:rPr>
                <w:rFonts w:hint="eastAsia"/>
                <w:color w:val="000000"/>
                <w:spacing w:val="-20"/>
                <w:sz w:val="24"/>
                <w:szCs w:val="24"/>
              </w:rPr>
              <w:t>)</w:t>
            </w:r>
            <w:r w:rsidRPr="00156AF2">
              <w:rPr>
                <w:rFonts w:hint="eastAsia"/>
                <w:color w:val="000000"/>
                <w:spacing w:val="-20"/>
                <w:sz w:val="24"/>
                <w:szCs w:val="24"/>
              </w:rPr>
              <w:t>河川疏濬清淤第二期工程</w:t>
            </w:r>
          </w:p>
        </w:tc>
        <w:tc>
          <w:tcPr>
            <w:tcW w:w="1134" w:type="dxa"/>
            <w:vAlign w:val="center"/>
          </w:tcPr>
          <w:p w:rsidR="00156AF2" w:rsidRPr="00156AF2" w:rsidRDefault="00156AF2" w:rsidP="00156AF2">
            <w:pPr>
              <w:jc w:val="center"/>
              <w:rPr>
                <w:rFonts w:ascii="新細明體" w:eastAsia="新細明體" w:hAnsi="新細明體" w:cs="新細明體"/>
                <w:color w:val="000000"/>
                <w:sz w:val="24"/>
                <w:szCs w:val="24"/>
              </w:rPr>
            </w:pPr>
            <w:r w:rsidRPr="00156AF2">
              <w:rPr>
                <w:rFonts w:hint="eastAsia"/>
                <w:color w:val="000000"/>
                <w:sz w:val="24"/>
                <w:szCs w:val="24"/>
              </w:rPr>
              <w:t>103.9.5</w:t>
            </w:r>
          </w:p>
        </w:tc>
        <w:tc>
          <w:tcPr>
            <w:tcW w:w="1276" w:type="dxa"/>
            <w:vAlign w:val="center"/>
          </w:tcPr>
          <w:p w:rsidR="00156AF2" w:rsidRPr="00156AF2" w:rsidRDefault="00156AF2" w:rsidP="00156AF2">
            <w:pPr>
              <w:jc w:val="center"/>
              <w:rPr>
                <w:rFonts w:ascii="新細明體" w:eastAsia="新細明體" w:hAnsi="新細明體" w:cs="新細明體"/>
                <w:color w:val="000000"/>
                <w:sz w:val="24"/>
                <w:szCs w:val="24"/>
              </w:rPr>
            </w:pPr>
            <w:r w:rsidRPr="00156AF2">
              <w:rPr>
                <w:rFonts w:hint="eastAsia"/>
                <w:color w:val="000000"/>
                <w:sz w:val="24"/>
                <w:szCs w:val="24"/>
              </w:rPr>
              <w:t>7,375,000</w:t>
            </w:r>
          </w:p>
        </w:tc>
        <w:tc>
          <w:tcPr>
            <w:tcW w:w="1134" w:type="dxa"/>
            <w:vAlign w:val="center"/>
          </w:tcPr>
          <w:p w:rsidR="00156AF2" w:rsidRPr="00156AF2" w:rsidRDefault="00156AF2" w:rsidP="00156AF2">
            <w:pPr>
              <w:jc w:val="center"/>
              <w:rPr>
                <w:rFonts w:ascii="新細明體" w:eastAsia="新細明體" w:hAnsi="新細明體" w:cs="新細明體"/>
                <w:color w:val="000000"/>
                <w:sz w:val="24"/>
                <w:szCs w:val="24"/>
              </w:rPr>
            </w:pPr>
            <w:r w:rsidRPr="00156AF2">
              <w:rPr>
                <w:rFonts w:hint="eastAsia"/>
                <w:color w:val="000000"/>
                <w:sz w:val="24"/>
                <w:szCs w:val="24"/>
              </w:rPr>
              <w:t>6,700,000</w:t>
            </w:r>
          </w:p>
        </w:tc>
        <w:tc>
          <w:tcPr>
            <w:tcW w:w="1260" w:type="dxa"/>
            <w:vAlign w:val="center"/>
          </w:tcPr>
          <w:p w:rsidR="00156AF2" w:rsidRPr="00156AF2" w:rsidRDefault="00156AF2" w:rsidP="00156AF2">
            <w:pPr>
              <w:jc w:val="center"/>
              <w:rPr>
                <w:rFonts w:ascii="新細明體" w:eastAsia="新細明體" w:hAnsi="新細明體" w:cs="新細明體"/>
                <w:color w:val="000000"/>
                <w:sz w:val="24"/>
                <w:szCs w:val="24"/>
              </w:rPr>
            </w:pPr>
            <w:r w:rsidRPr="00156AF2">
              <w:rPr>
                <w:rFonts w:hint="eastAsia"/>
                <w:color w:val="000000"/>
                <w:sz w:val="24"/>
                <w:szCs w:val="24"/>
              </w:rPr>
              <w:t>3,900,000</w:t>
            </w:r>
          </w:p>
        </w:tc>
        <w:tc>
          <w:tcPr>
            <w:tcW w:w="1210" w:type="dxa"/>
            <w:vAlign w:val="center"/>
          </w:tcPr>
          <w:p w:rsidR="00156AF2" w:rsidRPr="00156AF2" w:rsidRDefault="00156AF2" w:rsidP="00156AF2">
            <w:pPr>
              <w:jc w:val="center"/>
              <w:rPr>
                <w:rFonts w:ascii="新細明體" w:eastAsia="新細明體" w:hAnsi="新細明體" w:cs="新細明體"/>
                <w:color w:val="000000"/>
                <w:sz w:val="24"/>
                <w:szCs w:val="24"/>
              </w:rPr>
            </w:pPr>
            <w:r w:rsidRPr="00156AF2">
              <w:rPr>
                <w:rFonts w:hint="eastAsia"/>
                <w:color w:val="000000"/>
                <w:sz w:val="24"/>
                <w:szCs w:val="24"/>
              </w:rPr>
              <w:t>58.21%</w:t>
            </w:r>
          </w:p>
        </w:tc>
      </w:tr>
      <w:tr w:rsidR="00672DC1" w:rsidRPr="00156AF2" w:rsidTr="00F66440">
        <w:tc>
          <w:tcPr>
            <w:tcW w:w="8174" w:type="dxa"/>
            <w:gridSpan w:val="6"/>
          </w:tcPr>
          <w:p w:rsidR="00672DC1" w:rsidRPr="00156AF2" w:rsidRDefault="00672DC1" w:rsidP="00672DC1">
            <w:pPr>
              <w:pStyle w:val="0"/>
              <w:ind w:leftChars="0" w:left="520" w:hangingChars="200" w:hanging="520"/>
              <w:rPr>
                <w:sz w:val="24"/>
                <w:szCs w:val="24"/>
              </w:rPr>
            </w:pPr>
            <w:r>
              <w:rPr>
                <w:rFonts w:hint="eastAsia"/>
                <w:sz w:val="24"/>
                <w:szCs w:val="24"/>
              </w:rPr>
              <w:t>註：除103.3.12</w:t>
            </w:r>
            <w:r w:rsidRPr="00672DC1">
              <w:rPr>
                <w:rFonts w:hint="eastAsia"/>
                <w:sz w:val="24"/>
                <w:szCs w:val="24"/>
              </w:rPr>
              <w:t>決標資料附加說明：</w:t>
            </w:r>
            <w:r>
              <w:rPr>
                <w:rFonts w:hint="eastAsia"/>
                <w:sz w:val="24"/>
                <w:szCs w:val="24"/>
              </w:rPr>
              <w:t>「</w:t>
            </w:r>
            <w:r w:rsidRPr="00672DC1">
              <w:rPr>
                <w:rFonts w:hint="eastAsia"/>
                <w:sz w:val="24"/>
                <w:szCs w:val="24"/>
              </w:rPr>
              <w:t>依政府採購法第58條標價偏低執行程序，經廠商提出說明後，業務單位於103年3月11日簽准同意決標</w:t>
            </w:r>
            <w:r>
              <w:rPr>
                <w:rFonts w:hint="eastAsia"/>
                <w:sz w:val="24"/>
                <w:szCs w:val="24"/>
              </w:rPr>
              <w:t>」外，餘決標資料均無說明。</w:t>
            </w:r>
          </w:p>
        </w:tc>
      </w:tr>
    </w:tbl>
    <w:p w:rsidR="00672E9E" w:rsidRPr="005840A1" w:rsidRDefault="00672E9E" w:rsidP="00672E9E">
      <w:pPr>
        <w:pStyle w:val="0"/>
        <w:kinsoku w:val="0"/>
        <w:overflowPunct w:val="0"/>
        <w:ind w:left="680"/>
        <w:rPr>
          <w:sz w:val="24"/>
          <w:szCs w:val="24"/>
        </w:rPr>
      </w:pPr>
      <w:r w:rsidRPr="005840A1">
        <w:rPr>
          <w:rFonts w:hint="eastAsia"/>
          <w:sz w:val="24"/>
          <w:szCs w:val="24"/>
        </w:rPr>
        <w:t>資料來源：</w:t>
      </w:r>
      <w:r>
        <w:rPr>
          <w:rFonts w:hint="eastAsia"/>
          <w:sz w:val="24"/>
          <w:szCs w:val="24"/>
        </w:rPr>
        <w:t>政府電子採購網資料，本院彙整。</w:t>
      </w:r>
    </w:p>
    <w:p w:rsidR="00156AF2" w:rsidRDefault="00D443AC" w:rsidP="00436E68">
      <w:pPr>
        <w:pStyle w:val="32"/>
        <w:spacing w:line="440" w:lineRule="exact"/>
        <w:ind w:left="1361" w:firstLine="680"/>
      </w:pPr>
      <w:r>
        <w:rPr>
          <w:rFonts w:hint="eastAsia"/>
        </w:rPr>
        <w:t>由上表可知，除100年5月決標之疏濬</w:t>
      </w:r>
      <w:r w:rsidR="00861DE0">
        <w:rPr>
          <w:rFonts w:hint="eastAsia"/>
        </w:rPr>
        <w:t>清淤工程，決標金額</w:t>
      </w:r>
      <w:r w:rsidR="00BB50FA">
        <w:rPr>
          <w:rFonts w:hint="eastAsia"/>
        </w:rPr>
        <w:t>為</w:t>
      </w:r>
      <w:r>
        <w:rPr>
          <w:rFonts w:hint="eastAsia"/>
        </w:rPr>
        <w:t>底價</w:t>
      </w:r>
      <w:r w:rsidR="00BB50FA">
        <w:rPr>
          <w:rFonts w:hint="eastAsia"/>
        </w:rPr>
        <w:t>之</w:t>
      </w:r>
      <w:r>
        <w:rPr>
          <w:rFonts w:hint="eastAsia"/>
        </w:rPr>
        <w:t>8</w:t>
      </w:r>
      <w:r w:rsidR="00BB50FA">
        <w:rPr>
          <w:rFonts w:hint="eastAsia"/>
        </w:rPr>
        <w:t>2.37</w:t>
      </w:r>
      <w:r>
        <w:rPr>
          <w:rFonts w:hint="eastAsia"/>
        </w:rPr>
        <w:t>％，餘皆接近70％或甚低於60％，已</w:t>
      </w:r>
      <w:r w:rsidR="00861DE0">
        <w:rPr>
          <w:rFonts w:hint="eastAsia"/>
        </w:rPr>
        <w:t>屬</w:t>
      </w:r>
      <w:r>
        <w:rPr>
          <w:rFonts w:hint="eastAsia"/>
        </w:rPr>
        <w:t>前述政府採購法施行細則第80條</w:t>
      </w:r>
      <w:r w:rsidR="00861DE0">
        <w:rPr>
          <w:rFonts w:hint="eastAsia"/>
        </w:rPr>
        <w:t>規定</w:t>
      </w:r>
      <w:r>
        <w:rPr>
          <w:rFonts w:hint="eastAsia"/>
        </w:rPr>
        <w:t>有關標價偏低之</w:t>
      </w:r>
      <w:r w:rsidR="00861DE0">
        <w:rPr>
          <w:rFonts w:hint="eastAsia"/>
        </w:rPr>
        <w:t>情形</w:t>
      </w:r>
      <w:r>
        <w:rPr>
          <w:rFonts w:hint="eastAsia"/>
        </w:rPr>
        <w:t>，惟查政府電子採購網之各標案決標公告，僅103年3月之標案有說明標價偏低之處理方式，其餘偏低之標案均無說明。</w:t>
      </w:r>
      <w:r w:rsidR="003737D5" w:rsidRPr="003737D5">
        <w:rPr>
          <w:rFonts w:hint="eastAsia"/>
        </w:rPr>
        <w:t>臺</w:t>
      </w:r>
      <w:r w:rsidR="003737D5" w:rsidRPr="003737D5">
        <w:rPr>
          <w:rFonts w:hint="eastAsia"/>
        </w:rPr>
        <w:lastRenderedPageBreak/>
        <w:t>東縣政府辦理太平溪各項疏濬清淤或河道整理工程採購，近</w:t>
      </w:r>
      <w:r>
        <w:rPr>
          <w:rFonts w:hint="eastAsia"/>
        </w:rPr>
        <w:t>2</w:t>
      </w:r>
      <w:r w:rsidR="003737D5" w:rsidRPr="003737D5">
        <w:rPr>
          <w:rFonts w:hint="eastAsia"/>
        </w:rPr>
        <w:t>年標案之決標金額均低於底價之70％，</w:t>
      </w:r>
      <w:r>
        <w:rPr>
          <w:rFonts w:hint="eastAsia"/>
        </w:rPr>
        <w:t>顯</w:t>
      </w:r>
      <w:r w:rsidR="003737D5" w:rsidRPr="003737D5">
        <w:rPr>
          <w:rFonts w:hint="eastAsia"/>
        </w:rPr>
        <w:t>未逐年考量市場行情</w:t>
      </w:r>
      <w:r w:rsidR="002F5366">
        <w:rPr>
          <w:rFonts w:hint="eastAsia"/>
        </w:rPr>
        <w:t>及政府機關決標資料，覈實校正採購工項單價或確實訂定底價，未盡妥適</w:t>
      </w:r>
      <w:r>
        <w:rPr>
          <w:rFonts w:hint="eastAsia"/>
        </w:rPr>
        <w:t>。</w:t>
      </w:r>
    </w:p>
    <w:p w:rsidR="002C3BA2" w:rsidRPr="00FA467B" w:rsidRDefault="002C3BA2" w:rsidP="00B32821">
      <w:pPr>
        <w:pStyle w:val="2"/>
        <w:overflowPunct w:val="0"/>
        <w:rPr>
          <w:b/>
        </w:rPr>
      </w:pPr>
      <w:r w:rsidRPr="00FA467B">
        <w:rPr>
          <w:rFonts w:hint="eastAsia"/>
          <w:b/>
        </w:rPr>
        <w:t>經濟部為水利法之中央主管機關，訂有多項河川疏濬相關規定</w:t>
      </w:r>
      <w:r w:rsidR="00FA467B" w:rsidRPr="00FA467B">
        <w:rPr>
          <w:rFonts w:hint="eastAsia"/>
          <w:b/>
        </w:rPr>
        <w:t>，惟僅規範中央管河川</w:t>
      </w:r>
      <w:r w:rsidRPr="00FA467B">
        <w:rPr>
          <w:rFonts w:hint="eastAsia"/>
          <w:b/>
        </w:rPr>
        <w:t>，允宜協助地方政府水利單位統一</w:t>
      </w:r>
      <w:r w:rsidR="00FA467B" w:rsidRPr="00FA467B">
        <w:rPr>
          <w:rFonts w:hint="eastAsia"/>
          <w:b/>
        </w:rPr>
        <w:t>名詞、並適用或準用於縣市管河川，以符實際</w:t>
      </w:r>
    </w:p>
    <w:p w:rsidR="000627FB" w:rsidRDefault="000627FB" w:rsidP="008A0A41">
      <w:pPr>
        <w:pStyle w:val="3"/>
        <w:overflowPunct w:val="0"/>
        <w:spacing w:line="420" w:lineRule="exact"/>
        <w:ind w:left="1394"/>
      </w:pPr>
      <w:r>
        <w:rPr>
          <w:rFonts w:hint="eastAsia"/>
        </w:rPr>
        <w:t>87年精省前之「臺灣省河川管理規則」第5條規定：「本省各河川應依其流域形勢及流域附近經濟發展狀況，由省管理機關區分為</w:t>
      </w:r>
      <w:r w:rsidRPr="000627FB">
        <w:rPr>
          <w:rFonts w:hint="eastAsia"/>
          <w:b/>
        </w:rPr>
        <w:t>主要河川、次要河川及普通河川</w:t>
      </w:r>
      <w:r>
        <w:rPr>
          <w:rFonts w:hint="eastAsia"/>
        </w:rPr>
        <w:t>，並得於各河川內指定特別河段，報由本府核定公告。」精省後</w:t>
      </w:r>
      <w:r w:rsidR="008D64A4">
        <w:rPr>
          <w:rFonts w:hint="eastAsia"/>
        </w:rPr>
        <w:t>由經濟部</w:t>
      </w:r>
      <w:r>
        <w:rPr>
          <w:rFonts w:hint="eastAsia"/>
        </w:rPr>
        <w:t>訂定發布之「河川管理辦法」第2條第2項規定：「前項河川依其管理權責，分為</w:t>
      </w:r>
      <w:r w:rsidRPr="000627FB">
        <w:rPr>
          <w:rFonts w:hint="eastAsia"/>
          <w:b/>
        </w:rPr>
        <w:t>中央管河川、直轄市管河川及縣（市）管河川</w:t>
      </w:r>
      <w:r>
        <w:rPr>
          <w:rFonts w:hint="eastAsia"/>
        </w:rPr>
        <w:t>三類。」</w:t>
      </w:r>
      <w:r w:rsidR="00A03A31">
        <w:rPr>
          <w:rFonts w:hint="eastAsia"/>
        </w:rPr>
        <w:t>如本案之臺東縣太平溪，由省管次要河川，於87年6月26日改列臺東縣縣管河川。</w:t>
      </w:r>
    </w:p>
    <w:p w:rsidR="000A212D" w:rsidRDefault="00FA467B" w:rsidP="008A0A41">
      <w:pPr>
        <w:pStyle w:val="3"/>
        <w:overflowPunct w:val="0"/>
        <w:spacing w:line="420" w:lineRule="exact"/>
        <w:ind w:left="1394"/>
      </w:pPr>
      <w:r>
        <w:rPr>
          <w:rFonts w:hint="eastAsia"/>
        </w:rPr>
        <w:t>查經濟部訂頒</w:t>
      </w:r>
      <w:r w:rsidR="00A03A31">
        <w:rPr>
          <w:rFonts w:hint="eastAsia"/>
        </w:rPr>
        <w:t>多項河川疏濬或管理相關</w:t>
      </w:r>
      <w:r>
        <w:rPr>
          <w:rFonts w:hint="eastAsia"/>
        </w:rPr>
        <w:t>規定，</w:t>
      </w:r>
      <w:r w:rsidR="00A03A31">
        <w:rPr>
          <w:rFonts w:hint="eastAsia"/>
        </w:rPr>
        <w:t>如</w:t>
      </w:r>
      <w:r>
        <w:rPr>
          <w:rFonts w:hint="eastAsia"/>
        </w:rPr>
        <w:t>「河川水庫疏濬標準作業規範」、「河川水庫疏濬採售分離土石申購作業規定」、「中央管河川疏濬採售分離作業要點」、「經濟部水利署中央管河川局部河段</w:t>
      </w:r>
      <w:r w:rsidR="00A03A31">
        <w:rPr>
          <w:rFonts w:hint="eastAsia"/>
        </w:rPr>
        <w:t>許可地方政府辦理疏濬兼供土石作業要點」、「河川區域種植規定」等。其中「</w:t>
      </w:r>
      <w:r w:rsidR="000A212D" w:rsidRPr="000A212D">
        <w:rPr>
          <w:rFonts w:hint="eastAsia"/>
        </w:rPr>
        <w:t>河川水庫疏濬標準作業規範</w:t>
      </w:r>
      <w:r w:rsidR="00A03A31">
        <w:rPr>
          <w:rFonts w:hint="eastAsia"/>
        </w:rPr>
        <w:t>」</w:t>
      </w:r>
      <w:r w:rsidR="000A212D" w:rsidRPr="000A212D">
        <w:rPr>
          <w:rFonts w:hint="eastAsia"/>
        </w:rPr>
        <w:t>第13點規定：「疏濬工程無法同時辦理土石販售時，得於疏濬採取後於河川區域外適當地點先行暫置，其疏濬採取及土石外運管制作業準用本規範第四章採售合一之規定辦理。」</w:t>
      </w:r>
    </w:p>
    <w:p w:rsidR="006C1529" w:rsidRDefault="008D64A4" w:rsidP="008A0A41">
      <w:pPr>
        <w:pStyle w:val="3"/>
        <w:overflowPunct w:val="0"/>
        <w:spacing w:line="420" w:lineRule="exact"/>
        <w:ind w:left="1394"/>
      </w:pPr>
      <w:r>
        <w:rPr>
          <w:rFonts w:hint="eastAsia"/>
        </w:rPr>
        <w:t>復</w:t>
      </w:r>
      <w:r w:rsidR="006C1529">
        <w:rPr>
          <w:rFonts w:hint="eastAsia"/>
        </w:rPr>
        <w:t>查臺東縣政府自103年起迄今，於太平溪辦理「</w:t>
      </w:r>
      <w:r w:rsidR="006C1529" w:rsidRPr="006C1529">
        <w:rPr>
          <w:rFonts w:hint="eastAsia"/>
        </w:rPr>
        <w:t>太平溪(太平橋上下游)河川疏濬清淤工程</w:t>
      </w:r>
      <w:r w:rsidR="006C1529">
        <w:rPr>
          <w:rFonts w:hint="eastAsia"/>
        </w:rPr>
        <w:t>」、「</w:t>
      </w:r>
      <w:r w:rsidR="006C1529" w:rsidRPr="006C1529">
        <w:rPr>
          <w:rFonts w:hint="eastAsia"/>
        </w:rPr>
        <w:t>太平溪(太平橋上下游)河川疏濬清淤第二期工程</w:t>
      </w:r>
      <w:r w:rsidR="006C1529">
        <w:rPr>
          <w:rFonts w:hint="eastAsia"/>
        </w:rPr>
        <w:t>」、</w:t>
      </w:r>
      <w:r w:rsidR="006C1529">
        <w:rPr>
          <w:rFonts w:hint="eastAsia"/>
        </w:rPr>
        <w:lastRenderedPageBreak/>
        <w:t>「</w:t>
      </w:r>
      <w:r w:rsidR="006C1529" w:rsidRPr="006C1529">
        <w:rPr>
          <w:rFonts w:hint="eastAsia"/>
        </w:rPr>
        <w:t>太平溪(太平橋下游)河川疏濬清淤第三期工程</w:t>
      </w:r>
      <w:r w:rsidR="006C1529">
        <w:rPr>
          <w:rFonts w:hint="eastAsia"/>
        </w:rPr>
        <w:t>」等採購標案，惟本院104年1月29日約詢臺東縣政府人員時表示，</w:t>
      </w:r>
      <w:r w:rsidR="006C1529" w:rsidRPr="00E21DA0">
        <w:rPr>
          <w:rFonts w:hint="eastAsia"/>
          <w:b/>
        </w:rPr>
        <w:t>該等「河川疏濬清淤工程」均未將土方外運</w:t>
      </w:r>
      <w:r w:rsidR="006C1529">
        <w:rPr>
          <w:rFonts w:hint="eastAsia"/>
        </w:rPr>
        <w:t>，係堆置於河川區域適合之高灘地，兼具護岸功能。惟經濟部水利署王</w:t>
      </w:r>
      <w:r w:rsidR="00931359">
        <w:rPr>
          <w:rFonts w:hint="eastAsia"/>
        </w:rPr>
        <w:t>○○</w:t>
      </w:r>
      <w:r w:rsidR="006C1529">
        <w:rPr>
          <w:rFonts w:hint="eastAsia"/>
        </w:rPr>
        <w:t>副署長於約詢表示：「『</w:t>
      </w:r>
      <w:r w:rsidR="006C1529" w:rsidRPr="00E21DA0">
        <w:rPr>
          <w:rFonts w:hint="eastAsia"/>
          <w:b/>
        </w:rPr>
        <w:t>疏濬</w:t>
      </w:r>
      <w:r w:rsidR="006C1529">
        <w:rPr>
          <w:rFonts w:hint="eastAsia"/>
        </w:rPr>
        <w:t>』</w:t>
      </w:r>
      <w:r w:rsidR="006C1529" w:rsidRPr="006C1529">
        <w:rPr>
          <w:rFonts w:hint="eastAsia"/>
        </w:rPr>
        <w:t>係以工程手段將河道內之淤積土石</w:t>
      </w:r>
      <w:r w:rsidR="006C1529" w:rsidRPr="00E21DA0">
        <w:rPr>
          <w:rFonts w:hint="eastAsia"/>
          <w:b/>
        </w:rPr>
        <w:t>清離河川區域外</w:t>
      </w:r>
      <w:r w:rsidR="006C1529" w:rsidRPr="006C1529">
        <w:rPr>
          <w:rFonts w:hint="eastAsia"/>
        </w:rPr>
        <w:t>，以穩定流路加速洪流宣洩並增加河道之通洪斷面，而</w:t>
      </w:r>
      <w:r w:rsidR="006C1529">
        <w:rPr>
          <w:rFonts w:hint="eastAsia"/>
        </w:rPr>
        <w:t>『</w:t>
      </w:r>
      <w:r w:rsidR="006C1529" w:rsidRPr="00E21DA0">
        <w:rPr>
          <w:rFonts w:hint="eastAsia"/>
          <w:b/>
        </w:rPr>
        <w:t>河道整理</w:t>
      </w:r>
      <w:r w:rsidR="006C1529">
        <w:rPr>
          <w:rFonts w:hint="eastAsia"/>
        </w:rPr>
        <w:t>』</w:t>
      </w:r>
      <w:r w:rsidR="006C1529" w:rsidRPr="006C1529">
        <w:rPr>
          <w:rFonts w:hint="eastAsia"/>
        </w:rPr>
        <w:t>係以工程手段將河道內淤積土方挖除攤平於河道內之水流衝擊處、低窪處、堤前高灘地或其他適當地點，係在挖填</w:t>
      </w:r>
      <w:r w:rsidR="006C1529" w:rsidRPr="00E21DA0">
        <w:rPr>
          <w:rFonts w:hint="eastAsia"/>
          <w:b/>
        </w:rPr>
        <w:t>平衡</w:t>
      </w:r>
      <w:r w:rsidR="006C1529" w:rsidRPr="006C1529">
        <w:rPr>
          <w:rFonts w:hint="eastAsia"/>
        </w:rPr>
        <w:t>下為</w:t>
      </w:r>
      <w:r w:rsidR="006C1529" w:rsidRPr="00E21DA0">
        <w:rPr>
          <w:rFonts w:hint="eastAsia"/>
          <w:b/>
        </w:rPr>
        <w:t>河川斷面之整理</w:t>
      </w:r>
      <w:r w:rsidR="006C1529" w:rsidRPr="006C1529">
        <w:rPr>
          <w:rFonts w:hint="eastAsia"/>
        </w:rPr>
        <w:t>，以穩定流路加速水流宣洩。</w:t>
      </w:r>
      <w:r w:rsidR="006C1529">
        <w:rPr>
          <w:rFonts w:hint="eastAsia"/>
        </w:rPr>
        <w:t>」</w:t>
      </w:r>
      <w:r w:rsidR="00347499">
        <w:rPr>
          <w:rFonts w:hint="eastAsia"/>
        </w:rPr>
        <w:t>另再查政府</w:t>
      </w:r>
      <w:r w:rsidR="00156AF2">
        <w:rPr>
          <w:rFonts w:hint="eastAsia"/>
        </w:rPr>
        <w:t>電子</w:t>
      </w:r>
      <w:r w:rsidR="00347499">
        <w:rPr>
          <w:rFonts w:hint="eastAsia"/>
        </w:rPr>
        <w:t>採購網，經濟部水利署轄下各河川局，均有河道整理工程標案，例如：第二河川局辦理之「老田寮溪老田寮橋至新田窩橋段河道整理工程」、第三河川局辦理之「大甲溪大湳堤段河道整理工程」、第六河川局辦理「曾文溪山上堤防大內橋下游段河道理整工程」等等，</w:t>
      </w:r>
      <w:r w:rsidR="009D28DC">
        <w:rPr>
          <w:rFonts w:hint="eastAsia"/>
        </w:rPr>
        <w:t>臺東縣政府辦理縣管河川之標案名稱顯與經濟部水利署各河川局辦理中央管河川不同</w:t>
      </w:r>
      <w:r>
        <w:rPr>
          <w:rFonts w:hint="eastAsia"/>
        </w:rPr>
        <w:t>，惟實際執行內容均無將土方外運</w:t>
      </w:r>
      <w:r w:rsidR="009D28DC">
        <w:rPr>
          <w:rFonts w:hint="eastAsia"/>
        </w:rPr>
        <w:t>。</w:t>
      </w:r>
    </w:p>
    <w:p w:rsidR="00FA467B" w:rsidRPr="003653C1" w:rsidRDefault="00CF39BD" w:rsidP="00DC2829">
      <w:pPr>
        <w:pStyle w:val="3"/>
      </w:pPr>
      <w:r>
        <w:rPr>
          <w:rFonts w:hint="eastAsia"/>
        </w:rPr>
        <w:t>88年1月25日總統（88）華總一義字第8800017850號令制定公布施行之「地方制度法」第19條</w:t>
      </w:r>
      <w:r w:rsidR="004704BC">
        <w:rPr>
          <w:rFonts w:hint="eastAsia"/>
        </w:rPr>
        <w:t>雖</w:t>
      </w:r>
      <w:r>
        <w:rPr>
          <w:rFonts w:hint="eastAsia"/>
        </w:rPr>
        <w:t>規定：「下列各款為</w:t>
      </w:r>
      <w:r w:rsidRPr="006F2BCF">
        <w:rPr>
          <w:rFonts w:hint="eastAsia"/>
          <w:b/>
        </w:rPr>
        <w:t>縣（市）自治事項</w:t>
      </w:r>
      <w:r>
        <w:rPr>
          <w:rFonts w:hint="eastAsia"/>
        </w:rPr>
        <w:t>：…八、關於</w:t>
      </w:r>
      <w:r w:rsidRPr="006F2BCF">
        <w:rPr>
          <w:rFonts w:hint="eastAsia"/>
          <w:b/>
        </w:rPr>
        <w:t>水利</w:t>
      </w:r>
      <w:r>
        <w:rPr>
          <w:rFonts w:hint="eastAsia"/>
        </w:rPr>
        <w:t>事項如下：（一）縣（市）</w:t>
      </w:r>
      <w:r w:rsidRPr="006F2BCF">
        <w:rPr>
          <w:rFonts w:hint="eastAsia"/>
          <w:b/>
        </w:rPr>
        <w:t>河川整治與管理</w:t>
      </w:r>
      <w:r>
        <w:rPr>
          <w:rFonts w:hint="eastAsia"/>
        </w:rPr>
        <w:t>。…」</w:t>
      </w:r>
      <w:r w:rsidR="004704BC">
        <w:rPr>
          <w:rFonts w:hint="eastAsia"/>
        </w:rPr>
        <w:t>王</w:t>
      </w:r>
      <w:r w:rsidR="00DC2829" w:rsidRPr="00DC2829">
        <w:rPr>
          <w:rFonts w:hint="eastAsia"/>
        </w:rPr>
        <w:t>瑞德</w:t>
      </w:r>
      <w:r w:rsidR="004704BC">
        <w:rPr>
          <w:rFonts w:hint="eastAsia"/>
        </w:rPr>
        <w:t>副署長約詢時亦表示：「</w:t>
      </w:r>
      <w:r w:rsidR="004704BC" w:rsidRPr="004704BC">
        <w:rPr>
          <w:rFonts w:hint="eastAsia"/>
        </w:rPr>
        <w:t>法律有規定者我們訂有相關督導辦法，如法無明定，則尊重地方自治權責</w:t>
      </w:r>
      <w:r w:rsidR="004704BC">
        <w:rPr>
          <w:rFonts w:hint="eastAsia"/>
        </w:rPr>
        <w:t>」</w:t>
      </w:r>
      <w:r w:rsidR="005D2049">
        <w:rPr>
          <w:rFonts w:hint="eastAsia"/>
        </w:rPr>
        <w:t>等語。</w:t>
      </w:r>
      <w:r w:rsidR="006F2BCF">
        <w:rPr>
          <w:rFonts w:hint="eastAsia"/>
        </w:rPr>
        <w:t>惟</w:t>
      </w:r>
      <w:r w:rsidR="00FA467B" w:rsidRPr="00FA467B">
        <w:rPr>
          <w:rFonts w:hint="eastAsia"/>
        </w:rPr>
        <w:t>經濟部係水利法之中央主管機關，訂有多項河川疏濬、土石採售分離或合一等規定，雖其係中央管河川適用，惟地方政府管轄之縣市管河川仍具參考價值，始不致將河道整理與疏濬工程混餚</w:t>
      </w:r>
      <w:r w:rsidR="006F2BCF">
        <w:rPr>
          <w:rFonts w:hint="eastAsia"/>
        </w:rPr>
        <w:t>，允宜協助地方政府水利單位統一名詞、</w:t>
      </w:r>
      <w:r w:rsidR="006F2BCF">
        <w:rPr>
          <w:rFonts w:hint="eastAsia"/>
        </w:rPr>
        <w:lastRenderedPageBreak/>
        <w:t>並適用或準用於縣（市）管河川，以符實際</w:t>
      </w:r>
      <w:r w:rsidR="00FA467B" w:rsidRPr="00FA467B">
        <w:rPr>
          <w:rFonts w:hint="eastAsia"/>
        </w:rPr>
        <w:t>。</w:t>
      </w:r>
    </w:p>
    <w:bookmarkEnd w:id="45"/>
    <w:bookmarkEnd w:id="46"/>
    <w:bookmarkEnd w:id="47"/>
    <w:bookmarkEnd w:id="48"/>
    <w:bookmarkEnd w:id="49"/>
    <w:bookmarkEnd w:id="50"/>
    <w:bookmarkEnd w:id="51"/>
    <w:bookmarkEnd w:id="52"/>
    <w:bookmarkEnd w:id="53"/>
    <w:bookmarkEnd w:id="54"/>
    <w:bookmarkEnd w:id="55"/>
    <w:p w:rsidR="00DC2829" w:rsidRDefault="00DC2829" w:rsidP="008E69C8">
      <w:pPr>
        <w:pStyle w:val="1"/>
        <w:numPr>
          <w:ilvl w:val="0"/>
          <w:numId w:val="0"/>
        </w:numPr>
        <w:overflowPunct w:val="0"/>
        <w:ind w:left="2380"/>
        <w:rPr>
          <w:rFonts w:hAnsi="標楷體" w:hint="eastAsia"/>
          <w:sz w:val="36"/>
          <w:szCs w:val="36"/>
        </w:rPr>
      </w:pPr>
    </w:p>
    <w:p w:rsidR="004F0E7F" w:rsidRPr="008E69C8" w:rsidRDefault="008E69C8" w:rsidP="008E69C8">
      <w:pPr>
        <w:pStyle w:val="1"/>
        <w:numPr>
          <w:ilvl w:val="0"/>
          <w:numId w:val="0"/>
        </w:numPr>
        <w:overflowPunct w:val="0"/>
        <w:ind w:left="2380"/>
        <w:rPr>
          <w:rFonts w:hAnsi="標楷體"/>
          <w:b/>
          <w:bCs w:val="0"/>
          <w:spacing w:val="12"/>
          <w:sz w:val="36"/>
          <w:szCs w:val="36"/>
        </w:rPr>
      </w:pPr>
      <w:r w:rsidRPr="008E69C8">
        <w:rPr>
          <w:rFonts w:hAnsi="標楷體"/>
          <w:sz w:val="36"/>
          <w:szCs w:val="36"/>
        </w:rPr>
        <w:t xml:space="preserve"> </w:t>
      </w:r>
      <w:r w:rsidR="007D668F" w:rsidRPr="008E69C8">
        <w:rPr>
          <w:rFonts w:hAnsi="標楷體"/>
          <w:spacing w:val="12"/>
          <w:sz w:val="36"/>
          <w:szCs w:val="36"/>
        </w:rPr>
        <w:t>調查委員：</w:t>
      </w:r>
      <w:r w:rsidR="00C90C94" w:rsidRPr="008E69C8">
        <w:rPr>
          <w:rFonts w:hAnsi="標楷體" w:hint="eastAsia"/>
          <w:spacing w:val="12"/>
          <w:sz w:val="36"/>
          <w:szCs w:val="36"/>
        </w:rPr>
        <w:t>仉桂美、林雅鋒、王美玉</w:t>
      </w:r>
    </w:p>
    <w:p w:rsidR="004F0E7F" w:rsidRDefault="004F0E7F" w:rsidP="00B32821">
      <w:pPr>
        <w:pStyle w:val="a5"/>
        <w:kinsoku w:val="0"/>
        <w:overflowPunct w:val="0"/>
        <w:spacing w:before="0" w:after="0"/>
        <w:ind w:leftChars="1100" w:left="3742" w:firstLineChars="500" w:firstLine="1821"/>
        <w:jc w:val="both"/>
        <w:rPr>
          <w:rFonts w:hAnsi="標楷體"/>
          <w:b w:val="0"/>
          <w:bCs/>
          <w:snapToGrid/>
          <w:spacing w:val="12"/>
          <w:kern w:val="0"/>
          <w:sz w:val="32"/>
          <w:szCs w:val="32"/>
        </w:rPr>
      </w:pPr>
    </w:p>
    <w:p w:rsidR="00890F9B" w:rsidRDefault="00890F9B" w:rsidP="00B32821">
      <w:pPr>
        <w:pStyle w:val="a5"/>
        <w:kinsoku w:val="0"/>
        <w:overflowPunct w:val="0"/>
        <w:spacing w:before="0" w:after="0"/>
        <w:ind w:leftChars="1100" w:left="3742" w:firstLineChars="500" w:firstLine="1821"/>
        <w:jc w:val="both"/>
        <w:rPr>
          <w:rFonts w:hAnsi="標楷體"/>
          <w:b w:val="0"/>
          <w:bCs/>
          <w:snapToGrid/>
          <w:spacing w:val="12"/>
          <w:kern w:val="0"/>
          <w:sz w:val="32"/>
          <w:szCs w:val="32"/>
        </w:rPr>
      </w:pPr>
    </w:p>
    <w:p w:rsidR="007E7087" w:rsidRPr="003653C1" w:rsidRDefault="007E7087" w:rsidP="00B32821">
      <w:pPr>
        <w:pStyle w:val="a5"/>
        <w:kinsoku w:val="0"/>
        <w:overflowPunct w:val="0"/>
        <w:spacing w:before="0" w:after="0"/>
        <w:ind w:leftChars="1100" w:left="3742" w:firstLineChars="500" w:firstLine="1821"/>
        <w:jc w:val="both"/>
        <w:rPr>
          <w:rFonts w:hAnsi="標楷體"/>
          <w:b w:val="0"/>
          <w:bCs/>
          <w:snapToGrid/>
          <w:spacing w:val="12"/>
          <w:kern w:val="0"/>
          <w:sz w:val="32"/>
          <w:szCs w:val="32"/>
        </w:rPr>
      </w:pPr>
      <w:bookmarkStart w:id="56" w:name="_GoBack"/>
      <w:bookmarkEnd w:id="56"/>
    </w:p>
    <w:p w:rsidR="007D668F" w:rsidRPr="003653C1" w:rsidRDefault="007D668F" w:rsidP="00B32821">
      <w:pPr>
        <w:pStyle w:val="a5"/>
        <w:kinsoku w:val="0"/>
        <w:overflowPunct w:val="0"/>
        <w:spacing w:before="0" w:after="0"/>
        <w:ind w:leftChars="1100" w:left="3742" w:firstLineChars="500" w:firstLine="1821"/>
        <w:jc w:val="both"/>
        <w:rPr>
          <w:rFonts w:hAnsi="標楷體"/>
          <w:b w:val="0"/>
          <w:bCs/>
          <w:snapToGrid/>
          <w:spacing w:val="12"/>
          <w:kern w:val="0"/>
          <w:sz w:val="32"/>
          <w:szCs w:val="32"/>
        </w:rPr>
      </w:pPr>
    </w:p>
    <w:p w:rsidR="007D668F" w:rsidRPr="003653C1" w:rsidRDefault="007D668F" w:rsidP="00B32821">
      <w:pPr>
        <w:pStyle w:val="a5"/>
        <w:kinsoku w:val="0"/>
        <w:overflowPunct w:val="0"/>
        <w:spacing w:before="0" w:after="0"/>
        <w:ind w:leftChars="1100" w:left="3742" w:firstLineChars="500" w:firstLine="1821"/>
        <w:jc w:val="both"/>
        <w:rPr>
          <w:rFonts w:hAnsi="標楷體"/>
          <w:b w:val="0"/>
          <w:bCs/>
          <w:snapToGrid/>
          <w:spacing w:val="12"/>
          <w:kern w:val="0"/>
          <w:sz w:val="32"/>
          <w:szCs w:val="32"/>
        </w:rPr>
      </w:pPr>
    </w:p>
    <w:p w:rsidR="007D668F" w:rsidRPr="003653C1" w:rsidRDefault="007D668F" w:rsidP="00B32821">
      <w:pPr>
        <w:pStyle w:val="a5"/>
        <w:kinsoku w:val="0"/>
        <w:overflowPunct w:val="0"/>
        <w:spacing w:before="0" w:after="0"/>
        <w:ind w:leftChars="1100" w:left="3742" w:firstLineChars="500" w:firstLine="1821"/>
        <w:jc w:val="both"/>
        <w:rPr>
          <w:rFonts w:hAnsi="標楷體"/>
          <w:b w:val="0"/>
          <w:bCs/>
          <w:snapToGrid/>
          <w:spacing w:val="12"/>
          <w:kern w:val="0"/>
          <w:sz w:val="32"/>
          <w:szCs w:val="32"/>
        </w:rPr>
      </w:pPr>
    </w:p>
    <w:p w:rsidR="007D668F" w:rsidRPr="003653C1" w:rsidRDefault="007D668F" w:rsidP="00B32821">
      <w:pPr>
        <w:pStyle w:val="a5"/>
        <w:kinsoku w:val="0"/>
        <w:overflowPunct w:val="0"/>
        <w:spacing w:before="0" w:after="0"/>
        <w:ind w:leftChars="1100" w:left="3742" w:firstLineChars="500" w:firstLine="1821"/>
        <w:jc w:val="both"/>
        <w:rPr>
          <w:rFonts w:hAnsi="標楷體"/>
          <w:b w:val="0"/>
          <w:bCs/>
          <w:snapToGrid/>
          <w:spacing w:val="12"/>
          <w:kern w:val="0"/>
          <w:sz w:val="32"/>
          <w:szCs w:val="32"/>
        </w:rPr>
      </w:pPr>
    </w:p>
    <w:p w:rsidR="007D668F" w:rsidRPr="003653C1" w:rsidRDefault="007D668F" w:rsidP="00B32821">
      <w:pPr>
        <w:pStyle w:val="a5"/>
        <w:kinsoku w:val="0"/>
        <w:overflowPunct w:val="0"/>
        <w:spacing w:before="0" w:after="0"/>
        <w:ind w:leftChars="1100" w:left="3742" w:firstLineChars="500" w:firstLine="1821"/>
        <w:jc w:val="both"/>
        <w:rPr>
          <w:rFonts w:hAnsi="標楷體"/>
          <w:b w:val="0"/>
          <w:bCs/>
          <w:snapToGrid/>
          <w:spacing w:val="12"/>
          <w:kern w:val="0"/>
          <w:sz w:val="32"/>
          <w:szCs w:val="32"/>
        </w:rPr>
      </w:pPr>
    </w:p>
    <w:p w:rsidR="004F0E7F" w:rsidRPr="003653C1" w:rsidRDefault="004F0E7F" w:rsidP="00B32821">
      <w:pPr>
        <w:kinsoku w:val="0"/>
        <w:overflowPunct w:val="0"/>
        <w:rPr>
          <w:rFonts w:ascii="標楷體" w:hAnsi="標楷體"/>
          <w:bCs/>
          <w:szCs w:val="32"/>
        </w:rPr>
      </w:pPr>
    </w:p>
    <w:sectPr w:rsidR="004F0E7F" w:rsidRPr="003653C1" w:rsidSect="004949F2">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E5E" w:rsidRDefault="00764E5E">
      <w:r>
        <w:separator/>
      </w:r>
    </w:p>
  </w:endnote>
  <w:endnote w:type="continuationSeparator" w:id="0">
    <w:p w:rsidR="00764E5E" w:rsidRDefault="0076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華康中黑體">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440" w:rsidRDefault="005500B5">
    <w:pPr>
      <w:pStyle w:val="af0"/>
      <w:framePr w:wrap="around" w:vAnchor="text" w:hAnchor="margin" w:xAlign="center" w:y="1"/>
      <w:rPr>
        <w:rStyle w:val="a8"/>
        <w:sz w:val="24"/>
      </w:rPr>
    </w:pPr>
    <w:r>
      <w:rPr>
        <w:rStyle w:val="a8"/>
        <w:sz w:val="24"/>
      </w:rPr>
      <w:fldChar w:fldCharType="begin"/>
    </w:r>
    <w:r w:rsidR="00F66440">
      <w:rPr>
        <w:rStyle w:val="a8"/>
        <w:sz w:val="24"/>
      </w:rPr>
      <w:instrText xml:space="preserve">PAGE  </w:instrText>
    </w:r>
    <w:r>
      <w:rPr>
        <w:rStyle w:val="a8"/>
        <w:sz w:val="24"/>
      </w:rPr>
      <w:fldChar w:fldCharType="separate"/>
    </w:r>
    <w:r w:rsidR="00DC2829">
      <w:rPr>
        <w:rStyle w:val="a8"/>
        <w:noProof/>
        <w:sz w:val="24"/>
      </w:rPr>
      <w:t>15</w:t>
    </w:r>
    <w:r>
      <w:rPr>
        <w:rStyle w:val="a8"/>
        <w:sz w:val="24"/>
      </w:rPr>
      <w:fldChar w:fldCharType="end"/>
    </w:r>
  </w:p>
  <w:p w:rsidR="00F66440" w:rsidRDefault="00F664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E5E" w:rsidRDefault="00764E5E">
      <w:r>
        <w:separator/>
      </w:r>
    </w:p>
  </w:footnote>
  <w:footnote w:type="continuationSeparator" w:id="0">
    <w:p w:rsidR="00764E5E" w:rsidRDefault="00764E5E">
      <w:r>
        <w:continuationSeparator/>
      </w:r>
    </w:p>
  </w:footnote>
  <w:footnote w:id="1">
    <w:p w:rsidR="00F66440" w:rsidRDefault="00F66440" w:rsidP="005202C1">
      <w:pPr>
        <w:pStyle w:val="af4"/>
        <w:jc w:val="both"/>
      </w:pPr>
      <w:r>
        <w:rPr>
          <w:rStyle w:val="af6"/>
        </w:rPr>
        <w:footnoteRef/>
      </w:r>
      <w:r>
        <w:t xml:space="preserve"> </w:t>
      </w:r>
      <w:r w:rsidRPr="00FA1187">
        <w:rPr>
          <w:rFonts w:hint="eastAsia"/>
        </w:rPr>
        <w:t>「臺東縣農田及魚塭淹水救助作業要點</w:t>
      </w:r>
      <w:r>
        <w:rPr>
          <w:rFonts w:hint="eastAsia"/>
        </w:rPr>
        <w:t>」係依據經濟部</w:t>
      </w:r>
      <w:r>
        <w:rPr>
          <w:rFonts w:hint="eastAsia"/>
        </w:rPr>
        <w:t>92</w:t>
      </w:r>
      <w:r>
        <w:rPr>
          <w:rFonts w:hint="eastAsia"/>
        </w:rPr>
        <w:t>年</w:t>
      </w:r>
      <w:r>
        <w:rPr>
          <w:rFonts w:hint="eastAsia"/>
        </w:rPr>
        <w:t>11</w:t>
      </w:r>
      <w:r>
        <w:rPr>
          <w:rFonts w:hint="eastAsia"/>
        </w:rPr>
        <w:t>月</w:t>
      </w:r>
      <w:r>
        <w:rPr>
          <w:rFonts w:hint="eastAsia"/>
        </w:rPr>
        <w:t>12</w:t>
      </w:r>
      <w:r>
        <w:rPr>
          <w:rFonts w:hint="eastAsia"/>
        </w:rPr>
        <w:t>日以經水字第</w:t>
      </w:r>
      <w:r>
        <w:rPr>
          <w:rFonts w:hint="eastAsia"/>
        </w:rPr>
        <w:t>09204613220</w:t>
      </w:r>
      <w:r>
        <w:rPr>
          <w:rFonts w:hint="eastAsia"/>
        </w:rPr>
        <w:t>號令修正發布之「</w:t>
      </w:r>
      <w:r w:rsidRPr="00161407">
        <w:rPr>
          <w:rFonts w:hint="eastAsia"/>
        </w:rPr>
        <w:t>水災公用氣體與油料管線輸電線路災害救助種類及標準</w:t>
      </w:r>
      <w:r>
        <w:rPr>
          <w:rFonts w:hint="eastAsia"/>
        </w:rPr>
        <w:t>」，據以訂定臺東縣土地流失救助標準。</w:t>
      </w:r>
      <w:r w:rsidR="0098310D">
        <w:rPr>
          <w:rFonts w:hint="eastAsia"/>
        </w:rPr>
        <w:t>（該標準</w:t>
      </w:r>
      <w:r w:rsidR="005202C1">
        <w:rPr>
          <w:rFonts w:hint="eastAsia"/>
        </w:rPr>
        <w:t>之法源</w:t>
      </w:r>
      <w:r w:rsidR="0098310D">
        <w:rPr>
          <w:rFonts w:hint="eastAsia"/>
        </w:rPr>
        <w:t>依據</w:t>
      </w:r>
      <w:r w:rsidR="005202C1">
        <w:rPr>
          <w:rFonts w:hint="eastAsia"/>
        </w:rPr>
        <w:t>為</w:t>
      </w:r>
      <w:r w:rsidR="0098310D">
        <w:rPr>
          <w:rFonts w:hint="eastAsia"/>
        </w:rPr>
        <w:t>「災害防救法」第</w:t>
      </w:r>
      <w:r w:rsidR="0098310D">
        <w:rPr>
          <w:rFonts w:hint="eastAsia"/>
        </w:rPr>
        <w:t>48</w:t>
      </w:r>
      <w:r w:rsidR="0098310D">
        <w:rPr>
          <w:rFonts w:hint="eastAsia"/>
        </w:rPr>
        <w:t>條</w:t>
      </w:r>
      <w:r w:rsidR="005202C1">
        <w:rPr>
          <w:rFonts w:hint="eastAsia"/>
        </w:rPr>
        <w:t>：「災害救助種類及標準，由各中央災害防救業務主管機關會商直轄市、縣（市）政府統一訂定之。」</w:t>
      </w:r>
      <w:r w:rsidR="0098310D">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E626DCBA"/>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color w:val="auto"/>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75A03EAE"/>
    <w:multiLevelType w:val="singleLevel"/>
    <w:tmpl w:val="A1A85B78"/>
    <w:lvl w:ilvl="0">
      <w:numFmt w:val="bullet"/>
      <w:lvlText w:val="※"/>
      <w:lvlJc w:val="left"/>
      <w:pPr>
        <w:tabs>
          <w:tab w:val="num" w:pos="360"/>
        </w:tabs>
        <w:ind w:left="360" w:hanging="360"/>
      </w:pPr>
      <w:rPr>
        <w:rFonts w:ascii="華康中黑體" w:hAnsi="華康中黑體" w:hint="eastAsia"/>
      </w:rPr>
    </w:lvl>
  </w:abstractNum>
  <w:abstractNum w:abstractNumId="4">
    <w:nsid w:val="7C871905"/>
    <w:multiLevelType w:val="hybridMultilevel"/>
    <w:tmpl w:val="BE904E1C"/>
    <w:lvl w:ilvl="0" w:tplc="E8744028">
      <w:start w:val="1"/>
      <w:numFmt w:val="taiwaneseCountingThousand"/>
      <w:lvlText w:val="%1、"/>
      <w:lvlJc w:val="left"/>
      <w:pPr>
        <w:tabs>
          <w:tab w:val="num" w:pos="720"/>
        </w:tabs>
        <w:ind w:left="720" w:hanging="720"/>
      </w:pPr>
      <w:rPr>
        <w:rFonts w:hint="eastAsia"/>
        <w:color w:val="auto"/>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4"/>
  </w:num>
  <w:num w:numId="5">
    <w:abstractNumId w:val="1"/>
  </w:num>
  <w:num w:numId="6">
    <w:abstractNumId w:val="1"/>
  </w:num>
  <w:num w:numId="7">
    <w:abstractNumId w:val="1"/>
  </w:num>
  <w:num w:numId="8">
    <w:abstractNumId w:val="1"/>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3"/>
  </w:num>
  <w:num w:numId="18">
    <w:abstractNumId w:val="1"/>
  </w:num>
  <w:num w:numId="1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03A"/>
    <w:rsid w:val="00002708"/>
    <w:rsid w:val="000106C8"/>
    <w:rsid w:val="0001356B"/>
    <w:rsid w:val="000136AB"/>
    <w:rsid w:val="00013822"/>
    <w:rsid w:val="00020676"/>
    <w:rsid w:val="00022BC8"/>
    <w:rsid w:val="00026424"/>
    <w:rsid w:val="00026623"/>
    <w:rsid w:val="00031DDF"/>
    <w:rsid w:val="000329E3"/>
    <w:rsid w:val="00036ECF"/>
    <w:rsid w:val="00052649"/>
    <w:rsid w:val="00053DE6"/>
    <w:rsid w:val="000545FC"/>
    <w:rsid w:val="00056528"/>
    <w:rsid w:val="0006066D"/>
    <w:rsid w:val="00060DF9"/>
    <w:rsid w:val="00061E59"/>
    <w:rsid w:val="000627FB"/>
    <w:rsid w:val="000832C2"/>
    <w:rsid w:val="000847FA"/>
    <w:rsid w:val="00087A73"/>
    <w:rsid w:val="00091645"/>
    <w:rsid w:val="00093420"/>
    <w:rsid w:val="00093671"/>
    <w:rsid w:val="000A13B2"/>
    <w:rsid w:val="000A17C4"/>
    <w:rsid w:val="000A212D"/>
    <w:rsid w:val="000A4884"/>
    <w:rsid w:val="000B22E8"/>
    <w:rsid w:val="000B373B"/>
    <w:rsid w:val="000C21DB"/>
    <w:rsid w:val="000C4C3A"/>
    <w:rsid w:val="000D0A89"/>
    <w:rsid w:val="000D2ACD"/>
    <w:rsid w:val="000F207D"/>
    <w:rsid w:val="001011D2"/>
    <w:rsid w:val="00102B79"/>
    <w:rsid w:val="00114817"/>
    <w:rsid w:val="00123800"/>
    <w:rsid w:val="001268BB"/>
    <w:rsid w:val="0013195A"/>
    <w:rsid w:val="0013377C"/>
    <w:rsid w:val="00146B1C"/>
    <w:rsid w:val="00147F1E"/>
    <w:rsid w:val="00155344"/>
    <w:rsid w:val="00156AF2"/>
    <w:rsid w:val="00161407"/>
    <w:rsid w:val="001675DF"/>
    <w:rsid w:val="001721E7"/>
    <w:rsid w:val="001731E7"/>
    <w:rsid w:val="0017612F"/>
    <w:rsid w:val="001768CB"/>
    <w:rsid w:val="00176F7C"/>
    <w:rsid w:val="00180B88"/>
    <w:rsid w:val="00181DBA"/>
    <w:rsid w:val="00187C81"/>
    <w:rsid w:val="001A00F6"/>
    <w:rsid w:val="001A0654"/>
    <w:rsid w:val="001A5375"/>
    <w:rsid w:val="001A6F69"/>
    <w:rsid w:val="001B4444"/>
    <w:rsid w:val="001B46D6"/>
    <w:rsid w:val="001B7039"/>
    <w:rsid w:val="001C14FC"/>
    <w:rsid w:val="001C397C"/>
    <w:rsid w:val="001C5A02"/>
    <w:rsid w:val="001D54FB"/>
    <w:rsid w:val="001D7749"/>
    <w:rsid w:val="001D7788"/>
    <w:rsid w:val="001E1C7E"/>
    <w:rsid w:val="001E3D21"/>
    <w:rsid w:val="001E541D"/>
    <w:rsid w:val="001E7869"/>
    <w:rsid w:val="001E7A3B"/>
    <w:rsid w:val="001F0296"/>
    <w:rsid w:val="001F0F9E"/>
    <w:rsid w:val="001F7F2A"/>
    <w:rsid w:val="00210A00"/>
    <w:rsid w:val="00216018"/>
    <w:rsid w:val="00221933"/>
    <w:rsid w:val="00224E4D"/>
    <w:rsid w:val="00225FA9"/>
    <w:rsid w:val="002268AF"/>
    <w:rsid w:val="00234AD3"/>
    <w:rsid w:val="0023654B"/>
    <w:rsid w:val="00237287"/>
    <w:rsid w:val="0023728B"/>
    <w:rsid w:val="00241175"/>
    <w:rsid w:val="00242795"/>
    <w:rsid w:val="00244A7B"/>
    <w:rsid w:val="0024728C"/>
    <w:rsid w:val="00261113"/>
    <w:rsid w:val="00261250"/>
    <w:rsid w:val="00262B19"/>
    <w:rsid w:val="00266837"/>
    <w:rsid w:val="00267CB3"/>
    <w:rsid w:val="0027075D"/>
    <w:rsid w:val="00270928"/>
    <w:rsid w:val="0027791E"/>
    <w:rsid w:val="002832F4"/>
    <w:rsid w:val="0028603A"/>
    <w:rsid w:val="002879C4"/>
    <w:rsid w:val="00287C1E"/>
    <w:rsid w:val="002A15F9"/>
    <w:rsid w:val="002A2372"/>
    <w:rsid w:val="002A4D3C"/>
    <w:rsid w:val="002A51A3"/>
    <w:rsid w:val="002B3BD2"/>
    <w:rsid w:val="002B4A5D"/>
    <w:rsid w:val="002B598F"/>
    <w:rsid w:val="002B5AEF"/>
    <w:rsid w:val="002C3BA2"/>
    <w:rsid w:val="002D0891"/>
    <w:rsid w:val="002D1F11"/>
    <w:rsid w:val="002D2752"/>
    <w:rsid w:val="002D5C95"/>
    <w:rsid w:val="002D7AC2"/>
    <w:rsid w:val="002E06A4"/>
    <w:rsid w:val="002E2638"/>
    <w:rsid w:val="002E2ED4"/>
    <w:rsid w:val="002E3581"/>
    <w:rsid w:val="002E38D0"/>
    <w:rsid w:val="002E43C3"/>
    <w:rsid w:val="002F10A4"/>
    <w:rsid w:val="002F26AE"/>
    <w:rsid w:val="002F5366"/>
    <w:rsid w:val="002F6E46"/>
    <w:rsid w:val="00303E4B"/>
    <w:rsid w:val="00312B80"/>
    <w:rsid w:val="00312C74"/>
    <w:rsid w:val="00314B37"/>
    <w:rsid w:val="0031716E"/>
    <w:rsid w:val="003201BF"/>
    <w:rsid w:val="00321551"/>
    <w:rsid w:val="003236CE"/>
    <w:rsid w:val="00326356"/>
    <w:rsid w:val="00330D91"/>
    <w:rsid w:val="003313B5"/>
    <w:rsid w:val="00331AD4"/>
    <w:rsid w:val="003335B0"/>
    <w:rsid w:val="003410F0"/>
    <w:rsid w:val="00347499"/>
    <w:rsid w:val="00347DBC"/>
    <w:rsid w:val="0035042F"/>
    <w:rsid w:val="00350AD1"/>
    <w:rsid w:val="00352605"/>
    <w:rsid w:val="003653C1"/>
    <w:rsid w:val="00371A4A"/>
    <w:rsid w:val="003737D5"/>
    <w:rsid w:val="00373C11"/>
    <w:rsid w:val="00383A1F"/>
    <w:rsid w:val="00385D5D"/>
    <w:rsid w:val="003957AB"/>
    <w:rsid w:val="003965AF"/>
    <w:rsid w:val="003B3B17"/>
    <w:rsid w:val="003C119D"/>
    <w:rsid w:val="003C1909"/>
    <w:rsid w:val="003C4EAC"/>
    <w:rsid w:val="003D0846"/>
    <w:rsid w:val="003D2EF7"/>
    <w:rsid w:val="003D48AE"/>
    <w:rsid w:val="003E19B1"/>
    <w:rsid w:val="003E3AB0"/>
    <w:rsid w:val="003E4F21"/>
    <w:rsid w:val="003E69B9"/>
    <w:rsid w:val="003E7862"/>
    <w:rsid w:val="003F06F9"/>
    <w:rsid w:val="003F2968"/>
    <w:rsid w:val="0040240C"/>
    <w:rsid w:val="0040384C"/>
    <w:rsid w:val="004068AA"/>
    <w:rsid w:val="00412611"/>
    <w:rsid w:val="0041536F"/>
    <w:rsid w:val="00420505"/>
    <w:rsid w:val="004209FE"/>
    <w:rsid w:val="00421806"/>
    <w:rsid w:val="00423294"/>
    <w:rsid w:val="004244FA"/>
    <w:rsid w:val="00425235"/>
    <w:rsid w:val="00430364"/>
    <w:rsid w:val="00430BF8"/>
    <w:rsid w:val="00433F8E"/>
    <w:rsid w:val="00435AE3"/>
    <w:rsid w:val="00436AEA"/>
    <w:rsid w:val="00436E68"/>
    <w:rsid w:val="00444D01"/>
    <w:rsid w:val="00445915"/>
    <w:rsid w:val="00445DF4"/>
    <w:rsid w:val="004478DB"/>
    <w:rsid w:val="0045240C"/>
    <w:rsid w:val="004617DA"/>
    <w:rsid w:val="00461D72"/>
    <w:rsid w:val="004704BC"/>
    <w:rsid w:val="00471B41"/>
    <w:rsid w:val="00474469"/>
    <w:rsid w:val="00481EF5"/>
    <w:rsid w:val="00482B76"/>
    <w:rsid w:val="00483C93"/>
    <w:rsid w:val="00490BC7"/>
    <w:rsid w:val="00493AA1"/>
    <w:rsid w:val="004949F2"/>
    <w:rsid w:val="004A0B0F"/>
    <w:rsid w:val="004C03AE"/>
    <w:rsid w:val="004C181C"/>
    <w:rsid w:val="004D01C3"/>
    <w:rsid w:val="004E0DBF"/>
    <w:rsid w:val="004E46DC"/>
    <w:rsid w:val="004E5E57"/>
    <w:rsid w:val="004E70BA"/>
    <w:rsid w:val="004F0956"/>
    <w:rsid w:val="004F0E7F"/>
    <w:rsid w:val="004F1A2B"/>
    <w:rsid w:val="004F4497"/>
    <w:rsid w:val="004F45C6"/>
    <w:rsid w:val="004F5665"/>
    <w:rsid w:val="004F6EFE"/>
    <w:rsid w:val="005001B5"/>
    <w:rsid w:val="00500A7C"/>
    <w:rsid w:val="0050342A"/>
    <w:rsid w:val="005034F8"/>
    <w:rsid w:val="00504755"/>
    <w:rsid w:val="005163CC"/>
    <w:rsid w:val="0051643D"/>
    <w:rsid w:val="00516807"/>
    <w:rsid w:val="005202C1"/>
    <w:rsid w:val="00521217"/>
    <w:rsid w:val="005238D9"/>
    <w:rsid w:val="0052651D"/>
    <w:rsid w:val="00540A65"/>
    <w:rsid w:val="00543724"/>
    <w:rsid w:val="00543C51"/>
    <w:rsid w:val="005500B5"/>
    <w:rsid w:val="00550DDA"/>
    <w:rsid w:val="00557F1D"/>
    <w:rsid w:val="005621E2"/>
    <w:rsid w:val="005708B4"/>
    <w:rsid w:val="00583B8A"/>
    <w:rsid w:val="005840A1"/>
    <w:rsid w:val="00584ED5"/>
    <w:rsid w:val="00590792"/>
    <w:rsid w:val="00591BAE"/>
    <w:rsid w:val="00592DF8"/>
    <w:rsid w:val="005A09E5"/>
    <w:rsid w:val="005A3FD8"/>
    <w:rsid w:val="005A4520"/>
    <w:rsid w:val="005A5E43"/>
    <w:rsid w:val="005A7C66"/>
    <w:rsid w:val="005B68AA"/>
    <w:rsid w:val="005C1614"/>
    <w:rsid w:val="005C3362"/>
    <w:rsid w:val="005C37D5"/>
    <w:rsid w:val="005C6696"/>
    <w:rsid w:val="005D021D"/>
    <w:rsid w:val="005D2049"/>
    <w:rsid w:val="005D2E93"/>
    <w:rsid w:val="005D612F"/>
    <w:rsid w:val="005D6834"/>
    <w:rsid w:val="005E0DD5"/>
    <w:rsid w:val="005E0FAD"/>
    <w:rsid w:val="005E4378"/>
    <w:rsid w:val="005E603F"/>
    <w:rsid w:val="005E7EB9"/>
    <w:rsid w:val="005F10D3"/>
    <w:rsid w:val="005F4E6A"/>
    <w:rsid w:val="00603DF8"/>
    <w:rsid w:val="00606050"/>
    <w:rsid w:val="00607AF4"/>
    <w:rsid w:val="00607F6F"/>
    <w:rsid w:val="00610313"/>
    <w:rsid w:val="006150B7"/>
    <w:rsid w:val="00620070"/>
    <w:rsid w:val="006225C4"/>
    <w:rsid w:val="006273B9"/>
    <w:rsid w:val="006275B9"/>
    <w:rsid w:val="006325B9"/>
    <w:rsid w:val="00633816"/>
    <w:rsid w:val="00633EF9"/>
    <w:rsid w:val="00641414"/>
    <w:rsid w:val="00643C80"/>
    <w:rsid w:val="00645849"/>
    <w:rsid w:val="00650243"/>
    <w:rsid w:val="00650640"/>
    <w:rsid w:val="0065501C"/>
    <w:rsid w:val="00664863"/>
    <w:rsid w:val="0067223B"/>
    <w:rsid w:val="00672DC1"/>
    <w:rsid w:val="00672E9E"/>
    <w:rsid w:val="0067346A"/>
    <w:rsid w:val="00677FE5"/>
    <w:rsid w:val="0068617C"/>
    <w:rsid w:val="0068773E"/>
    <w:rsid w:val="00687A4F"/>
    <w:rsid w:val="0069144B"/>
    <w:rsid w:val="0069509D"/>
    <w:rsid w:val="006A2077"/>
    <w:rsid w:val="006A2155"/>
    <w:rsid w:val="006A2B0A"/>
    <w:rsid w:val="006B5040"/>
    <w:rsid w:val="006B6758"/>
    <w:rsid w:val="006C145F"/>
    <w:rsid w:val="006C1529"/>
    <w:rsid w:val="006C3357"/>
    <w:rsid w:val="006C3455"/>
    <w:rsid w:val="006C4997"/>
    <w:rsid w:val="006D51F1"/>
    <w:rsid w:val="006D5761"/>
    <w:rsid w:val="006D5FFE"/>
    <w:rsid w:val="006D7575"/>
    <w:rsid w:val="006E4B39"/>
    <w:rsid w:val="006E5FBD"/>
    <w:rsid w:val="006E73B5"/>
    <w:rsid w:val="006F0238"/>
    <w:rsid w:val="006F0868"/>
    <w:rsid w:val="006F2BCF"/>
    <w:rsid w:val="006F6296"/>
    <w:rsid w:val="006F6B49"/>
    <w:rsid w:val="00711B01"/>
    <w:rsid w:val="007162B5"/>
    <w:rsid w:val="00721222"/>
    <w:rsid w:val="007225DB"/>
    <w:rsid w:val="00723C4C"/>
    <w:rsid w:val="00725688"/>
    <w:rsid w:val="0073020D"/>
    <w:rsid w:val="007373A1"/>
    <w:rsid w:val="007529A4"/>
    <w:rsid w:val="007550E6"/>
    <w:rsid w:val="00757FE2"/>
    <w:rsid w:val="00761DBA"/>
    <w:rsid w:val="00764E5E"/>
    <w:rsid w:val="00770BC1"/>
    <w:rsid w:val="007777D3"/>
    <w:rsid w:val="00781A3D"/>
    <w:rsid w:val="00784E89"/>
    <w:rsid w:val="007900E1"/>
    <w:rsid w:val="00790E86"/>
    <w:rsid w:val="007A7654"/>
    <w:rsid w:val="007B3813"/>
    <w:rsid w:val="007B3FD4"/>
    <w:rsid w:val="007C012D"/>
    <w:rsid w:val="007C2711"/>
    <w:rsid w:val="007C6FFB"/>
    <w:rsid w:val="007C76FF"/>
    <w:rsid w:val="007D668F"/>
    <w:rsid w:val="007D7A04"/>
    <w:rsid w:val="007E666F"/>
    <w:rsid w:val="007E7087"/>
    <w:rsid w:val="007E7401"/>
    <w:rsid w:val="00801203"/>
    <w:rsid w:val="00805359"/>
    <w:rsid w:val="00820D4C"/>
    <w:rsid w:val="00823F28"/>
    <w:rsid w:val="008247F8"/>
    <w:rsid w:val="0083292A"/>
    <w:rsid w:val="008408BA"/>
    <w:rsid w:val="00844E61"/>
    <w:rsid w:val="008461E2"/>
    <w:rsid w:val="00850519"/>
    <w:rsid w:val="0086128E"/>
    <w:rsid w:val="00861CBA"/>
    <w:rsid w:val="00861DE0"/>
    <w:rsid w:val="00862047"/>
    <w:rsid w:val="00864D75"/>
    <w:rsid w:val="00864E30"/>
    <w:rsid w:val="00873132"/>
    <w:rsid w:val="0087585F"/>
    <w:rsid w:val="00882F59"/>
    <w:rsid w:val="008854F4"/>
    <w:rsid w:val="008877CC"/>
    <w:rsid w:val="00890F9B"/>
    <w:rsid w:val="008973A6"/>
    <w:rsid w:val="008A06F4"/>
    <w:rsid w:val="008A0A41"/>
    <w:rsid w:val="008B66BF"/>
    <w:rsid w:val="008B7FF4"/>
    <w:rsid w:val="008C147E"/>
    <w:rsid w:val="008C1AD2"/>
    <w:rsid w:val="008C7D15"/>
    <w:rsid w:val="008D48C7"/>
    <w:rsid w:val="008D64A4"/>
    <w:rsid w:val="008E4D92"/>
    <w:rsid w:val="008E5E12"/>
    <w:rsid w:val="008E69C8"/>
    <w:rsid w:val="008E72C8"/>
    <w:rsid w:val="008E7DD7"/>
    <w:rsid w:val="008E7DF0"/>
    <w:rsid w:val="00901097"/>
    <w:rsid w:val="009041B4"/>
    <w:rsid w:val="0090555E"/>
    <w:rsid w:val="00907432"/>
    <w:rsid w:val="0091117F"/>
    <w:rsid w:val="009162B2"/>
    <w:rsid w:val="00920C90"/>
    <w:rsid w:val="00930EB9"/>
    <w:rsid w:val="00931359"/>
    <w:rsid w:val="00933EA9"/>
    <w:rsid w:val="009350E9"/>
    <w:rsid w:val="00952D03"/>
    <w:rsid w:val="0096357C"/>
    <w:rsid w:val="00966097"/>
    <w:rsid w:val="009669D9"/>
    <w:rsid w:val="0097187A"/>
    <w:rsid w:val="0098036F"/>
    <w:rsid w:val="009806C3"/>
    <w:rsid w:val="00981A29"/>
    <w:rsid w:val="00981D7E"/>
    <w:rsid w:val="0098310D"/>
    <w:rsid w:val="009853F5"/>
    <w:rsid w:val="009870BD"/>
    <w:rsid w:val="0099101B"/>
    <w:rsid w:val="00995E58"/>
    <w:rsid w:val="00996814"/>
    <w:rsid w:val="009B3B8E"/>
    <w:rsid w:val="009B569A"/>
    <w:rsid w:val="009C07BA"/>
    <w:rsid w:val="009C107B"/>
    <w:rsid w:val="009C20C7"/>
    <w:rsid w:val="009C4F57"/>
    <w:rsid w:val="009D1753"/>
    <w:rsid w:val="009D28DC"/>
    <w:rsid w:val="009D2A6C"/>
    <w:rsid w:val="009E30DE"/>
    <w:rsid w:val="009F0045"/>
    <w:rsid w:val="009F4728"/>
    <w:rsid w:val="009F67DE"/>
    <w:rsid w:val="009F776C"/>
    <w:rsid w:val="00A0010A"/>
    <w:rsid w:val="00A014F3"/>
    <w:rsid w:val="00A01517"/>
    <w:rsid w:val="00A029FF"/>
    <w:rsid w:val="00A03A31"/>
    <w:rsid w:val="00A04BEC"/>
    <w:rsid w:val="00A04DD8"/>
    <w:rsid w:val="00A05FF2"/>
    <w:rsid w:val="00A072F5"/>
    <w:rsid w:val="00A21236"/>
    <w:rsid w:val="00A22386"/>
    <w:rsid w:val="00A224DE"/>
    <w:rsid w:val="00A22C3B"/>
    <w:rsid w:val="00A24CEC"/>
    <w:rsid w:val="00A325DA"/>
    <w:rsid w:val="00A50C3B"/>
    <w:rsid w:val="00A52BB8"/>
    <w:rsid w:val="00A54832"/>
    <w:rsid w:val="00A54A47"/>
    <w:rsid w:val="00A60413"/>
    <w:rsid w:val="00A63FA3"/>
    <w:rsid w:val="00A656CA"/>
    <w:rsid w:val="00A7416E"/>
    <w:rsid w:val="00A74EBE"/>
    <w:rsid w:val="00A76780"/>
    <w:rsid w:val="00A8490A"/>
    <w:rsid w:val="00A87207"/>
    <w:rsid w:val="00A91EEB"/>
    <w:rsid w:val="00A94B2A"/>
    <w:rsid w:val="00A954E7"/>
    <w:rsid w:val="00A96D6D"/>
    <w:rsid w:val="00AA0075"/>
    <w:rsid w:val="00AB10B7"/>
    <w:rsid w:val="00AB5900"/>
    <w:rsid w:val="00AB668B"/>
    <w:rsid w:val="00AC3C86"/>
    <w:rsid w:val="00AC3DD2"/>
    <w:rsid w:val="00AC40A7"/>
    <w:rsid w:val="00AD2D36"/>
    <w:rsid w:val="00AE07F2"/>
    <w:rsid w:val="00AE1426"/>
    <w:rsid w:val="00AE57ED"/>
    <w:rsid w:val="00AF110D"/>
    <w:rsid w:val="00AF285D"/>
    <w:rsid w:val="00AF3B44"/>
    <w:rsid w:val="00AF57C2"/>
    <w:rsid w:val="00B04BF0"/>
    <w:rsid w:val="00B17CB6"/>
    <w:rsid w:val="00B24750"/>
    <w:rsid w:val="00B27EFB"/>
    <w:rsid w:val="00B32821"/>
    <w:rsid w:val="00B37DF1"/>
    <w:rsid w:val="00B42294"/>
    <w:rsid w:val="00B43684"/>
    <w:rsid w:val="00B534C3"/>
    <w:rsid w:val="00B62B3C"/>
    <w:rsid w:val="00B65CA3"/>
    <w:rsid w:val="00B66E5D"/>
    <w:rsid w:val="00B707B9"/>
    <w:rsid w:val="00B73BE0"/>
    <w:rsid w:val="00B803B1"/>
    <w:rsid w:val="00B82CAC"/>
    <w:rsid w:val="00B8422A"/>
    <w:rsid w:val="00B85089"/>
    <w:rsid w:val="00B91046"/>
    <w:rsid w:val="00BA3839"/>
    <w:rsid w:val="00BA6A93"/>
    <w:rsid w:val="00BB0571"/>
    <w:rsid w:val="00BB0B05"/>
    <w:rsid w:val="00BB50FA"/>
    <w:rsid w:val="00BB5DEE"/>
    <w:rsid w:val="00BC382C"/>
    <w:rsid w:val="00BC73CA"/>
    <w:rsid w:val="00BD5848"/>
    <w:rsid w:val="00BE1B8F"/>
    <w:rsid w:val="00BE1F48"/>
    <w:rsid w:val="00BF4AD4"/>
    <w:rsid w:val="00BF5017"/>
    <w:rsid w:val="00C07748"/>
    <w:rsid w:val="00C17616"/>
    <w:rsid w:val="00C323A9"/>
    <w:rsid w:val="00C32704"/>
    <w:rsid w:val="00C34069"/>
    <w:rsid w:val="00C34796"/>
    <w:rsid w:val="00C40A36"/>
    <w:rsid w:val="00C40B6C"/>
    <w:rsid w:val="00C45643"/>
    <w:rsid w:val="00C51340"/>
    <w:rsid w:val="00C53FC2"/>
    <w:rsid w:val="00C558D5"/>
    <w:rsid w:val="00C63C72"/>
    <w:rsid w:val="00C64ED0"/>
    <w:rsid w:val="00C6583D"/>
    <w:rsid w:val="00C659CD"/>
    <w:rsid w:val="00C7315A"/>
    <w:rsid w:val="00C76CF5"/>
    <w:rsid w:val="00C827D9"/>
    <w:rsid w:val="00C837D7"/>
    <w:rsid w:val="00C86876"/>
    <w:rsid w:val="00C86EF3"/>
    <w:rsid w:val="00C875D5"/>
    <w:rsid w:val="00C90C94"/>
    <w:rsid w:val="00C94393"/>
    <w:rsid w:val="00CB47B6"/>
    <w:rsid w:val="00CB688E"/>
    <w:rsid w:val="00CB73AD"/>
    <w:rsid w:val="00CB7E79"/>
    <w:rsid w:val="00CC07F1"/>
    <w:rsid w:val="00CC38F3"/>
    <w:rsid w:val="00CC7480"/>
    <w:rsid w:val="00CD367D"/>
    <w:rsid w:val="00CD5510"/>
    <w:rsid w:val="00CD6F81"/>
    <w:rsid w:val="00CE443C"/>
    <w:rsid w:val="00CF39BD"/>
    <w:rsid w:val="00CF4779"/>
    <w:rsid w:val="00CF6CFD"/>
    <w:rsid w:val="00D011E4"/>
    <w:rsid w:val="00D04815"/>
    <w:rsid w:val="00D10E7A"/>
    <w:rsid w:val="00D20851"/>
    <w:rsid w:val="00D229AF"/>
    <w:rsid w:val="00D433B9"/>
    <w:rsid w:val="00D443AC"/>
    <w:rsid w:val="00D4616F"/>
    <w:rsid w:val="00D46BC5"/>
    <w:rsid w:val="00D46C17"/>
    <w:rsid w:val="00D5259D"/>
    <w:rsid w:val="00D52EC0"/>
    <w:rsid w:val="00D57E09"/>
    <w:rsid w:val="00D6444E"/>
    <w:rsid w:val="00D64EFA"/>
    <w:rsid w:val="00D66B5B"/>
    <w:rsid w:val="00D80C85"/>
    <w:rsid w:val="00D815FE"/>
    <w:rsid w:val="00D857C3"/>
    <w:rsid w:val="00D87657"/>
    <w:rsid w:val="00D91036"/>
    <w:rsid w:val="00D91BD8"/>
    <w:rsid w:val="00D93AD5"/>
    <w:rsid w:val="00DA023B"/>
    <w:rsid w:val="00DA1484"/>
    <w:rsid w:val="00DA1D6C"/>
    <w:rsid w:val="00DA4399"/>
    <w:rsid w:val="00DA7369"/>
    <w:rsid w:val="00DB07D3"/>
    <w:rsid w:val="00DC2829"/>
    <w:rsid w:val="00DC415F"/>
    <w:rsid w:val="00DC586A"/>
    <w:rsid w:val="00DD0234"/>
    <w:rsid w:val="00DD108B"/>
    <w:rsid w:val="00DD31D3"/>
    <w:rsid w:val="00DD4D90"/>
    <w:rsid w:val="00DE0BB1"/>
    <w:rsid w:val="00DE0CF4"/>
    <w:rsid w:val="00DE561F"/>
    <w:rsid w:val="00DF101E"/>
    <w:rsid w:val="00E00825"/>
    <w:rsid w:val="00E01978"/>
    <w:rsid w:val="00E10C4B"/>
    <w:rsid w:val="00E168F1"/>
    <w:rsid w:val="00E1735C"/>
    <w:rsid w:val="00E2127F"/>
    <w:rsid w:val="00E21DA0"/>
    <w:rsid w:val="00E314A9"/>
    <w:rsid w:val="00E45222"/>
    <w:rsid w:val="00E54897"/>
    <w:rsid w:val="00E63DFC"/>
    <w:rsid w:val="00E65451"/>
    <w:rsid w:val="00E67B81"/>
    <w:rsid w:val="00E73986"/>
    <w:rsid w:val="00E73F7D"/>
    <w:rsid w:val="00E77F40"/>
    <w:rsid w:val="00E8368C"/>
    <w:rsid w:val="00E83EE0"/>
    <w:rsid w:val="00E8445C"/>
    <w:rsid w:val="00E84CA1"/>
    <w:rsid w:val="00E858C4"/>
    <w:rsid w:val="00E90DD5"/>
    <w:rsid w:val="00E96D7F"/>
    <w:rsid w:val="00E96F3E"/>
    <w:rsid w:val="00E97FE0"/>
    <w:rsid w:val="00EA6F71"/>
    <w:rsid w:val="00EB08C4"/>
    <w:rsid w:val="00EB3783"/>
    <w:rsid w:val="00EC0E1E"/>
    <w:rsid w:val="00EC7047"/>
    <w:rsid w:val="00ED2E32"/>
    <w:rsid w:val="00EE37A1"/>
    <w:rsid w:val="00EE398B"/>
    <w:rsid w:val="00EE3E93"/>
    <w:rsid w:val="00EE4978"/>
    <w:rsid w:val="00EE7486"/>
    <w:rsid w:val="00EE7550"/>
    <w:rsid w:val="00EF2C11"/>
    <w:rsid w:val="00EF4BBB"/>
    <w:rsid w:val="00EF7C92"/>
    <w:rsid w:val="00F006F7"/>
    <w:rsid w:val="00F02108"/>
    <w:rsid w:val="00F06E21"/>
    <w:rsid w:val="00F17DA7"/>
    <w:rsid w:val="00F27BD7"/>
    <w:rsid w:val="00F364D6"/>
    <w:rsid w:val="00F42448"/>
    <w:rsid w:val="00F44180"/>
    <w:rsid w:val="00F44C94"/>
    <w:rsid w:val="00F44F27"/>
    <w:rsid w:val="00F454B3"/>
    <w:rsid w:val="00F46055"/>
    <w:rsid w:val="00F46589"/>
    <w:rsid w:val="00F60CD7"/>
    <w:rsid w:val="00F61019"/>
    <w:rsid w:val="00F6551D"/>
    <w:rsid w:val="00F66440"/>
    <w:rsid w:val="00F6660B"/>
    <w:rsid w:val="00F67C56"/>
    <w:rsid w:val="00F7112E"/>
    <w:rsid w:val="00F77879"/>
    <w:rsid w:val="00F809E7"/>
    <w:rsid w:val="00F85641"/>
    <w:rsid w:val="00F93DA9"/>
    <w:rsid w:val="00F959D8"/>
    <w:rsid w:val="00F9686B"/>
    <w:rsid w:val="00FA082A"/>
    <w:rsid w:val="00FA115F"/>
    <w:rsid w:val="00FA1187"/>
    <w:rsid w:val="00FA4008"/>
    <w:rsid w:val="00FA467B"/>
    <w:rsid w:val="00FA5533"/>
    <w:rsid w:val="00FA6563"/>
    <w:rsid w:val="00FB2AA5"/>
    <w:rsid w:val="00FB6FAE"/>
    <w:rsid w:val="00FC1254"/>
    <w:rsid w:val="00FC5894"/>
    <w:rsid w:val="00FD0D3B"/>
    <w:rsid w:val="00FE7359"/>
    <w:rsid w:val="00FE76A2"/>
    <w:rsid w:val="00FF269D"/>
    <w:rsid w:val="00FF4534"/>
    <w:rsid w:val="00FF4E47"/>
    <w:rsid w:val="00FF5F71"/>
    <w:rsid w:val="00FF7195"/>
    <w:rsid w:val="00FF78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949F2"/>
    <w:pPr>
      <w:widowControl w:val="0"/>
    </w:pPr>
    <w:rPr>
      <w:rFonts w:eastAsia="標楷體"/>
      <w:kern w:val="2"/>
      <w:sz w:val="32"/>
    </w:rPr>
  </w:style>
  <w:style w:type="paragraph" w:styleId="1">
    <w:name w:val="heading 1"/>
    <w:basedOn w:val="a1"/>
    <w:link w:val="10"/>
    <w:qFormat/>
    <w:rsid w:val="004949F2"/>
    <w:pPr>
      <w:numPr>
        <w:numId w:val="1"/>
      </w:numPr>
      <w:kinsoku w:val="0"/>
      <w:jc w:val="both"/>
      <w:outlineLvl w:val="0"/>
    </w:pPr>
    <w:rPr>
      <w:rFonts w:ascii="標楷體" w:hAnsi="Arial"/>
      <w:bCs/>
      <w:kern w:val="0"/>
      <w:szCs w:val="52"/>
    </w:rPr>
  </w:style>
  <w:style w:type="paragraph" w:styleId="2">
    <w:name w:val="heading 2"/>
    <w:basedOn w:val="a1"/>
    <w:link w:val="20"/>
    <w:qFormat/>
    <w:rsid w:val="004949F2"/>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4949F2"/>
    <w:pPr>
      <w:numPr>
        <w:ilvl w:val="2"/>
        <w:numId w:val="1"/>
      </w:numPr>
      <w:kinsoku w:val="0"/>
      <w:jc w:val="both"/>
      <w:outlineLvl w:val="2"/>
    </w:pPr>
    <w:rPr>
      <w:rFonts w:ascii="標楷體" w:hAnsi="Arial"/>
      <w:bCs/>
      <w:kern w:val="0"/>
      <w:szCs w:val="36"/>
    </w:rPr>
  </w:style>
  <w:style w:type="paragraph" w:styleId="4">
    <w:name w:val="heading 4"/>
    <w:aliases w:val="表格"/>
    <w:basedOn w:val="a1"/>
    <w:link w:val="40"/>
    <w:qFormat/>
    <w:rsid w:val="004949F2"/>
    <w:pPr>
      <w:numPr>
        <w:ilvl w:val="3"/>
        <w:numId w:val="1"/>
      </w:numPr>
      <w:jc w:val="both"/>
      <w:outlineLvl w:val="3"/>
    </w:pPr>
    <w:rPr>
      <w:rFonts w:ascii="標楷體" w:hAnsi="Arial"/>
      <w:szCs w:val="36"/>
    </w:rPr>
  </w:style>
  <w:style w:type="paragraph" w:styleId="5">
    <w:name w:val="heading 5"/>
    <w:basedOn w:val="a1"/>
    <w:qFormat/>
    <w:rsid w:val="004949F2"/>
    <w:pPr>
      <w:numPr>
        <w:ilvl w:val="4"/>
        <w:numId w:val="1"/>
      </w:numPr>
      <w:kinsoku w:val="0"/>
      <w:jc w:val="both"/>
      <w:outlineLvl w:val="4"/>
    </w:pPr>
    <w:rPr>
      <w:rFonts w:ascii="標楷體" w:hAnsi="Arial"/>
      <w:bCs/>
      <w:szCs w:val="36"/>
    </w:rPr>
  </w:style>
  <w:style w:type="paragraph" w:styleId="6">
    <w:name w:val="heading 6"/>
    <w:basedOn w:val="a1"/>
    <w:qFormat/>
    <w:rsid w:val="004949F2"/>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4949F2"/>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4949F2"/>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4949F2"/>
    <w:pPr>
      <w:spacing w:before="720" w:after="720"/>
      <w:ind w:left="7371"/>
    </w:pPr>
    <w:rPr>
      <w:rFonts w:ascii="標楷體"/>
      <w:b/>
      <w:snapToGrid w:val="0"/>
      <w:spacing w:val="10"/>
      <w:sz w:val="36"/>
    </w:rPr>
  </w:style>
  <w:style w:type="paragraph" w:styleId="a7">
    <w:name w:val="endnote text"/>
    <w:basedOn w:val="a1"/>
    <w:semiHidden/>
    <w:rsid w:val="004949F2"/>
    <w:pPr>
      <w:spacing w:before="240"/>
      <w:ind w:left="1021" w:hanging="1021"/>
      <w:jc w:val="both"/>
    </w:pPr>
    <w:rPr>
      <w:rFonts w:ascii="標楷體"/>
      <w:snapToGrid w:val="0"/>
      <w:spacing w:val="10"/>
    </w:rPr>
  </w:style>
  <w:style w:type="paragraph" w:styleId="50">
    <w:name w:val="toc 5"/>
    <w:basedOn w:val="a1"/>
    <w:next w:val="a1"/>
    <w:autoRedefine/>
    <w:semiHidden/>
    <w:rsid w:val="004949F2"/>
    <w:pPr>
      <w:ind w:leftChars="400" w:left="600" w:rightChars="200" w:right="200" w:hangingChars="200" w:hanging="200"/>
    </w:pPr>
    <w:rPr>
      <w:rFonts w:ascii="標楷體"/>
    </w:rPr>
  </w:style>
  <w:style w:type="character" w:styleId="a8">
    <w:name w:val="page number"/>
    <w:semiHidden/>
    <w:rsid w:val="004949F2"/>
    <w:rPr>
      <w:rFonts w:ascii="標楷體" w:eastAsia="標楷體"/>
      <w:sz w:val="20"/>
    </w:rPr>
  </w:style>
  <w:style w:type="paragraph" w:styleId="60">
    <w:name w:val="toc 6"/>
    <w:basedOn w:val="a1"/>
    <w:next w:val="a1"/>
    <w:autoRedefine/>
    <w:semiHidden/>
    <w:rsid w:val="004949F2"/>
    <w:pPr>
      <w:ind w:leftChars="500" w:left="500"/>
    </w:pPr>
    <w:rPr>
      <w:rFonts w:ascii="標楷體"/>
    </w:rPr>
  </w:style>
  <w:style w:type="paragraph" w:customStyle="1" w:styleId="11">
    <w:name w:val="段落樣式1"/>
    <w:basedOn w:val="a1"/>
    <w:rsid w:val="004949F2"/>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4949F2"/>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4949F2"/>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4949F2"/>
    <w:pPr>
      <w:kinsoku w:val="0"/>
      <w:ind w:leftChars="100" w:left="300" w:rightChars="200" w:right="200" w:hangingChars="200" w:hanging="200"/>
    </w:pPr>
    <w:rPr>
      <w:rFonts w:ascii="標楷體"/>
      <w:noProof/>
    </w:rPr>
  </w:style>
  <w:style w:type="paragraph" w:styleId="31">
    <w:name w:val="toc 3"/>
    <w:basedOn w:val="a1"/>
    <w:next w:val="a1"/>
    <w:autoRedefine/>
    <w:semiHidden/>
    <w:rsid w:val="004949F2"/>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4949F2"/>
    <w:pPr>
      <w:kinsoku w:val="0"/>
      <w:ind w:leftChars="300" w:left="500" w:rightChars="200" w:right="200" w:hangingChars="200" w:hanging="200"/>
      <w:jc w:val="both"/>
    </w:pPr>
    <w:rPr>
      <w:rFonts w:ascii="標楷體"/>
    </w:rPr>
  </w:style>
  <w:style w:type="paragraph" w:styleId="70">
    <w:name w:val="toc 7"/>
    <w:basedOn w:val="a1"/>
    <w:next w:val="a1"/>
    <w:autoRedefine/>
    <w:semiHidden/>
    <w:rsid w:val="004949F2"/>
    <w:pPr>
      <w:ind w:leftChars="600" w:left="800" w:hangingChars="200" w:hanging="200"/>
    </w:pPr>
    <w:rPr>
      <w:rFonts w:ascii="標楷體"/>
    </w:rPr>
  </w:style>
  <w:style w:type="paragraph" w:styleId="80">
    <w:name w:val="toc 8"/>
    <w:basedOn w:val="a1"/>
    <w:next w:val="a1"/>
    <w:autoRedefine/>
    <w:semiHidden/>
    <w:rsid w:val="004949F2"/>
    <w:pPr>
      <w:ind w:leftChars="700" w:left="900" w:hangingChars="200" w:hanging="200"/>
    </w:pPr>
    <w:rPr>
      <w:rFonts w:ascii="標楷體"/>
    </w:rPr>
  </w:style>
  <w:style w:type="paragraph" w:styleId="9">
    <w:name w:val="toc 9"/>
    <w:basedOn w:val="a1"/>
    <w:next w:val="a1"/>
    <w:autoRedefine/>
    <w:semiHidden/>
    <w:rsid w:val="004949F2"/>
    <w:pPr>
      <w:ind w:leftChars="1600" w:left="3840"/>
    </w:pPr>
  </w:style>
  <w:style w:type="paragraph" w:styleId="a9">
    <w:name w:val="header"/>
    <w:basedOn w:val="a1"/>
    <w:semiHidden/>
    <w:rsid w:val="004949F2"/>
    <w:pPr>
      <w:tabs>
        <w:tab w:val="center" w:pos="4153"/>
        <w:tab w:val="right" w:pos="8306"/>
      </w:tabs>
      <w:snapToGrid w:val="0"/>
    </w:pPr>
    <w:rPr>
      <w:sz w:val="20"/>
    </w:rPr>
  </w:style>
  <w:style w:type="paragraph" w:customStyle="1" w:styleId="32">
    <w:name w:val="段落樣式3"/>
    <w:basedOn w:val="21"/>
    <w:rsid w:val="004949F2"/>
    <w:pPr>
      <w:ind w:leftChars="400" w:left="400"/>
    </w:pPr>
  </w:style>
  <w:style w:type="character" w:styleId="aa">
    <w:name w:val="Hyperlink"/>
    <w:semiHidden/>
    <w:rsid w:val="004949F2"/>
    <w:rPr>
      <w:color w:val="0000FF"/>
      <w:u w:val="single"/>
    </w:rPr>
  </w:style>
  <w:style w:type="paragraph" w:customStyle="1" w:styleId="ab">
    <w:name w:val="簽名日期"/>
    <w:basedOn w:val="a1"/>
    <w:rsid w:val="004949F2"/>
    <w:pPr>
      <w:kinsoku w:val="0"/>
      <w:jc w:val="distribute"/>
    </w:pPr>
    <w:rPr>
      <w:kern w:val="0"/>
    </w:rPr>
  </w:style>
  <w:style w:type="paragraph" w:customStyle="1" w:styleId="0">
    <w:name w:val="段落樣式0"/>
    <w:basedOn w:val="21"/>
    <w:rsid w:val="004949F2"/>
    <w:pPr>
      <w:ind w:leftChars="200" w:left="200" w:firstLineChars="0" w:firstLine="0"/>
    </w:pPr>
  </w:style>
  <w:style w:type="paragraph" w:customStyle="1" w:styleId="ac">
    <w:name w:val="附件"/>
    <w:basedOn w:val="a7"/>
    <w:rsid w:val="004949F2"/>
    <w:pPr>
      <w:kinsoku w:val="0"/>
      <w:spacing w:before="0"/>
      <w:ind w:left="1047" w:hangingChars="300" w:hanging="1047"/>
    </w:pPr>
    <w:rPr>
      <w:snapToGrid/>
      <w:spacing w:val="0"/>
      <w:kern w:val="0"/>
    </w:rPr>
  </w:style>
  <w:style w:type="paragraph" w:customStyle="1" w:styleId="42">
    <w:name w:val="段落樣式4"/>
    <w:basedOn w:val="32"/>
    <w:rsid w:val="004949F2"/>
    <w:pPr>
      <w:ind w:leftChars="500" w:left="500"/>
    </w:pPr>
  </w:style>
  <w:style w:type="paragraph" w:customStyle="1" w:styleId="51">
    <w:name w:val="段落樣式5"/>
    <w:basedOn w:val="42"/>
    <w:rsid w:val="004949F2"/>
    <w:pPr>
      <w:ind w:leftChars="600" w:left="600"/>
    </w:pPr>
  </w:style>
  <w:style w:type="paragraph" w:customStyle="1" w:styleId="61">
    <w:name w:val="段落樣式6"/>
    <w:basedOn w:val="51"/>
    <w:rsid w:val="004949F2"/>
    <w:pPr>
      <w:ind w:leftChars="700" w:left="700"/>
    </w:pPr>
  </w:style>
  <w:style w:type="paragraph" w:customStyle="1" w:styleId="71">
    <w:name w:val="段落樣式7"/>
    <w:basedOn w:val="61"/>
    <w:rsid w:val="004949F2"/>
  </w:style>
  <w:style w:type="paragraph" w:customStyle="1" w:styleId="81">
    <w:name w:val="段落樣式8"/>
    <w:basedOn w:val="71"/>
    <w:rsid w:val="004949F2"/>
    <w:pPr>
      <w:ind w:leftChars="800" w:left="800"/>
    </w:pPr>
  </w:style>
  <w:style w:type="paragraph" w:customStyle="1" w:styleId="a0">
    <w:name w:val="表樣式"/>
    <w:basedOn w:val="a1"/>
    <w:next w:val="a1"/>
    <w:rsid w:val="004949F2"/>
    <w:pPr>
      <w:numPr>
        <w:numId w:val="2"/>
      </w:numPr>
      <w:jc w:val="both"/>
    </w:pPr>
    <w:rPr>
      <w:rFonts w:ascii="標楷體"/>
      <w:kern w:val="0"/>
    </w:rPr>
  </w:style>
  <w:style w:type="paragraph" w:styleId="ad">
    <w:name w:val="Body Text Indent"/>
    <w:basedOn w:val="a1"/>
    <w:semiHidden/>
    <w:rsid w:val="004949F2"/>
    <w:pPr>
      <w:ind w:left="698" w:hangingChars="200" w:hanging="698"/>
    </w:pPr>
  </w:style>
  <w:style w:type="paragraph" w:customStyle="1" w:styleId="ae">
    <w:name w:val="調查報告"/>
    <w:basedOn w:val="a7"/>
    <w:rsid w:val="004949F2"/>
    <w:pPr>
      <w:kinsoku w:val="0"/>
      <w:spacing w:before="0"/>
      <w:ind w:left="1701" w:firstLine="0"/>
    </w:pPr>
    <w:rPr>
      <w:b/>
      <w:snapToGrid/>
      <w:spacing w:val="200"/>
      <w:kern w:val="0"/>
      <w:sz w:val="36"/>
    </w:rPr>
  </w:style>
  <w:style w:type="paragraph" w:customStyle="1" w:styleId="af">
    <w:name w:val="分項段落"/>
    <w:basedOn w:val="a1"/>
    <w:rsid w:val="004F0E7F"/>
    <w:rPr>
      <w:rFonts w:eastAsia="新細明體"/>
      <w:sz w:val="24"/>
    </w:rPr>
  </w:style>
  <w:style w:type="paragraph" w:customStyle="1" w:styleId="a">
    <w:name w:val="圖樣式"/>
    <w:basedOn w:val="a1"/>
    <w:next w:val="a1"/>
    <w:rsid w:val="004949F2"/>
    <w:pPr>
      <w:numPr>
        <w:numId w:val="3"/>
      </w:numPr>
      <w:tabs>
        <w:tab w:val="clear" w:pos="1440"/>
      </w:tabs>
      <w:ind w:left="400" w:hangingChars="400" w:hanging="400"/>
      <w:jc w:val="both"/>
    </w:pPr>
    <w:rPr>
      <w:rFonts w:ascii="標楷體"/>
    </w:rPr>
  </w:style>
  <w:style w:type="paragraph" w:styleId="af0">
    <w:name w:val="footer"/>
    <w:basedOn w:val="a1"/>
    <w:semiHidden/>
    <w:rsid w:val="004949F2"/>
    <w:pPr>
      <w:tabs>
        <w:tab w:val="center" w:pos="4153"/>
        <w:tab w:val="right" w:pos="8306"/>
      </w:tabs>
      <w:snapToGrid w:val="0"/>
    </w:pPr>
    <w:rPr>
      <w:sz w:val="20"/>
    </w:rPr>
  </w:style>
  <w:style w:type="paragraph" w:styleId="af1">
    <w:name w:val="table of figures"/>
    <w:basedOn w:val="a1"/>
    <w:next w:val="a1"/>
    <w:semiHidden/>
    <w:rsid w:val="004949F2"/>
    <w:pPr>
      <w:ind w:left="400" w:hangingChars="400" w:hanging="400"/>
    </w:pPr>
  </w:style>
  <w:style w:type="paragraph" w:styleId="af2">
    <w:name w:val="Plain Text"/>
    <w:basedOn w:val="a1"/>
    <w:link w:val="af3"/>
    <w:semiHidden/>
    <w:rsid w:val="0028603A"/>
    <w:rPr>
      <w:rFonts w:ascii="細明體" w:eastAsia="細明體" w:hAnsi="Courier New"/>
      <w:sz w:val="24"/>
      <w:szCs w:val="24"/>
    </w:rPr>
  </w:style>
  <w:style w:type="character" w:customStyle="1" w:styleId="af3">
    <w:name w:val="純文字 字元"/>
    <w:link w:val="af2"/>
    <w:semiHidden/>
    <w:rsid w:val="0028603A"/>
    <w:rPr>
      <w:rFonts w:ascii="細明體" w:eastAsia="細明體" w:hAnsi="Courier New" w:cs="Courier New"/>
      <w:kern w:val="2"/>
      <w:sz w:val="24"/>
      <w:szCs w:val="24"/>
    </w:rPr>
  </w:style>
  <w:style w:type="paragraph" w:styleId="af4">
    <w:name w:val="footnote text"/>
    <w:basedOn w:val="a1"/>
    <w:link w:val="af5"/>
    <w:uiPriority w:val="99"/>
    <w:semiHidden/>
    <w:unhideWhenUsed/>
    <w:rsid w:val="00FF787B"/>
    <w:pPr>
      <w:snapToGrid w:val="0"/>
    </w:pPr>
    <w:rPr>
      <w:sz w:val="20"/>
    </w:rPr>
  </w:style>
  <w:style w:type="character" w:customStyle="1" w:styleId="af5">
    <w:name w:val="註腳文字 字元"/>
    <w:link w:val="af4"/>
    <w:uiPriority w:val="99"/>
    <w:semiHidden/>
    <w:rsid w:val="00FF787B"/>
    <w:rPr>
      <w:rFonts w:eastAsia="標楷體"/>
      <w:kern w:val="2"/>
    </w:rPr>
  </w:style>
  <w:style w:type="character" w:styleId="af6">
    <w:name w:val="footnote reference"/>
    <w:uiPriority w:val="99"/>
    <w:semiHidden/>
    <w:unhideWhenUsed/>
    <w:rsid w:val="00FF787B"/>
    <w:rPr>
      <w:vertAlign w:val="superscript"/>
    </w:rPr>
  </w:style>
  <w:style w:type="table" w:styleId="af7">
    <w:name w:val="Table Grid"/>
    <w:basedOn w:val="a3"/>
    <w:uiPriority w:val="59"/>
    <w:rsid w:val="00F6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0868"/>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1"/>
    <w:link w:val="HTML0"/>
    <w:uiPriority w:val="99"/>
    <w:unhideWhenUsed/>
    <w:rsid w:val="00B04B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細明體" w:eastAsia="細明體" w:hAnsi="細明體" w:cs="細明體"/>
      <w:kern w:val="0"/>
      <w:sz w:val="24"/>
      <w:szCs w:val="24"/>
    </w:rPr>
  </w:style>
  <w:style w:type="character" w:customStyle="1" w:styleId="HTML0">
    <w:name w:val="HTML 預設格式 字元"/>
    <w:basedOn w:val="a2"/>
    <w:link w:val="HTML"/>
    <w:uiPriority w:val="99"/>
    <w:rsid w:val="00B04BF0"/>
    <w:rPr>
      <w:rFonts w:ascii="細明體" w:eastAsia="細明體" w:hAnsi="細明體" w:cs="細明體"/>
      <w:sz w:val="24"/>
      <w:szCs w:val="24"/>
    </w:rPr>
  </w:style>
  <w:style w:type="character" w:customStyle="1" w:styleId="10">
    <w:name w:val="標題 1 字元"/>
    <w:basedOn w:val="a2"/>
    <w:link w:val="1"/>
    <w:rsid w:val="00981D7E"/>
    <w:rPr>
      <w:rFonts w:ascii="標楷體" w:eastAsia="標楷體" w:hAnsi="Arial"/>
      <w:bCs/>
      <w:sz w:val="32"/>
      <w:szCs w:val="52"/>
    </w:rPr>
  </w:style>
  <w:style w:type="character" w:customStyle="1" w:styleId="40">
    <w:name w:val="標題 4 字元"/>
    <w:aliases w:val="表格 字元"/>
    <w:basedOn w:val="a2"/>
    <w:link w:val="4"/>
    <w:rsid w:val="005A5E43"/>
    <w:rPr>
      <w:rFonts w:ascii="標楷體" w:eastAsia="標楷體" w:hAnsi="Arial"/>
      <w:kern w:val="2"/>
      <w:sz w:val="32"/>
      <w:szCs w:val="36"/>
    </w:rPr>
  </w:style>
  <w:style w:type="paragraph" w:styleId="af8">
    <w:name w:val="List Paragraph"/>
    <w:basedOn w:val="a1"/>
    <w:uiPriority w:val="99"/>
    <w:qFormat/>
    <w:rsid w:val="005A3FD8"/>
    <w:pPr>
      <w:ind w:leftChars="200" w:left="480"/>
    </w:pPr>
  </w:style>
  <w:style w:type="paragraph" w:customStyle="1" w:styleId="90">
    <w:name w:val="標題9"/>
    <w:basedOn w:val="a1"/>
    <w:rsid w:val="007D668F"/>
    <w:pPr>
      <w:tabs>
        <w:tab w:val="num" w:pos="6195"/>
      </w:tabs>
      <w:ind w:left="5015" w:hanging="1700"/>
    </w:pPr>
  </w:style>
  <w:style w:type="character" w:customStyle="1" w:styleId="20">
    <w:name w:val="標題 2 字元"/>
    <w:basedOn w:val="a2"/>
    <w:link w:val="2"/>
    <w:rsid w:val="007D668F"/>
    <w:rPr>
      <w:rFonts w:ascii="標楷體" w:eastAsia="標楷體" w:hAnsi="Arial"/>
      <w:bCs/>
      <w:sz w:val="32"/>
      <w:szCs w:val="48"/>
    </w:rPr>
  </w:style>
  <w:style w:type="character" w:customStyle="1" w:styleId="a6">
    <w:name w:val="簽名 字元"/>
    <w:basedOn w:val="a2"/>
    <w:link w:val="a5"/>
    <w:semiHidden/>
    <w:rsid w:val="007D668F"/>
    <w:rPr>
      <w:rFonts w:ascii="標楷體" w:eastAsia="標楷體"/>
      <w:b/>
      <w:snapToGrid w:val="0"/>
      <w:spacing w:val="10"/>
      <w:kern w:val="2"/>
      <w:sz w:val="36"/>
    </w:rPr>
  </w:style>
  <w:style w:type="character" w:customStyle="1" w:styleId="30">
    <w:name w:val="標題 3 字元"/>
    <w:basedOn w:val="a2"/>
    <w:link w:val="3"/>
    <w:rsid w:val="005163CC"/>
    <w:rPr>
      <w:rFonts w:ascii="標楷體" w:eastAsia="標楷體" w:hAnsi="Arial"/>
      <w:bCs/>
      <w:sz w:val="32"/>
      <w:szCs w:val="36"/>
    </w:rPr>
  </w:style>
  <w:style w:type="paragraph" w:styleId="Web">
    <w:name w:val="Normal (Web)"/>
    <w:basedOn w:val="a1"/>
    <w:uiPriority w:val="99"/>
    <w:semiHidden/>
    <w:unhideWhenUsed/>
    <w:rsid w:val="00687A4F"/>
    <w:pPr>
      <w:widowControl/>
      <w:spacing w:before="100" w:beforeAutospacing="1" w:after="100" w:afterAutospacing="1"/>
    </w:pPr>
    <w:rPr>
      <w:rFonts w:ascii="新細明體" w:eastAsia="新細明體" w:hAnsi="新細明體" w:cs="新細明體"/>
      <w:kern w:val="0"/>
      <w:sz w:val="24"/>
      <w:szCs w:val="24"/>
    </w:rPr>
  </w:style>
  <w:style w:type="paragraph" w:styleId="af9">
    <w:name w:val="Balloon Text"/>
    <w:basedOn w:val="a1"/>
    <w:link w:val="afa"/>
    <w:uiPriority w:val="99"/>
    <w:semiHidden/>
    <w:unhideWhenUsed/>
    <w:rsid w:val="001C14FC"/>
    <w:rPr>
      <w:rFonts w:asciiTheme="majorHAnsi" w:eastAsiaTheme="majorEastAsia" w:hAnsiTheme="majorHAnsi" w:cstheme="majorBidi"/>
      <w:sz w:val="18"/>
      <w:szCs w:val="18"/>
    </w:rPr>
  </w:style>
  <w:style w:type="character" w:customStyle="1" w:styleId="afa">
    <w:name w:val="註解方塊文字 字元"/>
    <w:basedOn w:val="a2"/>
    <w:link w:val="af9"/>
    <w:uiPriority w:val="99"/>
    <w:semiHidden/>
    <w:rsid w:val="001C14FC"/>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949F2"/>
    <w:pPr>
      <w:widowControl w:val="0"/>
    </w:pPr>
    <w:rPr>
      <w:rFonts w:eastAsia="標楷體"/>
      <w:kern w:val="2"/>
      <w:sz w:val="32"/>
    </w:rPr>
  </w:style>
  <w:style w:type="paragraph" w:styleId="1">
    <w:name w:val="heading 1"/>
    <w:basedOn w:val="a1"/>
    <w:link w:val="10"/>
    <w:qFormat/>
    <w:rsid w:val="004949F2"/>
    <w:pPr>
      <w:numPr>
        <w:numId w:val="1"/>
      </w:numPr>
      <w:kinsoku w:val="0"/>
      <w:jc w:val="both"/>
      <w:outlineLvl w:val="0"/>
    </w:pPr>
    <w:rPr>
      <w:rFonts w:ascii="標楷體" w:hAnsi="Arial"/>
      <w:bCs/>
      <w:kern w:val="0"/>
      <w:szCs w:val="52"/>
    </w:rPr>
  </w:style>
  <w:style w:type="paragraph" w:styleId="2">
    <w:name w:val="heading 2"/>
    <w:basedOn w:val="a1"/>
    <w:link w:val="20"/>
    <w:qFormat/>
    <w:rsid w:val="004949F2"/>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4949F2"/>
    <w:pPr>
      <w:numPr>
        <w:ilvl w:val="2"/>
        <w:numId w:val="1"/>
      </w:numPr>
      <w:kinsoku w:val="0"/>
      <w:jc w:val="both"/>
      <w:outlineLvl w:val="2"/>
    </w:pPr>
    <w:rPr>
      <w:rFonts w:ascii="標楷體" w:hAnsi="Arial"/>
      <w:bCs/>
      <w:kern w:val="0"/>
      <w:szCs w:val="36"/>
    </w:rPr>
  </w:style>
  <w:style w:type="paragraph" w:styleId="4">
    <w:name w:val="heading 4"/>
    <w:aliases w:val="表格"/>
    <w:basedOn w:val="a1"/>
    <w:link w:val="40"/>
    <w:qFormat/>
    <w:rsid w:val="004949F2"/>
    <w:pPr>
      <w:numPr>
        <w:ilvl w:val="3"/>
        <w:numId w:val="1"/>
      </w:numPr>
      <w:jc w:val="both"/>
      <w:outlineLvl w:val="3"/>
    </w:pPr>
    <w:rPr>
      <w:rFonts w:ascii="標楷體" w:hAnsi="Arial"/>
      <w:szCs w:val="36"/>
    </w:rPr>
  </w:style>
  <w:style w:type="paragraph" w:styleId="5">
    <w:name w:val="heading 5"/>
    <w:basedOn w:val="a1"/>
    <w:qFormat/>
    <w:rsid w:val="004949F2"/>
    <w:pPr>
      <w:numPr>
        <w:ilvl w:val="4"/>
        <w:numId w:val="1"/>
      </w:numPr>
      <w:kinsoku w:val="0"/>
      <w:jc w:val="both"/>
      <w:outlineLvl w:val="4"/>
    </w:pPr>
    <w:rPr>
      <w:rFonts w:ascii="標楷體" w:hAnsi="Arial"/>
      <w:bCs/>
      <w:szCs w:val="36"/>
    </w:rPr>
  </w:style>
  <w:style w:type="paragraph" w:styleId="6">
    <w:name w:val="heading 6"/>
    <w:basedOn w:val="a1"/>
    <w:qFormat/>
    <w:rsid w:val="004949F2"/>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4949F2"/>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4949F2"/>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4949F2"/>
    <w:pPr>
      <w:spacing w:before="720" w:after="720"/>
      <w:ind w:left="7371"/>
    </w:pPr>
    <w:rPr>
      <w:rFonts w:ascii="標楷體"/>
      <w:b/>
      <w:snapToGrid w:val="0"/>
      <w:spacing w:val="10"/>
      <w:sz w:val="36"/>
    </w:rPr>
  </w:style>
  <w:style w:type="paragraph" w:styleId="a7">
    <w:name w:val="endnote text"/>
    <w:basedOn w:val="a1"/>
    <w:semiHidden/>
    <w:rsid w:val="004949F2"/>
    <w:pPr>
      <w:spacing w:before="240"/>
      <w:ind w:left="1021" w:hanging="1021"/>
      <w:jc w:val="both"/>
    </w:pPr>
    <w:rPr>
      <w:rFonts w:ascii="標楷體"/>
      <w:snapToGrid w:val="0"/>
      <w:spacing w:val="10"/>
    </w:rPr>
  </w:style>
  <w:style w:type="paragraph" w:styleId="50">
    <w:name w:val="toc 5"/>
    <w:basedOn w:val="a1"/>
    <w:next w:val="a1"/>
    <w:autoRedefine/>
    <w:semiHidden/>
    <w:rsid w:val="004949F2"/>
    <w:pPr>
      <w:ind w:leftChars="400" w:left="600" w:rightChars="200" w:right="200" w:hangingChars="200" w:hanging="200"/>
    </w:pPr>
    <w:rPr>
      <w:rFonts w:ascii="標楷體"/>
    </w:rPr>
  </w:style>
  <w:style w:type="character" w:styleId="a8">
    <w:name w:val="page number"/>
    <w:semiHidden/>
    <w:rsid w:val="004949F2"/>
    <w:rPr>
      <w:rFonts w:ascii="標楷體" w:eastAsia="標楷體"/>
      <w:sz w:val="20"/>
    </w:rPr>
  </w:style>
  <w:style w:type="paragraph" w:styleId="60">
    <w:name w:val="toc 6"/>
    <w:basedOn w:val="a1"/>
    <w:next w:val="a1"/>
    <w:autoRedefine/>
    <w:semiHidden/>
    <w:rsid w:val="004949F2"/>
    <w:pPr>
      <w:ind w:leftChars="500" w:left="500"/>
    </w:pPr>
    <w:rPr>
      <w:rFonts w:ascii="標楷體"/>
    </w:rPr>
  </w:style>
  <w:style w:type="paragraph" w:customStyle="1" w:styleId="11">
    <w:name w:val="段落樣式1"/>
    <w:basedOn w:val="a1"/>
    <w:rsid w:val="004949F2"/>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4949F2"/>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4949F2"/>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4949F2"/>
    <w:pPr>
      <w:kinsoku w:val="0"/>
      <w:ind w:leftChars="100" w:left="300" w:rightChars="200" w:right="200" w:hangingChars="200" w:hanging="200"/>
    </w:pPr>
    <w:rPr>
      <w:rFonts w:ascii="標楷體"/>
      <w:noProof/>
    </w:rPr>
  </w:style>
  <w:style w:type="paragraph" w:styleId="31">
    <w:name w:val="toc 3"/>
    <w:basedOn w:val="a1"/>
    <w:next w:val="a1"/>
    <w:autoRedefine/>
    <w:semiHidden/>
    <w:rsid w:val="004949F2"/>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4949F2"/>
    <w:pPr>
      <w:kinsoku w:val="0"/>
      <w:ind w:leftChars="300" w:left="500" w:rightChars="200" w:right="200" w:hangingChars="200" w:hanging="200"/>
      <w:jc w:val="both"/>
    </w:pPr>
    <w:rPr>
      <w:rFonts w:ascii="標楷體"/>
    </w:rPr>
  </w:style>
  <w:style w:type="paragraph" w:styleId="70">
    <w:name w:val="toc 7"/>
    <w:basedOn w:val="a1"/>
    <w:next w:val="a1"/>
    <w:autoRedefine/>
    <w:semiHidden/>
    <w:rsid w:val="004949F2"/>
    <w:pPr>
      <w:ind w:leftChars="600" w:left="800" w:hangingChars="200" w:hanging="200"/>
    </w:pPr>
    <w:rPr>
      <w:rFonts w:ascii="標楷體"/>
    </w:rPr>
  </w:style>
  <w:style w:type="paragraph" w:styleId="80">
    <w:name w:val="toc 8"/>
    <w:basedOn w:val="a1"/>
    <w:next w:val="a1"/>
    <w:autoRedefine/>
    <w:semiHidden/>
    <w:rsid w:val="004949F2"/>
    <w:pPr>
      <w:ind w:leftChars="700" w:left="900" w:hangingChars="200" w:hanging="200"/>
    </w:pPr>
    <w:rPr>
      <w:rFonts w:ascii="標楷體"/>
    </w:rPr>
  </w:style>
  <w:style w:type="paragraph" w:styleId="9">
    <w:name w:val="toc 9"/>
    <w:basedOn w:val="a1"/>
    <w:next w:val="a1"/>
    <w:autoRedefine/>
    <w:semiHidden/>
    <w:rsid w:val="004949F2"/>
    <w:pPr>
      <w:ind w:leftChars="1600" w:left="3840"/>
    </w:pPr>
  </w:style>
  <w:style w:type="paragraph" w:styleId="a9">
    <w:name w:val="header"/>
    <w:basedOn w:val="a1"/>
    <w:semiHidden/>
    <w:rsid w:val="004949F2"/>
    <w:pPr>
      <w:tabs>
        <w:tab w:val="center" w:pos="4153"/>
        <w:tab w:val="right" w:pos="8306"/>
      </w:tabs>
      <w:snapToGrid w:val="0"/>
    </w:pPr>
    <w:rPr>
      <w:sz w:val="20"/>
    </w:rPr>
  </w:style>
  <w:style w:type="paragraph" w:customStyle="1" w:styleId="32">
    <w:name w:val="段落樣式3"/>
    <w:basedOn w:val="21"/>
    <w:rsid w:val="004949F2"/>
    <w:pPr>
      <w:ind w:leftChars="400" w:left="400"/>
    </w:pPr>
  </w:style>
  <w:style w:type="character" w:styleId="aa">
    <w:name w:val="Hyperlink"/>
    <w:semiHidden/>
    <w:rsid w:val="004949F2"/>
    <w:rPr>
      <w:color w:val="0000FF"/>
      <w:u w:val="single"/>
    </w:rPr>
  </w:style>
  <w:style w:type="paragraph" w:customStyle="1" w:styleId="ab">
    <w:name w:val="簽名日期"/>
    <w:basedOn w:val="a1"/>
    <w:rsid w:val="004949F2"/>
    <w:pPr>
      <w:kinsoku w:val="0"/>
      <w:jc w:val="distribute"/>
    </w:pPr>
    <w:rPr>
      <w:kern w:val="0"/>
    </w:rPr>
  </w:style>
  <w:style w:type="paragraph" w:customStyle="1" w:styleId="0">
    <w:name w:val="段落樣式0"/>
    <w:basedOn w:val="21"/>
    <w:rsid w:val="004949F2"/>
    <w:pPr>
      <w:ind w:leftChars="200" w:left="200" w:firstLineChars="0" w:firstLine="0"/>
    </w:pPr>
  </w:style>
  <w:style w:type="paragraph" w:customStyle="1" w:styleId="ac">
    <w:name w:val="附件"/>
    <w:basedOn w:val="a7"/>
    <w:rsid w:val="004949F2"/>
    <w:pPr>
      <w:kinsoku w:val="0"/>
      <w:spacing w:before="0"/>
      <w:ind w:left="1047" w:hangingChars="300" w:hanging="1047"/>
    </w:pPr>
    <w:rPr>
      <w:snapToGrid/>
      <w:spacing w:val="0"/>
      <w:kern w:val="0"/>
    </w:rPr>
  </w:style>
  <w:style w:type="paragraph" w:customStyle="1" w:styleId="42">
    <w:name w:val="段落樣式4"/>
    <w:basedOn w:val="32"/>
    <w:rsid w:val="004949F2"/>
    <w:pPr>
      <w:ind w:leftChars="500" w:left="500"/>
    </w:pPr>
  </w:style>
  <w:style w:type="paragraph" w:customStyle="1" w:styleId="51">
    <w:name w:val="段落樣式5"/>
    <w:basedOn w:val="42"/>
    <w:rsid w:val="004949F2"/>
    <w:pPr>
      <w:ind w:leftChars="600" w:left="600"/>
    </w:pPr>
  </w:style>
  <w:style w:type="paragraph" w:customStyle="1" w:styleId="61">
    <w:name w:val="段落樣式6"/>
    <w:basedOn w:val="51"/>
    <w:rsid w:val="004949F2"/>
    <w:pPr>
      <w:ind w:leftChars="700" w:left="700"/>
    </w:pPr>
  </w:style>
  <w:style w:type="paragraph" w:customStyle="1" w:styleId="71">
    <w:name w:val="段落樣式7"/>
    <w:basedOn w:val="61"/>
    <w:rsid w:val="004949F2"/>
  </w:style>
  <w:style w:type="paragraph" w:customStyle="1" w:styleId="81">
    <w:name w:val="段落樣式8"/>
    <w:basedOn w:val="71"/>
    <w:rsid w:val="004949F2"/>
    <w:pPr>
      <w:ind w:leftChars="800" w:left="800"/>
    </w:pPr>
  </w:style>
  <w:style w:type="paragraph" w:customStyle="1" w:styleId="a0">
    <w:name w:val="表樣式"/>
    <w:basedOn w:val="a1"/>
    <w:next w:val="a1"/>
    <w:rsid w:val="004949F2"/>
    <w:pPr>
      <w:numPr>
        <w:numId w:val="2"/>
      </w:numPr>
      <w:jc w:val="both"/>
    </w:pPr>
    <w:rPr>
      <w:rFonts w:ascii="標楷體"/>
      <w:kern w:val="0"/>
    </w:rPr>
  </w:style>
  <w:style w:type="paragraph" w:styleId="ad">
    <w:name w:val="Body Text Indent"/>
    <w:basedOn w:val="a1"/>
    <w:semiHidden/>
    <w:rsid w:val="004949F2"/>
    <w:pPr>
      <w:ind w:left="698" w:hangingChars="200" w:hanging="698"/>
    </w:pPr>
  </w:style>
  <w:style w:type="paragraph" w:customStyle="1" w:styleId="ae">
    <w:name w:val="調查報告"/>
    <w:basedOn w:val="a7"/>
    <w:rsid w:val="004949F2"/>
    <w:pPr>
      <w:kinsoku w:val="0"/>
      <w:spacing w:before="0"/>
      <w:ind w:left="1701" w:firstLine="0"/>
    </w:pPr>
    <w:rPr>
      <w:b/>
      <w:snapToGrid/>
      <w:spacing w:val="200"/>
      <w:kern w:val="0"/>
      <w:sz w:val="36"/>
    </w:rPr>
  </w:style>
  <w:style w:type="paragraph" w:customStyle="1" w:styleId="af">
    <w:name w:val="分項段落"/>
    <w:basedOn w:val="a1"/>
    <w:rsid w:val="004F0E7F"/>
    <w:rPr>
      <w:rFonts w:eastAsia="新細明體"/>
      <w:sz w:val="24"/>
    </w:rPr>
  </w:style>
  <w:style w:type="paragraph" w:customStyle="1" w:styleId="a">
    <w:name w:val="圖樣式"/>
    <w:basedOn w:val="a1"/>
    <w:next w:val="a1"/>
    <w:rsid w:val="004949F2"/>
    <w:pPr>
      <w:numPr>
        <w:numId w:val="3"/>
      </w:numPr>
      <w:tabs>
        <w:tab w:val="clear" w:pos="1440"/>
      </w:tabs>
      <w:ind w:left="400" w:hangingChars="400" w:hanging="400"/>
      <w:jc w:val="both"/>
    </w:pPr>
    <w:rPr>
      <w:rFonts w:ascii="標楷體"/>
    </w:rPr>
  </w:style>
  <w:style w:type="paragraph" w:styleId="af0">
    <w:name w:val="footer"/>
    <w:basedOn w:val="a1"/>
    <w:semiHidden/>
    <w:rsid w:val="004949F2"/>
    <w:pPr>
      <w:tabs>
        <w:tab w:val="center" w:pos="4153"/>
        <w:tab w:val="right" w:pos="8306"/>
      </w:tabs>
      <w:snapToGrid w:val="0"/>
    </w:pPr>
    <w:rPr>
      <w:sz w:val="20"/>
    </w:rPr>
  </w:style>
  <w:style w:type="paragraph" w:styleId="af1">
    <w:name w:val="table of figures"/>
    <w:basedOn w:val="a1"/>
    <w:next w:val="a1"/>
    <w:semiHidden/>
    <w:rsid w:val="004949F2"/>
    <w:pPr>
      <w:ind w:left="400" w:hangingChars="400" w:hanging="400"/>
    </w:pPr>
  </w:style>
  <w:style w:type="paragraph" w:styleId="af2">
    <w:name w:val="Plain Text"/>
    <w:basedOn w:val="a1"/>
    <w:link w:val="af3"/>
    <w:semiHidden/>
    <w:rsid w:val="0028603A"/>
    <w:rPr>
      <w:rFonts w:ascii="細明體" w:eastAsia="細明體" w:hAnsi="Courier New"/>
      <w:sz w:val="24"/>
      <w:szCs w:val="24"/>
    </w:rPr>
  </w:style>
  <w:style w:type="character" w:customStyle="1" w:styleId="af3">
    <w:name w:val="純文字 字元"/>
    <w:link w:val="af2"/>
    <w:semiHidden/>
    <w:rsid w:val="0028603A"/>
    <w:rPr>
      <w:rFonts w:ascii="細明體" w:eastAsia="細明體" w:hAnsi="Courier New" w:cs="Courier New"/>
      <w:kern w:val="2"/>
      <w:sz w:val="24"/>
      <w:szCs w:val="24"/>
    </w:rPr>
  </w:style>
  <w:style w:type="paragraph" w:styleId="af4">
    <w:name w:val="footnote text"/>
    <w:basedOn w:val="a1"/>
    <w:link w:val="af5"/>
    <w:uiPriority w:val="99"/>
    <w:semiHidden/>
    <w:unhideWhenUsed/>
    <w:rsid w:val="00FF787B"/>
    <w:pPr>
      <w:snapToGrid w:val="0"/>
    </w:pPr>
    <w:rPr>
      <w:sz w:val="20"/>
    </w:rPr>
  </w:style>
  <w:style w:type="character" w:customStyle="1" w:styleId="af5">
    <w:name w:val="註腳文字 字元"/>
    <w:link w:val="af4"/>
    <w:uiPriority w:val="99"/>
    <w:semiHidden/>
    <w:rsid w:val="00FF787B"/>
    <w:rPr>
      <w:rFonts w:eastAsia="標楷體"/>
      <w:kern w:val="2"/>
    </w:rPr>
  </w:style>
  <w:style w:type="character" w:styleId="af6">
    <w:name w:val="footnote reference"/>
    <w:uiPriority w:val="99"/>
    <w:semiHidden/>
    <w:unhideWhenUsed/>
    <w:rsid w:val="00FF787B"/>
    <w:rPr>
      <w:vertAlign w:val="superscript"/>
    </w:rPr>
  </w:style>
  <w:style w:type="table" w:styleId="af7">
    <w:name w:val="Table Grid"/>
    <w:basedOn w:val="a3"/>
    <w:uiPriority w:val="59"/>
    <w:rsid w:val="00F6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0868"/>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1"/>
    <w:link w:val="HTML0"/>
    <w:uiPriority w:val="99"/>
    <w:unhideWhenUsed/>
    <w:rsid w:val="00B04B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細明體" w:eastAsia="細明體" w:hAnsi="細明體" w:cs="細明體"/>
      <w:kern w:val="0"/>
      <w:sz w:val="24"/>
      <w:szCs w:val="24"/>
    </w:rPr>
  </w:style>
  <w:style w:type="character" w:customStyle="1" w:styleId="HTML0">
    <w:name w:val="HTML 預設格式 字元"/>
    <w:basedOn w:val="a2"/>
    <w:link w:val="HTML"/>
    <w:uiPriority w:val="99"/>
    <w:rsid w:val="00B04BF0"/>
    <w:rPr>
      <w:rFonts w:ascii="細明體" w:eastAsia="細明體" w:hAnsi="細明體" w:cs="細明體"/>
      <w:sz w:val="24"/>
      <w:szCs w:val="24"/>
    </w:rPr>
  </w:style>
  <w:style w:type="character" w:customStyle="1" w:styleId="10">
    <w:name w:val="標題 1 字元"/>
    <w:basedOn w:val="a2"/>
    <w:link w:val="1"/>
    <w:rsid w:val="00981D7E"/>
    <w:rPr>
      <w:rFonts w:ascii="標楷體" w:eastAsia="標楷體" w:hAnsi="Arial"/>
      <w:bCs/>
      <w:sz w:val="32"/>
      <w:szCs w:val="52"/>
    </w:rPr>
  </w:style>
  <w:style w:type="character" w:customStyle="1" w:styleId="40">
    <w:name w:val="標題 4 字元"/>
    <w:aliases w:val="表格 字元"/>
    <w:basedOn w:val="a2"/>
    <w:link w:val="4"/>
    <w:rsid w:val="005A5E43"/>
    <w:rPr>
      <w:rFonts w:ascii="標楷體" w:eastAsia="標楷體" w:hAnsi="Arial"/>
      <w:kern w:val="2"/>
      <w:sz w:val="32"/>
      <w:szCs w:val="36"/>
    </w:rPr>
  </w:style>
  <w:style w:type="paragraph" w:styleId="af8">
    <w:name w:val="List Paragraph"/>
    <w:basedOn w:val="a1"/>
    <w:uiPriority w:val="99"/>
    <w:qFormat/>
    <w:rsid w:val="005A3FD8"/>
    <w:pPr>
      <w:ind w:leftChars="200" w:left="480"/>
    </w:pPr>
  </w:style>
  <w:style w:type="paragraph" w:customStyle="1" w:styleId="90">
    <w:name w:val="標題9"/>
    <w:basedOn w:val="a1"/>
    <w:rsid w:val="007D668F"/>
    <w:pPr>
      <w:tabs>
        <w:tab w:val="num" w:pos="6195"/>
      </w:tabs>
      <w:ind w:left="5015" w:hanging="1700"/>
    </w:pPr>
  </w:style>
  <w:style w:type="character" w:customStyle="1" w:styleId="20">
    <w:name w:val="標題 2 字元"/>
    <w:basedOn w:val="a2"/>
    <w:link w:val="2"/>
    <w:rsid w:val="007D668F"/>
    <w:rPr>
      <w:rFonts w:ascii="標楷體" w:eastAsia="標楷體" w:hAnsi="Arial"/>
      <w:bCs/>
      <w:sz w:val="32"/>
      <w:szCs w:val="48"/>
    </w:rPr>
  </w:style>
  <w:style w:type="character" w:customStyle="1" w:styleId="a6">
    <w:name w:val="簽名 字元"/>
    <w:basedOn w:val="a2"/>
    <w:link w:val="a5"/>
    <w:semiHidden/>
    <w:rsid w:val="007D668F"/>
    <w:rPr>
      <w:rFonts w:ascii="標楷體" w:eastAsia="標楷體"/>
      <w:b/>
      <w:snapToGrid w:val="0"/>
      <w:spacing w:val="10"/>
      <w:kern w:val="2"/>
      <w:sz w:val="36"/>
    </w:rPr>
  </w:style>
  <w:style w:type="character" w:customStyle="1" w:styleId="30">
    <w:name w:val="標題 3 字元"/>
    <w:basedOn w:val="a2"/>
    <w:link w:val="3"/>
    <w:rsid w:val="005163CC"/>
    <w:rPr>
      <w:rFonts w:ascii="標楷體" w:eastAsia="標楷體" w:hAnsi="Arial"/>
      <w:bCs/>
      <w:sz w:val="32"/>
      <w:szCs w:val="36"/>
    </w:rPr>
  </w:style>
  <w:style w:type="paragraph" w:styleId="Web">
    <w:name w:val="Normal (Web)"/>
    <w:basedOn w:val="a1"/>
    <w:uiPriority w:val="99"/>
    <w:semiHidden/>
    <w:unhideWhenUsed/>
    <w:rsid w:val="00687A4F"/>
    <w:pPr>
      <w:widowControl/>
      <w:spacing w:before="100" w:beforeAutospacing="1" w:after="100" w:afterAutospacing="1"/>
    </w:pPr>
    <w:rPr>
      <w:rFonts w:ascii="新細明體" w:eastAsia="新細明體" w:hAnsi="新細明體" w:cs="新細明體"/>
      <w:kern w:val="0"/>
      <w:sz w:val="24"/>
      <w:szCs w:val="24"/>
    </w:rPr>
  </w:style>
  <w:style w:type="paragraph" w:styleId="af9">
    <w:name w:val="Balloon Text"/>
    <w:basedOn w:val="a1"/>
    <w:link w:val="afa"/>
    <w:uiPriority w:val="99"/>
    <w:semiHidden/>
    <w:unhideWhenUsed/>
    <w:rsid w:val="001C14FC"/>
    <w:rPr>
      <w:rFonts w:asciiTheme="majorHAnsi" w:eastAsiaTheme="majorEastAsia" w:hAnsiTheme="majorHAnsi" w:cstheme="majorBidi"/>
      <w:sz w:val="18"/>
      <w:szCs w:val="18"/>
    </w:rPr>
  </w:style>
  <w:style w:type="character" w:customStyle="1" w:styleId="afa">
    <w:name w:val="註解方塊文字 字元"/>
    <w:basedOn w:val="a2"/>
    <w:link w:val="af9"/>
    <w:uiPriority w:val="99"/>
    <w:semiHidden/>
    <w:rsid w:val="001C14F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46779">
      <w:bodyDiv w:val="1"/>
      <w:marLeft w:val="0"/>
      <w:marRight w:val="0"/>
      <w:marTop w:val="0"/>
      <w:marBottom w:val="0"/>
      <w:divBdr>
        <w:top w:val="none" w:sz="0" w:space="0" w:color="auto"/>
        <w:left w:val="none" w:sz="0" w:space="0" w:color="auto"/>
        <w:bottom w:val="none" w:sz="0" w:space="0" w:color="auto"/>
        <w:right w:val="none" w:sz="0" w:space="0" w:color="auto"/>
      </w:divBdr>
    </w:div>
    <w:div w:id="725488756">
      <w:bodyDiv w:val="1"/>
      <w:marLeft w:val="0"/>
      <w:marRight w:val="0"/>
      <w:marTop w:val="0"/>
      <w:marBottom w:val="0"/>
      <w:divBdr>
        <w:top w:val="none" w:sz="0" w:space="0" w:color="auto"/>
        <w:left w:val="none" w:sz="0" w:space="0" w:color="auto"/>
        <w:bottom w:val="none" w:sz="0" w:space="0" w:color="auto"/>
        <w:right w:val="none" w:sz="0" w:space="0" w:color="auto"/>
      </w:divBdr>
    </w:div>
    <w:div w:id="848836532">
      <w:bodyDiv w:val="1"/>
      <w:marLeft w:val="0"/>
      <w:marRight w:val="0"/>
      <w:marTop w:val="0"/>
      <w:marBottom w:val="0"/>
      <w:divBdr>
        <w:top w:val="none" w:sz="0" w:space="0" w:color="auto"/>
        <w:left w:val="none" w:sz="0" w:space="0" w:color="auto"/>
        <w:bottom w:val="none" w:sz="0" w:space="0" w:color="auto"/>
        <w:right w:val="none" w:sz="0" w:space="0" w:color="auto"/>
      </w:divBdr>
    </w:div>
    <w:div w:id="881552742">
      <w:bodyDiv w:val="1"/>
      <w:marLeft w:val="0"/>
      <w:marRight w:val="0"/>
      <w:marTop w:val="0"/>
      <w:marBottom w:val="0"/>
      <w:divBdr>
        <w:top w:val="none" w:sz="0" w:space="0" w:color="auto"/>
        <w:left w:val="none" w:sz="0" w:space="0" w:color="auto"/>
        <w:bottom w:val="none" w:sz="0" w:space="0" w:color="auto"/>
        <w:right w:val="none" w:sz="0" w:space="0" w:color="auto"/>
      </w:divBdr>
      <w:divsChild>
        <w:div w:id="1007831150">
          <w:marLeft w:val="0"/>
          <w:marRight w:val="0"/>
          <w:marTop w:val="0"/>
          <w:marBottom w:val="0"/>
          <w:divBdr>
            <w:top w:val="none" w:sz="0" w:space="0" w:color="auto"/>
            <w:left w:val="none" w:sz="0" w:space="0" w:color="auto"/>
            <w:bottom w:val="none" w:sz="0" w:space="0" w:color="auto"/>
            <w:right w:val="none" w:sz="0" w:space="0" w:color="auto"/>
          </w:divBdr>
          <w:divsChild>
            <w:div w:id="1607619868">
              <w:marLeft w:val="0"/>
              <w:marRight w:val="0"/>
              <w:marTop w:val="100"/>
              <w:marBottom w:val="100"/>
              <w:divBdr>
                <w:top w:val="none" w:sz="0" w:space="0" w:color="auto"/>
                <w:left w:val="none" w:sz="0" w:space="0" w:color="auto"/>
                <w:bottom w:val="none" w:sz="0" w:space="0" w:color="auto"/>
                <w:right w:val="none" w:sz="0" w:space="0" w:color="auto"/>
              </w:divBdr>
              <w:divsChild>
                <w:div w:id="1789663066">
                  <w:marLeft w:val="0"/>
                  <w:marRight w:val="0"/>
                  <w:marTop w:val="50"/>
                  <w:marBottom w:val="134"/>
                  <w:divBdr>
                    <w:top w:val="none" w:sz="0" w:space="0" w:color="auto"/>
                    <w:left w:val="none" w:sz="0" w:space="0" w:color="auto"/>
                    <w:bottom w:val="none" w:sz="0" w:space="0" w:color="auto"/>
                    <w:right w:val="none" w:sz="0" w:space="0" w:color="auto"/>
                  </w:divBdr>
                  <w:divsChild>
                    <w:div w:id="1728215892">
                      <w:marLeft w:val="0"/>
                      <w:marRight w:val="0"/>
                      <w:marTop w:val="0"/>
                      <w:marBottom w:val="0"/>
                      <w:divBdr>
                        <w:top w:val="none" w:sz="0" w:space="0" w:color="auto"/>
                        <w:left w:val="none" w:sz="0" w:space="0" w:color="auto"/>
                        <w:bottom w:val="none" w:sz="0" w:space="0" w:color="auto"/>
                        <w:right w:val="none" w:sz="0" w:space="0" w:color="auto"/>
                      </w:divBdr>
                      <w:divsChild>
                        <w:div w:id="1743023491">
                          <w:marLeft w:val="0"/>
                          <w:marRight w:val="0"/>
                          <w:marTop w:val="201"/>
                          <w:marBottom w:val="201"/>
                          <w:divBdr>
                            <w:top w:val="single" w:sz="6" w:space="0" w:color="4EA3E9"/>
                            <w:left w:val="single" w:sz="6" w:space="0" w:color="4EA3E9"/>
                            <w:bottom w:val="single" w:sz="6" w:space="13" w:color="4EA3E9"/>
                            <w:right w:val="single" w:sz="6" w:space="0" w:color="4EA3E9"/>
                          </w:divBdr>
                        </w:div>
                      </w:divsChild>
                    </w:div>
                  </w:divsChild>
                </w:div>
              </w:divsChild>
            </w:div>
          </w:divsChild>
        </w:div>
      </w:divsChild>
    </w:div>
    <w:div w:id="1064766217">
      <w:bodyDiv w:val="1"/>
      <w:marLeft w:val="0"/>
      <w:marRight w:val="0"/>
      <w:marTop w:val="0"/>
      <w:marBottom w:val="0"/>
      <w:divBdr>
        <w:top w:val="none" w:sz="0" w:space="0" w:color="auto"/>
        <w:left w:val="none" w:sz="0" w:space="0" w:color="auto"/>
        <w:bottom w:val="none" w:sz="0" w:space="0" w:color="auto"/>
        <w:right w:val="none" w:sz="0" w:space="0" w:color="auto"/>
      </w:divBdr>
      <w:divsChild>
        <w:div w:id="1391340085">
          <w:marLeft w:val="0"/>
          <w:marRight w:val="0"/>
          <w:marTop w:val="0"/>
          <w:marBottom w:val="0"/>
          <w:divBdr>
            <w:top w:val="none" w:sz="0" w:space="0" w:color="auto"/>
            <w:left w:val="none" w:sz="0" w:space="0" w:color="auto"/>
            <w:bottom w:val="none" w:sz="0" w:space="0" w:color="auto"/>
            <w:right w:val="none" w:sz="0" w:space="0" w:color="auto"/>
          </w:divBdr>
          <w:divsChild>
            <w:div w:id="2144033136">
              <w:marLeft w:val="0"/>
              <w:marRight w:val="0"/>
              <w:marTop w:val="100"/>
              <w:marBottom w:val="100"/>
              <w:divBdr>
                <w:top w:val="none" w:sz="0" w:space="0" w:color="auto"/>
                <w:left w:val="none" w:sz="0" w:space="0" w:color="auto"/>
                <w:bottom w:val="none" w:sz="0" w:space="0" w:color="auto"/>
                <w:right w:val="none" w:sz="0" w:space="0" w:color="auto"/>
              </w:divBdr>
              <w:divsChild>
                <w:div w:id="918833644">
                  <w:marLeft w:val="0"/>
                  <w:marRight w:val="0"/>
                  <w:marTop w:val="50"/>
                  <w:marBottom w:val="134"/>
                  <w:divBdr>
                    <w:top w:val="none" w:sz="0" w:space="0" w:color="auto"/>
                    <w:left w:val="none" w:sz="0" w:space="0" w:color="auto"/>
                    <w:bottom w:val="none" w:sz="0" w:space="0" w:color="auto"/>
                    <w:right w:val="none" w:sz="0" w:space="0" w:color="auto"/>
                  </w:divBdr>
                  <w:divsChild>
                    <w:div w:id="608119532">
                      <w:marLeft w:val="0"/>
                      <w:marRight w:val="0"/>
                      <w:marTop w:val="0"/>
                      <w:marBottom w:val="0"/>
                      <w:divBdr>
                        <w:top w:val="none" w:sz="0" w:space="0" w:color="auto"/>
                        <w:left w:val="none" w:sz="0" w:space="0" w:color="auto"/>
                        <w:bottom w:val="none" w:sz="0" w:space="0" w:color="auto"/>
                        <w:right w:val="none" w:sz="0" w:space="0" w:color="auto"/>
                      </w:divBdr>
                      <w:divsChild>
                        <w:div w:id="97874226">
                          <w:marLeft w:val="0"/>
                          <w:marRight w:val="0"/>
                          <w:marTop w:val="201"/>
                          <w:marBottom w:val="201"/>
                          <w:divBdr>
                            <w:top w:val="single" w:sz="6" w:space="0" w:color="4EA3E9"/>
                            <w:left w:val="single" w:sz="6" w:space="0" w:color="4EA3E9"/>
                            <w:bottom w:val="single" w:sz="6" w:space="13" w:color="4EA3E9"/>
                            <w:right w:val="single" w:sz="6" w:space="0" w:color="4EA3E9"/>
                          </w:divBdr>
                        </w:div>
                      </w:divsChild>
                    </w:div>
                  </w:divsChild>
                </w:div>
              </w:divsChild>
            </w:div>
          </w:divsChild>
        </w:div>
      </w:divsChild>
    </w:div>
    <w:div w:id="1071778801">
      <w:bodyDiv w:val="1"/>
      <w:marLeft w:val="0"/>
      <w:marRight w:val="0"/>
      <w:marTop w:val="0"/>
      <w:marBottom w:val="0"/>
      <w:divBdr>
        <w:top w:val="none" w:sz="0" w:space="0" w:color="auto"/>
        <w:left w:val="none" w:sz="0" w:space="0" w:color="auto"/>
        <w:bottom w:val="none" w:sz="0" w:space="0" w:color="auto"/>
        <w:right w:val="none" w:sz="0" w:space="0" w:color="auto"/>
      </w:divBdr>
    </w:div>
    <w:div w:id="1545485231">
      <w:bodyDiv w:val="1"/>
      <w:marLeft w:val="0"/>
      <w:marRight w:val="0"/>
      <w:marTop w:val="0"/>
      <w:marBottom w:val="0"/>
      <w:divBdr>
        <w:top w:val="none" w:sz="0" w:space="0" w:color="auto"/>
        <w:left w:val="none" w:sz="0" w:space="0" w:color="auto"/>
        <w:bottom w:val="none" w:sz="0" w:space="0" w:color="auto"/>
        <w:right w:val="none" w:sz="0" w:space="0" w:color="auto"/>
      </w:divBdr>
    </w:div>
    <w:div w:id="192094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lchang.DOMAIN\AppData\Roaming\Microsoft\Templates\&#27243;&#24335;&#35519;&#26597;&#34920;&#21934;\&#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B803AE-1A41-420F-9A8D-5F59E2E7E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15</Pages>
  <Words>1307</Words>
  <Characters>7454</Characters>
  <Application>Microsoft Office Word</Application>
  <DocSecurity>0</DocSecurity>
  <Lines>62</Lines>
  <Paragraphs>17</Paragraphs>
  <ScaleCrop>false</ScaleCrop>
  <Company>cy</Company>
  <LinksUpToDate>false</LinksUpToDate>
  <CharactersWithSpaces>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stud01</cp:lastModifiedBy>
  <cp:revision>2</cp:revision>
  <cp:lastPrinted>2015-03-20T01:18:00Z</cp:lastPrinted>
  <dcterms:created xsi:type="dcterms:W3CDTF">2019-04-02T07:15:00Z</dcterms:created>
  <dcterms:modified xsi:type="dcterms:W3CDTF">2019-04-02T07:15:00Z</dcterms:modified>
</cp:coreProperties>
</file>