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82" w:rsidRDefault="00F40D2F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D34F82" w:rsidRDefault="00F40D2F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EC5073">
        <w:rPr>
          <w:rFonts w:hint="eastAsia"/>
        </w:rPr>
        <w:t>法務部</w:t>
      </w:r>
      <w:r>
        <w:rPr>
          <w:rFonts w:hint="eastAsia"/>
        </w:rPr>
        <w:t>。</w:t>
      </w:r>
    </w:p>
    <w:p w:rsidR="00D34F82" w:rsidRDefault="00F40D2F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1B05DA" w:rsidRPr="001B05DA">
        <w:rPr>
          <w:rFonts w:hint="eastAsia"/>
        </w:rPr>
        <w:t>法務部為政府人權保障業務之推動機關，卻放任所屬檢察機關以戒護警力不足為由，濫行施用戒具，對被告人權之保障</w:t>
      </w:r>
      <w:proofErr w:type="gramStart"/>
      <w:r w:rsidR="001B05DA" w:rsidRPr="001B05DA">
        <w:rPr>
          <w:rFonts w:hint="eastAsia"/>
        </w:rPr>
        <w:t>未周，</w:t>
      </w:r>
      <w:r w:rsidR="00EC5073">
        <w:rPr>
          <w:rFonts w:hint="eastAsia"/>
        </w:rPr>
        <w:t>爰</w:t>
      </w:r>
      <w:proofErr w:type="gramEnd"/>
      <w:r w:rsidR="00EC5073">
        <w:rPr>
          <w:rFonts w:hint="eastAsia"/>
        </w:rPr>
        <w:t>依法提案糾正</w:t>
      </w:r>
      <w:r w:rsidR="00EC5073" w:rsidRPr="00EC5073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D34F82" w:rsidRDefault="00F40D2F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1B05DA" w:rsidRDefault="001B05DA" w:rsidP="001B05DA">
      <w:pPr>
        <w:pStyle w:val="2"/>
        <w:overflowPunct w:val="0"/>
        <w:ind w:left="1043"/>
      </w:pPr>
      <w:bookmarkStart w:id="33" w:name="_Toc524895648"/>
      <w:bookmarkStart w:id="34" w:name="_Toc524896194"/>
      <w:bookmarkStart w:id="35" w:name="_Toc524896224"/>
      <w:bookmarkStart w:id="36" w:name="_Toc524902734"/>
      <w:bookmarkStart w:id="37" w:name="_Toc525066148"/>
      <w:bookmarkStart w:id="38" w:name="_Toc525070839"/>
      <w:bookmarkStart w:id="39" w:name="_Toc525938379"/>
      <w:bookmarkStart w:id="40" w:name="_Toc525939227"/>
      <w:bookmarkStart w:id="41" w:name="_Toc525939732"/>
      <w:bookmarkStart w:id="42" w:name="_Toc529218272"/>
      <w:r>
        <w:rPr>
          <w:rFonts w:hint="eastAsia"/>
        </w:rPr>
        <w:t>按法務部組織法第2條第3款規定，法務部掌理人權保障業務之推動、協調及聯繫事項。「公民與政治權利國際公約」第10條規定：「自由被剝奪之人，</w:t>
      </w:r>
      <w:proofErr w:type="gramStart"/>
      <w:r>
        <w:rPr>
          <w:rFonts w:hint="eastAsia"/>
        </w:rPr>
        <w:t>應受合於</w:t>
      </w:r>
      <w:proofErr w:type="gramEnd"/>
      <w:r>
        <w:rPr>
          <w:rFonts w:hint="eastAsia"/>
        </w:rPr>
        <w:t>人道及尊重其天賦人格尊嚴之處遇。…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」又刑事訴訟法第282條規定：「被告在庭時，不得拘束其身體，但</w:t>
      </w:r>
      <w:proofErr w:type="gramStart"/>
      <w:r>
        <w:rPr>
          <w:rFonts w:hint="eastAsia"/>
        </w:rPr>
        <w:t>得命人看守</w:t>
      </w:r>
      <w:proofErr w:type="gramEnd"/>
      <w:r>
        <w:rPr>
          <w:rFonts w:hint="eastAsia"/>
        </w:rPr>
        <w:t>。」「臺灣高等法院檢察署暨所屬各級法院檢察署法警使用戒具要點」第</w:t>
      </w:r>
      <w:r w:rsidR="000C2B56">
        <w:rPr>
          <w:rFonts w:hint="eastAsia"/>
        </w:rPr>
        <w:t>6</w:t>
      </w:r>
      <w:r>
        <w:rPr>
          <w:rFonts w:hint="eastAsia"/>
        </w:rPr>
        <w:t>點規定，施用戒具以使用手銬為原則，僅例外於符合：（一）有被劫持之虞者。（二）經判處死刑、無期徒刑</w:t>
      </w:r>
      <w:r w:rsidR="00B510EF">
        <w:rPr>
          <w:rFonts w:hint="eastAsia"/>
        </w:rPr>
        <w:t>，</w:t>
      </w:r>
      <w:r>
        <w:rPr>
          <w:rFonts w:hint="eastAsia"/>
        </w:rPr>
        <w:t>而有脫逃之虞者。（三）解送中之重大案犯，認有脫逃之虞者。（四）於解送中對於他人施強暴脅迫或有施強暴脅迫之虞者等要件，且認有必要時，始得加用腳鐐、聯鎖</w:t>
      </w:r>
      <w:proofErr w:type="gramStart"/>
      <w:r>
        <w:rPr>
          <w:rFonts w:hint="eastAsia"/>
        </w:rPr>
        <w:t>或捕繩。</w:t>
      </w:r>
      <w:proofErr w:type="gramEnd"/>
      <w:r>
        <w:rPr>
          <w:rFonts w:hint="eastAsia"/>
        </w:rPr>
        <w:t>該要點第</w:t>
      </w:r>
      <w:r w:rsidR="000C2B56">
        <w:rPr>
          <w:rFonts w:hint="eastAsia"/>
        </w:rPr>
        <w:t>7</w:t>
      </w:r>
      <w:r>
        <w:rPr>
          <w:rFonts w:hint="eastAsia"/>
        </w:rPr>
        <w:t>點規定：「已施用戒具之人犯有下列情形之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者，應解除其戒具。如認有維護安全之必要，得視實際需要，增派法警加強戒護。（一）被告在庭應訊時。…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」另依「院檢法警及監所戒護人員於提解人犯出庭、還押時應行注意事項」第</w:t>
      </w:r>
      <w:r w:rsidR="000C2B56">
        <w:rPr>
          <w:rFonts w:hint="eastAsia"/>
        </w:rPr>
        <w:t>2</w:t>
      </w:r>
      <w:r>
        <w:rPr>
          <w:rFonts w:hint="eastAsia"/>
        </w:rPr>
        <w:t>點規定，</w:t>
      </w:r>
      <w:proofErr w:type="gramStart"/>
      <w:r>
        <w:rPr>
          <w:rFonts w:hint="eastAsia"/>
        </w:rPr>
        <w:t>院檢提訊</w:t>
      </w:r>
      <w:proofErr w:type="gramEnd"/>
      <w:r>
        <w:rPr>
          <w:rFonts w:hint="eastAsia"/>
        </w:rPr>
        <w:t>重刑人犯，如有加強戒護之必要時，應請求警憲單位支援。且102年8月14日本院司法及獄政委員會第4屆第63次會議對就法務部現行有關戒具式樣、種類及使用程序之法令過於疏漏現況未予正視，放任各矯正機關恣意使用戒具，對受</w:t>
      </w:r>
      <w:r>
        <w:rPr>
          <w:rFonts w:hint="eastAsia"/>
        </w:rPr>
        <w:lastRenderedPageBreak/>
        <w:t>刑人之人權</w:t>
      </w:r>
      <w:proofErr w:type="gramStart"/>
      <w:r>
        <w:rPr>
          <w:rFonts w:hint="eastAsia"/>
        </w:rPr>
        <w:t>洵</w:t>
      </w:r>
      <w:proofErr w:type="gramEnd"/>
      <w:r>
        <w:rPr>
          <w:rFonts w:hint="eastAsia"/>
        </w:rPr>
        <w:t>有戕害，提案糾正法務部。</w:t>
      </w:r>
    </w:p>
    <w:p w:rsidR="001B05DA" w:rsidRDefault="001B05DA" w:rsidP="001B05DA">
      <w:pPr>
        <w:pStyle w:val="2"/>
        <w:overflowPunct w:val="0"/>
        <w:ind w:left="1043"/>
      </w:pPr>
      <w:r>
        <w:rPr>
          <w:rFonts w:hint="eastAsia"/>
        </w:rPr>
        <w:t>惟據本院實地訪查發現，各檢察機關為確保戒護安全，未依規定使用戒具之情形</w:t>
      </w:r>
      <w:r w:rsidR="00E8668B">
        <w:rPr>
          <w:rFonts w:hint="eastAsia"/>
        </w:rPr>
        <w:t>仍然</w:t>
      </w:r>
      <w:r>
        <w:rPr>
          <w:rFonts w:hint="eastAsia"/>
        </w:rPr>
        <w:t>嚴重，例如：提解人犯庭訊時雖有將被告之手銬解除，然對於施加腳鐐之人犯則多不予解除；部分檢察機關長途解送人犯時，不分罪名對於被告或受刑人均一律使用腳鐐，顯然違反相關規定。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法務部表示，上開情形係因戒護法警人力不足，基於安全考量，為防止其脫逃或暴行以維持戒護安全。並稱「檢察機關法警戒護人犯使用手銬戒具應行注意要點」第2點僅規定被告在偵查庭應訊時，應將手銬解除，對於腳鐐未有特別規範，相關作法是否符合規定將再行研究等語。</w:t>
      </w:r>
    </w:p>
    <w:p w:rsidR="00EC5073" w:rsidRDefault="001B05DA" w:rsidP="001B05DA">
      <w:pPr>
        <w:pStyle w:val="2"/>
        <w:overflowPunct w:val="0"/>
        <w:ind w:left="1043"/>
      </w:pPr>
      <w:r>
        <w:rPr>
          <w:rFonts w:hint="eastAsia"/>
        </w:rPr>
        <w:t>依前述刑事訴訟第282條及相關行政規則，戒具之使用以手銬為主，僅於符合特殊情況或重罪等要件時，始得視必要施用腳鐐，且被告在庭應訊時，應解除包括腳鐐等所有戒具。如認有維護安全之必要，應視實際需要，增派法警加強戒護，法警人力如確有不足時，則應請求警察機關支援。法務部作為政府人權保障之推動機關，放任所屬各檢察機關法警以戒護安全為由，任意使用腳鐐等戒具，顯不符比例原則，亦與「公民與政治權利國際公約」第10條規定意旨不合，侵害被告或受刑人之人權，允應儘速改善。</w:t>
      </w:r>
    </w:p>
    <w:p w:rsidR="00D34F82" w:rsidRDefault="00F40D2F">
      <w:pPr>
        <w:pStyle w:val="11"/>
        <w:ind w:left="680" w:firstLine="680"/>
        <w:rPr>
          <w:bCs/>
        </w:rPr>
      </w:pPr>
      <w:bookmarkStart w:id="43" w:name="_Toc529222689"/>
      <w:bookmarkStart w:id="44" w:name="_Toc529223111"/>
      <w:bookmarkStart w:id="45" w:name="_Toc529223862"/>
      <w:bookmarkStart w:id="46" w:name="_Toc529228265"/>
      <w:r>
        <w:rPr>
          <w:rFonts w:hint="eastAsia"/>
          <w:bCs/>
        </w:rPr>
        <w:t>綜上所述，</w:t>
      </w:r>
      <w:r w:rsidR="001B05DA" w:rsidRPr="001B05DA">
        <w:rPr>
          <w:rFonts w:hint="eastAsia"/>
        </w:rPr>
        <w:t>法務部為政府人權保障業務之推動機關，卻放任所屬檢察機關以戒護警力不足為由，濫行施用戒具，</w:t>
      </w:r>
      <w:r w:rsidR="00D553AC" w:rsidRPr="00EC5073">
        <w:rPr>
          <w:rFonts w:hint="eastAsia"/>
        </w:rPr>
        <w:t>對被告人權之保障未周</w:t>
      </w:r>
      <w:r w:rsidR="00EC5073" w:rsidRPr="00EC5073">
        <w:rPr>
          <w:rFonts w:hint="eastAsia"/>
        </w:rPr>
        <w:t>，</w:t>
      </w:r>
      <w:r>
        <w:rPr>
          <w:rFonts w:hint="eastAsia"/>
          <w:bCs/>
        </w:rPr>
        <w:t>爰依監察法第24條提案糾正，移送行政院轉飭所屬確實檢討改善見復。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1B05DA" w:rsidRDefault="001B05DA">
      <w:pPr>
        <w:pStyle w:val="11"/>
        <w:ind w:left="680" w:firstLine="680"/>
        <w:rPr>
          <w:bCs/>
        </w:rPr>
      </w:pPr>
    </w:p>
    <w:p w:rsidR="00D34F82" w:rsidRDefault="00F40D2F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bookmarkStart w:id="47" w:name="_Toc524895649"/>
      <w:bookmarkStart w:id="48" w:name="_Toc524896195"/>
      <w:bookmarkStart w:id="49" w:name="_Toc524896225"/>
      <w:bookmarkEnd w:id="47"/>
      <w:bookmarkEnd w:id="48"/>
      <w:bookmarkEnd w:id="49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D06CB0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</w:p>
    <w:p w:rsidR="00D34F82" w:rsidRPr="00D06CB0" w:rsidRDefault="00D06CB0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0"/>
          <w:kern w:val="0"/>
        </w:rPr>
        <w:t xml:space="preserve">  </w:t>
      </w:r>
      <w:r w:rsidRPr="00D06CB0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楊美鈴</w:t>
      </w:r>
    </w:p>
    <w:p w:rsidR="00D34F82" w:rsidRDefault="00D34F82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sectPr w:rsidR="00D34F82" w:rsidSect="00D34F82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87" w:rsidRDefault="001E6487" w:rsidP="009677EF">
      <w:r>
        <w:separator/>
      </w:r>
    </w:p>
  </w:endnote>
  <w:endnote w:type="continuationSeparator" w:id="0">
    <w:p w:rsidR="001E6487" w:rsidRDefault="001E6487" w:rsidP="0096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2" w:rsidRDefault="003E576F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F40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0D2F">
      <w:rPr>
        <w:rStyle w:val="a5"/>
        <w:noProof/>
      </w:rPr>
      <w:t>3</w:t>
    </w:r>
    <w:r>
      <w:rPr>
        <w:rStyle w:val="a5"/>
      </w:rPr>
      <w:fldChar w:fldCharType="end"/>
    </w:r>
  </w:p>
  <w:p w:rsidR="00D34F82" w:rsidRDefault="00D34F82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2" w:rsidRDefault="003E576F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F40D2F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AC77AB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D34F82" w:rsidRDefault="00D34F82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87" w:rsidRDefault="001E6487" w:rsidP="009677EF">
      <w:r>
        <w:separator/>
      </w:r>
    </w:p>
  </w:footnote>
  <w:footnote w:type="continuationSeparator" w:id="0">
    <w:p w:rsidR="001E6487" w:rsidRDefault="001E6487" w:rsidP="0096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95AF9"/>
    <w:rsid w:val="000607DD"/>
    <w:rsid w:val="00063E30"/>
    <w:rsid w:val="000A6534"/>
    <w:rsid w:val="000B3DAF"/>
    <w:rsid w:val="000C2B56"/>
    <w:rsid w:val="000E178B"/>
    <w:rsid w:val="000F65BF"/>
    <w:rsid w:val="0011149E"/>
    <w:rsid w:val="00116900"/>
    <w:rsid w:val="00155D3F"/>
    <w:rsid w:val="001713AF"/>
    <w:rsid w:val="00193B3B"/>
    <w:rsid w:val="001B05DA"/>
    <w:rsid w:val="001E6487"/>
    <w:rsid w:val="0020279F"/>
    <w:rsid w:val="00285B66"/>
    <w:rsid w:val="003E576F"/>
    <w:rsid w:val="00404434"/>
    <w:rsid w:val="00431C38"/>
    <w:rsid w:val="004427E7"/>
    <w:rsid w:val="00451DD1"/>
    <w:rsid w:val="004C3CB4"/>
    <w:rsid w:val="005157D2"/>
    <w:rsid w:val="00531D4B"/>
    <w:rsid w:val="00547198"/>
    <w:rsid w:val="005A251E"/>
    <w:rsid w:val="0062320E"/>
    <w:rsid w:val="00693A4F"/>
    <w:rsid w:val="007624A1"/>
    <w:rsid w:val="00773FFA"/>
    <w:rsid w:val="007756A9"/>
    <w:rsid w:val="008469D0"/>
    <w:rsid w:val="00846EF8"/>
    <w:rsid w:val="00866F91"/>
    <w:rsid w:val="0088085C"/>
    <w:rsid w:val="0089311A"/>
    <w:rsid w:val="008D19D4"/>
    <w:rsid w:val="009504DD"/>
    <w:rsid w:val="00997760"/>
    <w:rsid w:val="009B3E49"/>
    <w:rsid w:val="009D1DF4"/>
    <w:rsid w:val="00A24E61"/>
    <w:rsid w:val="00A621DE"/>
    <w:rsid w:val="00A77367"/>
    <w:rsid w:val="00AC77AB"/>
    <w:rsid w:val="00B21B84"/>
    <w:rsid w:val="00B25C76"/>
    <w:rsid w:val="00B510EF"/>
    <w:rsid w:val="00BC4319"/>
    <w:rsid w:val="00C500E9"/>
    <w:rsid w:val="00CB7D49"/>
    <w:rsid w:val="00CC5870"/>
    <w:rsid w:val="00D06CB0"/>
    <w:rsid w:val="00D34F82"/>
    <w:rsid w:val="00D553AC"/>
    <w:rsid w:val="00D95AF9"/>
    <w:rsid w:val="00DB212D"/>
    <w:rsid w:val="00E21526"/>
    <w:rsid w:val="00E8668B"/>
    <w:rsid w:val="00EB0754"/>
    <w:rsid w:val="00EC5073"/>
    <w:rsid w:val="00F40D2F"/>
    <w:rsid w:val="00F72337"/>
    <w:rsid w:val="00F9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82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D34F82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D34F82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D34F82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D34F8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D34F82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D34F82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D34F82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D34F82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D34F82"/>
    <w:pPr>
      <w:ind w:leftChars="400" w:left="400"/>
    </w:pPr>
  </w:style>
  <w:style w:type="paragraph" w:customStyle="1" w:styleId="20">
    <w:name w:val="段落樣式2"/>
    <w:basedOn w:val="a"/>
    <w:rsid w:val="00D34F8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D34F82"/>
    <w:pPr>
      <w:ind w:leftChars="500" w:left="500"/>
    </w:pPr>
  </w:style>
  <w:style w:type="paragraph" w:customStyle="1" w:styleId="50">
    <w:name w:val="段落樣式5"/>
    <w:basedOn w:val="40"/>
    <w:rsid w:val="00D34F82"/>
    <w:pPr>
      <w:ind w:leftChars="600" w:left="600"/>
    </w:pPr>
  </w:style>
  <w:style w:type="paragraph" w:customStyle="1" w:styleId="60">
    <w:name w:val="段落樣式6"/>
    <w:basedOn w:val="50"/>
    <w:rsid w:val="00D34F82"/>
    <w:pPr>
      <w:ind w:leftChars="700" w:left="700"/>
    </w:pPr>
  </w:style>
  <w:style w:type="paragraph" w:customStyle="1" w:styleId="70">
    <w:name w:val="段落樣式7"/>
    <w:basedOn w:val="60"/>
    <w:rsid w:val="00D34F82"/>
  </w:style>
  <w:style w:type="paragraph" w:customStyle="1" w:styleId="80">
    <w:name w:val="段落樣式8"/>
    <w:basedOn w:val="70"/>
    <w:rsid w:val="00D34F82"/>
    <w:pPr>
      <w:ind w:leftChars="800" w:left="800"/>
    </w:pPr>
  </w:style>
  <w:style w:type="paragraph" w:styleId="a3">
    <w:name w:val="Signature"/>
    <w:basedOn w:val="a"/>
    <w:semiHidden/>
    <w:rsid w:val="00D34F8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D34F82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D34F82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D34F82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D34F82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D34F82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D34F82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D34F82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D34F82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D34F82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D34F82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D34F82"/>
    <w:pPr>
      <w:ind w:leftChars="1600" w:left="3840"/>
    </w:pPr>
  </w:style>
  <w:style w:type="character" w:styleId="a6">
    <w:name w:val="Hyperlink"/>
    <w:basedOn w:val="a0"/>
    <w:semiHidden/>
    <w:rsid w:val="00D34F82"/>
    <w:rPr>
      <w:color w:val="0000FF"/>
      <w:u w:val="single"/>
    </w:rPr>
  </w:style>
  <w:style w:type="paragraph" w:customStyle="1" w:styleId="11">
    <w:name w:val="段落樣式1"/>
    <w:basedOn w:val="a"/>
    <w:rsid w:val="00D34F8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D34F82"/>
    <w:pPr>
      <w:ind w:leftChars="200" w:left="200" w:firstLineChars="0" w:firstLine="0"/>
    </w:pPr>
  </w:style>
  <w:style w:type="paragraph" w:styleId="a7">
    <w:name w:val="header"/>
    <w:basedOn w:val="a"/>
    <w:semiHidden/>
    <w:rsid w:val="00D34F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D34F8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D34F82"/>
    <w:pPr>
      <w:kinsoku w:val="0"/>
      <w:jc w:val="distribute"/>
    </w:pPr>
    <w:rPr>
      <w:kern w:val="0"/>
    </w:rPr>
  </w:style>
  <w:style w:type="paragraph" w:customStyle="1" w:styleId="90">
    <w:name w:val="標題9"/>
    <w:basedOn w:val="a"/>
    <w:rsid w:val="00EC5073"/>
    <w:pPr>
      <w:tabs>
        <w:tab w:val="num" w:pos="6198"/>
      </w:tabs>
      <w:ind w:left="5018" w:hanging="1700"/>
    </w:pPr>
    <w:rPr>
      <w:rFonts w:ascii="標楷體" w:hAnsi="標楷體"/>
    </w:rPr>
  </w:style>
  <w:style w:type="paragraph" w:styleId="aa">
    <w:name w:val="Balloon Text"/>
    <w:basedOn w:val="a"/>
    <w:link w:val="ab"/>
    <w:uiPriority w:val="99"/>
    <w:semiHidden/>
    <w:unhideWhenUsed/>
    <w:rsid w:val="0076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624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2320E"/>
    <w:pPr>
      <w:snapToGrid w:val="0"/>
    </w:pPr>
    <w:rPr>
      <w:rFonts w:ascii="標楷體" w:hAnsi="標楷體"/>
      <w:sz w:val="20"/>
    </w:rPr>
  </w:style>
  <w:style w:type="character" w:customStyle="1" w:styleId="ad">
    <w:name w:val="註腳文字 字元"/>
    <w:basedOn w:val="a0"/>
    <w:link w:val="ac"/>
    <w:uiPriority w:val="99"/>
    <w:semiHidden/>
    <w:rsid w:val="0062320E"/>
    <w:rPr>
      <w:rFonts w:ascii="標楷體" w:eastAsia="標楷體" w:hAnsi="標楷體"/>
      <w:kern w:val="2"/>
    </w:rPr>
  </w:style>
  <w:style w:type="character" w:styleId="ae">
    <w:name w:val="footnote reference"/>
    <w:basedOn w:val="a0"/>
    <w:uiPriority w:val="99"/>
    <w:semiHidden/>
    <w:unhideWhenUsed/>
    <w:rsid w:val="00623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3</Pages>
  <Words>594</Words>
  <Characters>618</Characters>
  <Application>Microsoft Office Word</Application>
  <DocSecurity>0</DocSecurity>
  <Lines>34</Lines>
  <Paragraphs>12</Paragraphs>
  <ScaleCrop>false</ScaleCrop>
  <Company>cy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</dc:creator>
  <cp:lastModifiedBy>Administrator</cp:lastModifiedBy>
  <cp:revision>2</cp:revision>
  <cp:lastPrinted>2015-04-02T08:14:00Z</cp:lastPrinted>
  <dcterms:created xsi:type="dcterms:W3CDTF">2015-04-16T03:24:00Z</dcterms:created>
  <dcterms:modified xsi:type="dcterms:W3CDTF">2015-04-16T03:24:00Z</dcterms:modified>
</cp:coreProperties>
</file>