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FBD" w:rsidRDefault="00510FBD">
      <w:pPr>
        <w:pStyle w:val="a6"/>
        <w:kinsoku w:val="0"/>
        <w:spacing w:before="0"/>
        <w:ind w:leftChars="700" w:left="2381" w:firstLine="0"/>
        <w:rPr>
          <w:bCs/>
          <w:snapToGrid/>
          <w:spacing w:val="200"/>
          <w:kern w:val="0"/>
          <w:sz w:val="40"/>
        </w:rPr>
      </w:pPr>
      <w:r>
        <w:rPr>
          <w:rFonts w:hint="eastAsia"/>
          <w:bCs/>
          <w:snapToGrid/>
          <w:spacing w:val="200"/>
          <w:kern w:val="0"/>
          <w:sz w:val="40"/>
        </w:rPr>
        <w:t>調查報告</w:t>
      </w:r>
    </w:p>
    <w:p w:rsidR="00510FBD" w:rsidRDefault="00510FBD">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Pr>
          <w:rFonts w:hint="eastAsia"/>
        </w:rPr>
        <w:t>案　　由：</w:t>
      </w:r>
      <w:bookmarkEnd w:id="0"/>
      <w:bookmarkEnd w:id="1"/>
      <w:bookmarkEnd w:id="2"/>
      <w:bookmarkEnd w:id="3"/>
      <w:bookmarkEnd w:id="4"/>
      <w:bookmarkEnd w:id="5"/>
      <w:bookmarkEnd w:id="6"/>
      <w:bookmarkEnd w:id="7"/>
      <w:bookmarkEnd w:id="8"/>
      <w:bookmarkEnd w:id="9"/>
      <w:r w:rsidR="002273FC">
        <w:fldChar w:fldCharType="begin"/>
      </w:r>
      <w:r>
        <w:instrText xml:space="preserve"> MERGEFIELD </w:instrText>
      </w:r>
      <w:r>
        <w:rPr>
          <w:rFonts w:hint="eastAsia"/>
        </w:rPr>
        <w:instrText>案由</w:instrText>
      </w:r>
      <w:r>
        <w:instrText xml:space="preserve"> </w:instrText>
      </w:r>
      <w:r w:rsidR="002273FC">
        <w:fldChar w:fldCharType="separate"/>
      </w:r>
      <w:r w:rsidR="00B61D18" w:rsidRPr="0035780C">
        <w:rPr>
          <w:rFonts w:hint="eastAsia"/>
          <w:noProof/>
        </w:rPr>
        <w:t>台灣中油股份有限公司訂有「從事衍生性商品交易處理程序」，惟衍生性商品種類繁多，性質不一、風險有別；當衍生性金融商品非屬外幣期貨或選擇權，且從事外銷油品煉製利潤之SWAP</w:t>
      </w:r>
      <w:r w:rsidR="00F711B5">
        <w:rPr>
          <w:rFonts w:hint="eastAsia"/>
          <w:noProof/>
        </w:rPr>
        <w:t>（交換）</w:t>
      </w:r>
      <w:r w:rsidR="00B61D18" w:rsidRPr="0035780C">
        <w:rPr>
          <w:rFonts w:hint="eastAsia"/>
          <w:noProof/>
        </w:rPr>
        <w:t>交易，其實際操作情況是否仍為避險</w:t>
      </w:r>
      <w:r w:rsidR="00B670FD">
        <w:rPr>
          <w:rFonts w:hint="eastAsia"/>
          <w:noProof/>
        </w:rPr>
        <w:t>、</w:t>
      </w:r>
      <w:r w:rsidR="00B61D18" w:rsidRPr="0035780C">
        <w:rPr>
          <w:rFonts w:hint="eastAsia"/>
          <w:noProof/>
        </w:rPr>
        <w:t>該會計處理之適當性、處理程序之合理性乙案。</w:t>
      </w:r>
      <w:r w:rsidR="002273FC">
        <w:fldChar w:fldCharType="end"/>
      </w:r>
      <w:bookmarkEnd w:id="10"/>
      <w:bookmarkEnd w:id="11"/>
      <w:bookmarkEnd w:id="12"/>
      <w:bookmarkEnd w:id="13"/>
      <w:bookmarkEnd w:id="14"/>
      <w:bookmarkEnd w:id="15"/>
      <w:bookmarkEnd w:id="16"/>
      <w:bookmarkEnd w:id="17"/>
      <w:bookmarkEnd w:id="18"/>
      <w:bookmarkEnd w:id="19"/>
      <w:bookmarkEnd w:id="20"/>
      <w:bookmarkEnd w:id="21"/>
      <w:bookmarkEnd w:id="22"/>
    </w:p>
    <w:p w:rsidR="00CD7DF6" w:rsidRDefault="00CD7DF6" w:rsidP="00D9095C">
      <w:pPr>
        <w:pStyle w:val="3"/>
        <w:numPr>
          <w:ilvl w:val="0"/>
          <w:numId w:val="0"/>
        </w:numPr>
        <w:ind w:left="1045"/>
      </w:pPr>
      <w:bookmarkStart w:id="23" w:name="_Toc524895646"/>
      <w:bookmarkStart w:id="24" w:name="_Toc524896192"/>
      <w:bookmarkStart w:id="25" w:name="_Toc524896222"/>
      <w:bookmarkStart w:id="26" w:name="_Toc524902729"/>
      <w:bookmarkStart w:id="27" w:name="_Toc525066145"/>
      <w:bookmarkStart w:id="28" w:name="_Toc525070836"/>
      <w:bookmarkStart w:id="29" w:name="_Toc525938376"/>
      <w:bookmarkStart w:id="30" w:name="_Toc525939224"/>
      <w:bookmarkStart w:id="31" w:name="_Toc525939729"/>
      <w:bookmarkStart w:id="32" w:name="_Toc529218269"/>
      <w:bookmarkStart w:id="33" w:name="_Toc529222686"/>
      <w:bookmarkStart w:id="34" w:name="_Toc529223108"/>
      <w:bookmarkStart w:id="35" w:name="_Toc529223859"/>
      <w:bookmarkStart w:id="36" w:name="_Toc529228262"/>
      <w:bookmarkStart w:id="37" w:name="_Toc2400392"/>
      <w:bookmarkStart w:id="38" w:name="_Toc4316186"/>
      <w:bookmarkStart w:id="39" w:name="_Toc4473327"/>
      <w:bookmarkStart w:id="40" w:name="_Toc69556894"/>
      <w:bookmarkStart w:id="41" w:name="_Toc69556943"/>
      <w:bookmarkStart w:id="42" w:name="_Toc69609817"/>
      <w:bookmarkStart w:id="43" w:name="_Toc70241813"/>
      <w:bookmarkStart w:id="44" w:name="_Toc70242202"/>
      <w:r>
        <w:br w:type="page"/>
      </w:r>
    </w:p>
    <w:p w:rsidR="00510FBD" w:rsidRDefault="00510FBD" w:rsidP="00804884">
      <w:pPr>
        <w:pStyle w:val="1"/>
      </w:pPr>
      <w:r>
        <w:rPr>
          <w:rFonts w:hint="eastAsia"/>
        </w:rPr>
        <w:lastRenderedPageBreak/>
        <w:t>調查意見：</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510FBD" w:rsidRDefault="000B6703">
      <w:pPr>
        <w:pStyle w:val="10"/>
        <w:ind w:left="680" w:firstLine="680"/>
        <w:rPr>
          <w:bCs/>
        </w:rPr>
      </w:pPr>
      <w:bookmarkStart w:id="45" w:name="_Toc524902730"/>
      <w:r>
        <w:rPr>
          <w:rFonts w:hint="eastAsia"/>
          <w:bCs/>
        </w:rPr>
        <w:t>有關</w:t>
      </w:r>
      <w:r w:rsidR="00D31AA1">
        <w:rPr>
          <w:rFonts w:hint="eastAsia"/>
          <w:bCs/>
        </w:rPr>
        <w:t>民國（下同）</w:t>
      </w:r>
      <w:r>
        <w:rPr>
          <w:rFonts w:hint="eastAsia"/>
          <w:bCs/>
        </w:rPr>
        <w:t>97年5月間台灣中油股份有限公司</w:t>
      </w:r>
      <w:r w:rsidR="00D31AA1" w:rsidRPr="00D31AA1">
        <w:rPr>
          <w:rFonts w:hint="eastAsia"/>
          <w:noProof/>
        </w:rPr>
        <w:t>（下稱中油公司）</w:t>
      </w:r>
      <w:r>
        <w:rPr>
          <w:rFonts w:hint="eastAsia"/>
          <w:noProof/>
        </w:rPr>
        <w:t>從事</w:t>
      </w:r>
      <w:r w:rsidR="002D331D">
        <w:rPr>
          <w:rFonts w:hint="eastAsia"/>
          <w:noProof/>
        </w:rPr>
        <w:t>外銷油品煉製利潤</w:t>
      </w:r>
      <w:r w:rsidRPr="0035780C">
        <w:rPr>
          <w:rFonts w:hint="eastAsia"/>
          <w:noProof/>
        </w:rPr>
        <w:t>SWAP</w:t>
      </w:r>
      <w:r w:rsidR="004A7F47">
        <w:rPr>
          <w:rFonts w:hint="eastAsia"/>
          <w:noProof/>
        </w:rPr>
        <w:t>（交換）</w:t>
      </w:r>
      <w:r w:rsidRPr="0035780C">
        <w:rPr>
          <w:rFonts w:hint="eastAsia"/>
          <w:noProof/>
        </w:rPr>
        <w:t>交易</w:t>
      </w:r>
      <w:r>
        <w:rPr>
          <w:rFonts w:hint="eastAsia"/>
          <w:noProof/>
        </w:rPr>
        <w:t>，造成虧損</w:t>
      </w:r>
      <w:r w:rsidRPr="00D31AA1">
        <w:rPr>
          <w:noProof/>
        </w:rPr>
        <w:t>3,632</w:t>
      </w:r>
      <w:r w:rsidRPr="00D31AA1">
        <w:rPr>
          <w:rFonts w:hint="eastAsia"/>
          <w:noProof/>
        </w:rPr>
        <w:t>萬餘美</w:t>
      </w:r>
      <w:r>
        <w:rPr>
          <w:rFonts w:hAnsi="標楷體" w:cs="標楷體" w:hint="eastAsia"/>
          <w:color w:val="000000"/>
          <w:szCs w:val="32"/>
        </w:rPr>
        <w:t>元（約新台幣</w:t>
      </w:r>
      <w:r>
        <w:rPr>
          <w:rFonts w:hAnsi="標楷體" w:cs="標楷體"/>
          <w:color w:val="000000"/>
          <w:szCs w:val="32"/>
        </w:rPr>
        <w:t>11</w:t>
      </w:r>
      <w:r>
        <w:rPr>
          <w:rFonts w:hAnsi="標楷體" w:cs="標楷體" w:hint="eastAsia"/>
          <w:color w:val="000000"/>
          <w:szCs w:val="32"/>
        </w:rPr>
        <w:t>億餘元），且相關交易集中於97年3月及5</w:t>
      </w:r>
      <w:r w:rsidR="00901573">
        <w:rPr>
          <w:rFonts w:hAnsi="標楷體" w:cs="標楷體" w:hint="eastAsia"/>
          <w:color w:val="000000"/>
          <w:szCs w:val="32"/>
        </w:rPr>
        <w:t>月</w:t>
      </w:r>
      <w:r w:rsidR="00A46ED2">
        <w:rPr>
          <w:rFonts w:hAnsi="標楷體" w:cs="標楷體" w:hint="eastAsia"/>
          <w:color w:val="000000"/>
          <w:szCs w:val="32"/>
        </w:rPr>
        <w:t>間</w:t>
      </w:r>
      <w:r>
        <w:rPr>
          <w:rFonts w:hAnsi="標楷體" w:cs="標楷體" w:hint="eastAsia"/>
          <w:color w:val="000000"/>
          <w:szCs w:val="32"/>
        </w:rPr>
        <w:t>，該公司相關人員是否涉有違失等，業經調查竣事，茲臚列調查意見如次：</w:t>
      </w:r>
    </w:p>
    <w:p w:rsidR="00510FBD" w:rsidRDefault="001D405C" w:rsidP="001D405C">
      <w:pPr>
        <w:pStyle w:val="2"/>
        <w:ind w:left="1134" w:hanging="686"/>
      </w:pPr>
      <w:bookmarkStart w:id="46" w:name="_Toc525066147"/>
      <w:bookmarkStart w:id="47" w:name="_Toc525070838"/>
      <w:bookmarkStart w:id="48" w:name="_Toc525938378"/>
      <w:bookmarkStart w:id="49" w:name="_Toc525939226"/>
      <w:bookmarkStart w:id="50" w:name="_Toc525939731"/>
      <w:bookmarkStart w:id="51" w:name="_Toc529218271"/>
      <w:bookmarkStart w:id="52" w:name="_Toc529222688"/>
      <w:bookmarkStart w:id="53" w:name="_Toc529223110"/>
      <w:bookmarkStart w:id="54" w:name="_Toc529223861"/>
      <w:bookmarkStart w:id="55" w:name="_Toc529228264"/>
      <w:r>
        <w:rPr>
          <w:rFonts w:hint="eastAsia"/>
          <w:noProof/>
        </w:rPr>
        <w:t>中油公司從事</w:t>
      </w:r>
      <w:r w:rsidR="002D331D">
        <w:rPr>
          <w:rFonts w:hint="eastAsia"/>
          <w:noProof/>
        </w:rPr>
        <w:t>外銷油品煉製利潤</w:t>
      </w:r>
      <w:r w:rsidRPr="0035780C">
        <w:rPr>
          <w:rFonts w:hint="eastAsia"/>
          <w:noProof/>
        </w:rPr>
        <w:t>SWAP交易，</w:t>
      </w:r>
      <w:r>
        <w:rPr>
          <w:rFonts w:hint="eastAsia"/>
          <w:noProof/>
        </w:rPr>
        <w:t>相關交易處理程序規定，當損失觸及損失上限，即予強制平倉，</w:t>
      </w:r>
      <w:r w:rsidR="00734CFC">
        <w:rPr>
          <w:rFonts w:hint="eastAsia"/>
          <w:noProof/>
        </w:rPr>
        <w:t>將未實現評價損失變成已實現操作損失</w:t>
      </w:r>
      <w:r>
        <w:rPr>
          <w:rFonts w:hint="eastAsia"/>
          <w:noProof/>
        </w:rPr>
        <w:t>，與原訂避險目的容</w:t>
      </w:r>
      <w:r w:rsidR="00264F48">
        <w:rPr>
          <w:rFonts w:hint="eastAsia"/>
          <w:noProof/>
        </w:rPr>
        <w:t>屬</w:t>
      </w:r>
      <w:r>
        <w:rPr>
          <w:rFonts w:hint="eastAsia"/>
          <w:noProof/>
        </w:rPr>
        <w:t>相違，</w:t>
      </w:r>
      <w:r w:rsidR="00F4229C">
        <w:rPr>
          <w:rFonts w:hint="eastAsia"/>
          <w:noProof/>
        </w:rPr>
        <w:t>且強制平倉決策機制亦有疏漏，</w:t>
      </w:r>
      <w:r w:rsidR="00DA3D40">
        <w:rPr>
          <w:rFonts w:hint="eastAsia"/>
          <w:noProof/>
        </w:rPr>
        <w:t>相關規定</w:t>
      </w:r>
      <w:r w:rsidR="009B7902">
        <w:rPr>
          <w:rFonts w:hint="eastAsia"/>
          <w:noProof/>
        </w:rPr>
        <w:t>有</w:t>
      </w:r>
      <w:r w:rsidR="00DA3D40">
        <w:rPr>
          <w:rFonts w:hint="eastAsia"/>
          <w:noProof/>
        </w:rPr>
        <w:t>欠周妥</w:t>
      </w:r>
      <w:r>
        <w:rPr>
          <w:rFonts w:hint="eastAsia"/>
          <w:noProof/>
        </w:rPr>
        <w:t>。</w:t>
      </w:r>
    </w:p>
    <w:p w:rsidR="008D65F0" w:rsidRDefault="009B1B29" w:rsidP="009B1B29">
      <w:pPr>
        <w:pStyle w:val="3"/>
      </w:pPr>
      <w:r>
        <w:rPr>
          <w:rFonts w:hint="eastAsia"/>
        </w:rPr>
        <w:t>查</w:t>
      </w:r>
      <w:r w:rsidR="009F4641">
        <w:rPr>
          <w:rFonts w:hint="eastAsia"/>
        </w:rPr>
        <w:t>85年8月間</w:t>
      </w:r>
      <w:r w:rsidR="00901573">
        <w:rPr>
          <w:rFonts w:hint="eastAsia"/>
        </w:rPr>
        <w:t>，</w:t>
      </w:r>
      <w:r>
        <w:rPr>
          <w:rFonts w:hint="eastAsia"/>
        </w:rPr>
        <w:t>中油公司</w:t>
      </w:r>
      <w:r w:rsidR="00901573">
        <w:rPr>
          <w:rFonts w:hint="eastAsia"/>
        </w:rPr>
        <w:t>在取得</w:t>
      </w:r>
      <w:r>
        <w:rPr>
          <w:rFonts w:hint="eastAsia"/>
        </w:rPr>
        <w:t>經濟部</w:t>
      </w:r>
      <w:r w:rsidR="00901573">
        <w:rPr>
          <w:rFonts w:hint="eastAsia"/>
        </w:rPr>
        <w:t>之</w:t>
      </w:r>
      <w:r>
        <w:rPr>
          <w:rFonts w:hint="eastAsia"/>
        </w:rPr>
        <w:t>同意後，開始進行油品</w:t>
      </w:r>
      <w:r w:rsidRPr="008D65F0">
        <w:rPr>
          <w:rFonts w:hint="eastAsia"/>
          <w:szCs w:val="22"/>
        </w:rPr>
        <w:t>期貨之避險，每月避險數量上限為</w:t>
      </w:r>
      <w:r w:rsidRPr="008D65F0">
        <w:rPr>
          <w:szCs w:val="22"/>
        </w:rPr>
        <w:t>36</w:t>
      </w:r>
      <w:r w:rsidRPr="008D65F0">
        <w:rPr>
          <w:rFonts w:hint="eastAsia"/>
          <w:szCs w:val="22"/>
        </w:rPr>
        <w:t>萬桶</w:t>
      </w:r>
      <w:r w:rsidR="009F4641">
        <w:rPr>
          <w:rFonts w:hint="eastAsia"/>
          <w:szCs w:val="22"/>
        </w:rPr>
        <w:t>，</w:t>
      </w:r>
      <w:r w:rsidRPr="008D65F0">
        <w:rPr>
          <w:rFonts w:hint="eastAsia"/>
          <w:szCs w:val="22"/>
        </w:rPr>
        <w:t>年度衍生性</w:t>
      </w:r>
      <w:r>
        <w:rPr>
          <w:rFonts w:hint="eastAsia"/>
        </w:rPr>
        <w:t>商品損失以</w:t>
      </w:r>
      <w:r>
        <w:t>50</w:t>
      </w:r>
      <w:r>
        <w:rPr>
          <w:rFonts w:hint="eastAsia"/>
        </w:rPr>
        <w:t>萬</w:t>
      </w:r>
      <w:r w:rsidR="00F4229C">
        <w:rPr>
          <w:rFonts w:hint="eastAsia"/>
        </w:rPr>
        <w:t>美</w:t>
      </w:r>
      <w:r w:rsidR="009E7C9C">
        <w:rPr>
          <w:rFonts w:hint="eastAsia"/>
        </w:rPr>
        <w:t>元</w:t>
      </w:r>
      <w:r>
        <w:rPr>
          <w:rFonts w:hint="eastAsia"/>
        </w:rPr>
        <w:t>為限。嗣因國際</w:t>
      </w:r>
      <w:r w:rsidR="00901573">
        <w:rPr>
          <w:rFonts w:hint="eastAsia"/>
        </w:rPr>
        <w:t>原</w:t>
      </w:r>
      <w:r>
        <w:rPr>
          <w:rFonts w:hint="eastAsia"/>
        </w:rPr>
        <w:t>油價</w:t>
      </w:r>
      <w:r w:rsidR="00901573">
        <w:rPr>
          <w:rFonts w:hint="eastAsia"/>
        </w:rPr>
        <w:t>格</w:t>
      </w:r>
      <w:r>
        <w:rPr>
          <w:rFonts w:hint="eastAsia"/>
        </w:rPr>
        <w:t>波動極大，易觸及</w:t>
      </w:r>
      <w:r w:rsidR="009E7C9C">
        <w:rPr>
          <w:rFonts w:hint="eastAsia"/>
        </w:rPr>
        <w:t>前揭</w:t>
      </w:r>
      <w:r>
        <w:rPr>
          <w:rFonts w:hint="eastAsia"/>
        </w:rPr>
        <w:t>衍生性商品損失限額</w:t>
      </w:r>
      <w:r w:rsidR="00901573">
        <w:rPr>
          <w:rFonts w:hint="eastAsia"/>
        </w:rPr>
        <w:t>，</w:t>
      </w:r>
      <w:r>
        <w:rPr>
          <w:rFonts w:hint="eastAsia"/>
        </w:rPr>
        <w:t>中油公司</w:t>
      </w:r>
      <w:r w:rsidR="009E7C9C">
        <w:rPr>
          <w:rFonts w:hint="eastAsia"/>
        </w:rPr>
        <w:t>爰</w:t>
      </w:r>
      <w:r>
        <w:rPr>
          <w:rFonts w:hint="eastAsia"/>
        </w:rPr>
        <w:t>於</w:t>
      </w:r>
      <w:r>
        <w:t>87</w:t>
      </w:r>
      <w:r w:rsidRPr="008D65F0">
        <w:rPr>
          <w:rFonts w:hint="eastAsia"/>
          <w:szCs w:val="22"/>
        </w:rPr>
        <w:t>年</w:t>
      </w:r>
      <w:r w:rsidR="00901573">
        <w:rPr>
          <w:rFonts w:hint="eastAsia"/>
          <w:szCs w:val="22"/>
        </w:rPr>
        <w:t>5</w:t>
      </w:r>
      <w:r w:rsidRPr="008D65F0">
        <w:rPr>
          <w:rFonts w:hint="eastAsia"/>
          <w:szCs w:val="22"/>
        </w:rPr>
        <w:t>月間</w:t>
      </w:r>
      <w:r w:rsidR="00901573">
        <w:rPr>
          <w:rFonts w:hint="eastAsia"/>
          <w:szCs w:val="22"/>
        </w:rPr>
        <w:t>取得</w:t>
      </w:r>
      <w:r w:rsidRPr="008D65F0">
        <w:rPr>
          <w:rFonts w:hint="eastAsia"/>
          <w:szCs w:val="22"/>
        </w:rPr>
        <w:t>經濟部同意</w:t>
      </w:r>
      <w:r w:rsidR="00901573">
        <w:rPr>
          <w:rFonts w:hint="eastAsia"/>
          <w:szCs w:val="22"/>
        </w:rPr>
        <w:t>，</w:t>
      </w:r>
      <w:r w:rsidRPr="008D65F0">
        <w:rPr>
          <w:rFonts w:hint="eastAsia"/>
          <w:szCs w:val="22"/>
        </w:rPr>
        <w:t>將年度衍生性商品損失限額提高至</w:t>
      </w:r>
      <w:r w:rsidRPr="008D65F0">
        <w:rPr>
          <w:szCs w:val="21"/>
        </w:rPr>
        <w:t>500</w:t>
      </w:r>
      <w:r w:rsidRPr="008D65F0">
        <w:rPr>
          <w:rFonts w:hint="eastAsia"/>
          <w:szCs w:val="21"/>
        </w:rPr>
        <w:t>萬</w:t>
      </w:r>
      <w:r w:rsidR="00F4229C">
        <w:rPr>
          <w:rFonts w:hint="eastAsia"/>
          <w:szCs w:val="21"/>
        </w:rPr>
        <w:t>美</w:t>
      </w:r>
      <w:r w:rsidR="009E7C9C">
        <w:rPr>
          <w:rFonts w:hint="eastAsia"/>
          <w:szCs w:val="21"/>
        </w:rPr>
        <w:t>元</w:t>
      </w:r>
      <w:r w:rsidRPr="008D65F0">
        <w:rPr>
          <w:rFonts w:hint="eastAsia"/>
          <w:szCs w:val="21"/>
        </w:rPr>
        <w:t>。</w:t>
      </w:r>
      <w:r w:rsidR="008D65F0">
        <w:rPr>
          <w:rFonts w:hint="eastAsia"/>
          <w:szCs w:val="21"/>
        </w:rPr>
        <w:t>惟</w:t>
      </w:r>
      <w:r w:rsidR="008D65F0">
        <w:rPr>
          <w:rFonts w:hint="eastAsia"/>
        </w:rPr>
        <w:t>中油公司</w:t>
      </w:r>
      <w:r w:rsidR="00901573">
        <w:rPr>
          <w:rFonts w:hint="eastAsia"/>
        </w:rPr>
        <w:t>認為</w:t>
      </w:r>
      <w:r w:rsidR="008D65F0">
        <w:rPr>
          <w:rFonts w:hint="eastAsia"/>
        </w:rPr>
        <w:t>前揭業務僅針對原油</w:t>
      </w:r>
      <w:r w:rsidR="00901573">
        <w:rPr>
          <w:rFonts w:hint="eastAsia"/>
        </w:rPr>
        <w:t>之</w:t>
      </w:r>
      <w:r w:rsidR="008D65F0">
        <w:rPr>
          <w:rFonts w:hint="eastAsia"/>
        </w:rPr>
        <w:t>價格</w:t>
      </w:r>
      <w:r w:rsidR="00901573">
        <w:rPr>
          <w:rFonts w:hint="eastAsia"/>
        </w:rPr>
        <w:t>變動</w:t>
      </w:r>
      <w:r w:rsidR="008D65F0">
        <w:rPr>
          <w:rFonts w:hint="eastAsia"/>
        </w:rPr>
        <w:t>進行避險，無法確保煉製利潤，</w:t>
      </w:r>
      <w:r w:rsidR="009E7C9C">
        <w:rPr>
          <w:rFonts w:hint="eastAsia"/>
        </w:rPr>
        <w:t>嗣</w:t>
      </w:r>
      <w:r w:rsidR="008D65F0">
        <w:rPr>
          <w:rFonts w:hint="eastAsia"/>
        </w:rPr>
        <w:t>於</w:t>
      </w:r>
      <w:r w:rsidR="008D65F0">
        <w:t>88</w:t>
      </w:r>
      <w:r w:rsidR="008D65F0">
        <w:rPr>
          <w:rFonts w:hint="eastAsia"/>
        </w:rPr>
        <w:t>年</w:t>
      </w:r>
      <w:r w:rsidR="00901573">
        <w:rPr>
          <w:rFonts w:hint="eastAsia"/>
        </w:rPr>
        <w:t>9</w:t>
      </w:r>
      <w:r w:rsidR="008D65F0">
        <w:rPr>
          <w:rFonts w:hint="eastAsia"/>
        </w:rPr>
        <w:t>月</w:t>
      </w:r>
      <w:r w:rsidR="00901573">
        <w:rPr>
          <w:rFonts w:hint="eastAsia"/>
        </w:rPr>
        <w:t>取得經</w:t>
      </w:r>
      <w:r w:rsidR="008D65F0">
        <w:rPr>
          <w:rFonts w:hint="eastAsia"/>
        </w:rPr>
        <w:t>濟部同意</w:t>
      </w:r>
      <w:r w:rsidR="00734CFC">
        <w:rPr>
          <w:rFonts w:hint="eastAsia"/>
        </w:rPr>
        <w:t>，</w:t>
      </w:r>
      <w:r w:rsidR="00901573">
        <w:rPr>
          <w:rFonts w:hint="eastAsia"/>
        </w:rPr>
        <w:t>於</w:t>
      </w:r>
      <w:r w:rsidR="008D65F0">
        <w:t>OTC</w:t>
      </w:r>
      <w:r w:rsidR="008D65F0">
        <w:rPr>
          <w:rFonts w:hint="eastAsia"/>
        </w:rPr>
        <w:t>油品市場</w:t>
      </w:r>
      <w:r w:rsidR="00734CFC">
        <w:rPr>
          <w:rFonts w:hint="eastAsia"/>
        </w:rPr>
        <w:t>針對煉製利潤</w:t>
      </w:r>
      <w:r w:rsidR="008D65F0">
        <w:rPr>
          <w:rFonts w:hint="eastAsia"/>
        </w:rPr>
        <w:t>避險操作。</w:t>
      </w:r>
    </w:p>
    <w:p w:rsidR="009B1B29" w:rsidRDefault="009E7C9C" w:rsidP="009B1B29">
      <w:pPr>
        <w:pStyle w:val="3"/>
      </w:pPr>
      <w:r>
        <w:rPr>
          <w:rFonts w:hint="eastAsia"/>
        </w:rPr>
        <w:t>嗣因國際油價波動日</w:t>
      </w:r>
      <w:r w:rsidR="008D65F0">
        <w:rPr>
          <w:rFonts w:hint="eastAsia"/>
        </w:rPr>
        <w:t>劇，中油公司認為原核定之避險損失限額過小，避險部位極易觸及損失限額，倘被迫提早</w:t>
      </w:r>
      <w:r w:rsidR="00734CFC">
        <w:rPr>
          <w:rFonts w:hint="eastAsia"/>
        </w:rPr>
        <w:t>停損出場，</w:t>
      </w:r>
      <w:r>
        <w:rPr>
          <w:rFonts w:hint="eastAsia"/>
        </w:rPr>
        <w:t>實物油品</w:t>
      </w:r>
      <w:r w:rsidR="00734CFC">
        <w:rPr>
          <w:rFonts w:hint="eastAsia"/>
        </w:rPr>
        <w:t>未來</w:t>
      </w:r>
      <w:r w:rsidR="008D65F0">
        <w:rPr>
          <w:rFonts w:hint="eastAsia"/>
        </w:rPr>
        <w:t>完全曝露在價格波動風險之中</w:t>
      </w:r>
      <w:r>
        <w:rPr>
          <w:rFonts w:hint="eastAsia"/>
        </w:rPr>
        <w:t>，倘</w:t>
      </w:r>
      <w:r w:rsidR="008D65F0">
        <w:rPr>
          <w:rFonts w:hint="eastAsia"/>
        </w:rPr>
        <w:t>未來油價反轉下跌，實物部位之價格損失亦無從由衍生性商品端之獲利</w:t>
      </w:r>
      <w:r>
        <w:rPr>
          <w:rFonts w:hint="eastAsia"/>
        </w:rPr>
        <w:t>進行</w:t>
      </w:r>
      <w:r w:rsidR="008D65F0">
        <w:rPr>
          <w:rFonts w:hint="eastAsia"/>
        </w:rPr>
        <w:t>彌補，將致現貨及衍生性商品兩端均發生</w:t>
      </w:r>
      <w:r w:rsidR="008D65F0">
        <w:rPr>
          <w:rFonts w:hint="eastAsia"/>
          <w:szCs w:val="21"/>
        </w:rPr>
        <w:t>虧損，避險效果難以彰顯，爰於</w:t>
      </w:r>
      <w:r w:rsidR="008D65F0">
        <w:rPr>
          <w:szCs w:val="21"/>
        </w:rPr>
        <w:t>91</w:t>
      </w:r>
      <w:r w:rsidR="008D65F0">
        <w:rPr>
          <w:rFonts w:hint="eastAsia"/>
          <w:szCs w:val="21"/>
        </w:rPr>
        <w:lastRenderedPageBreak/>
        <w:t>年</w:t>
      </w:r>
      <w:r w:rsidR="008D65F0">
        <w:rPr>
          <w:szCs w:val="21"/>
        </w:rPr>
        <w:t>5</w:t>
      </w:r>
      <w:r w:rsidR="008D65F0">
        <w:rPr>
          <w:rFonts w:hint="eastAsia"/>
        </w:rPr>
        <w:t>月</w:t>
      </w:r>
      <w:r w:rsidR="008D65F0">
        <w:t>6</w:t>
      </w:r>
      <w:r w:rsidR="008D65F0">
        <w:rPr>
          <w:rFonts w:hint="eastAsia"/>
        </w:rPr>
        <w:t>日</w:t>
      </w:r>
      <w:r w:rsidR="00901573">
        <w:rPr>
          <w:rFonts w:hint="eastAsia"/>
        </w:rPr>
        <w:t>請求</w:t>
      </w:r>
      <w:r w:rsidR="008D65F0">
        <w:rPr>
          <w:rFonts w:hint="eastAsia"/>
        </w:rPr>
        <w:t>經濟部同意</w:t>
      </w:r>
      <w:r w:rsidR="00901573">
        <w:rPr>
          <w:rFonts w:hint="eastAsia"/>
        </w:rPr>
        <w:t>渠</w:t>
      </w:r>
      <w:r w:rsidR="008D65F0">
        <w:rPr>
          <w:rFonts w:hint="eastAsia"/>
        </w:rPr>
        <w:t>將年度衍生性商品損失限額提高至</w:t>
      </w:r>
      <w:r w:rsidR="008D65F0">
        <w:t>5</w:t>
      </w:r>
      <w:r w:rsidR="008D65F0">
        <w:rPr>
          <w:rFonts w:hint="eastAsia"/>
        </w:rPr>
        <w:t>,</w:t>
      </w:r>
      <w:r w:rsidR="008D65F0">
        <w:t>000</w:t>
      </w:r>
      <w:r w:rsidR="000D521E">
        <w:rPr>
          <w:rFonts w:hint="eastAsia"/>
          <w:szCs w:val="22"/>
        </w:rPr>
        <w:t>萬美元</w:t>
      </w:r>
      <w:r w:rsidR="00901573">
        <w:rPr>
          <w:rFonts w:hint="eastAsia"/>
          <w:szCs w:val="22"/>
        </w:rPr>
        <w:t>，惟</w:t>
      </w:r>
      <w:r w:rsidR="008D65F0">
        <w:rPr>
          <w:rFonts w:hint="eastAsia"/>
          <w:szCs w:val="22"/>
        </w:rPr>
        <w:t>經濟部於</w:t>
      </w:r>
      <w:r>
        <w:rPr>
          <w:rFonts w:hint="eastAsia"/>
          <w:szCs w:val="22"/>
        </w:rPr>
        <w:t>同</w:t>
      </w:r>
      <w:r w:rsidR="008D65F0">
        <w:rPr>
          <w:rFonts w:hint="eastAsia"/>
          <w:szCs w:val="22"/>
        </w:rPr>
        <w:t>年</w:t>
      </w:r>
      <w:r w:rsidR="008D65F0">
        <w:rPr>
          <w:szCs w:val="22"/>
        </w:rPr>
        <w:t>11</w:t>
      </w:r>
      <w:r w:rsidR="008D65F0">
        <w:rPr>
          <w:rFonts w:hint="eastAsia"/>
          <w:szCs w:val="22"/>
        </w:rPr>
        <w:t>月</w:t>
      </w:r>
      <w:r w:rsidR="008D65F0">
        <w:rPr>
          <w:szCs w:val="22"/>
        </w:rPr>
        <w:t>19</w:t>
      </w:r>
      <w:r w:rsidR="008D65F0">
        <w:rPr>
          <w:rFonts w:hint="eastAsia"/>
          <w:szCs w:val="22"/>
        </w:rPr>
        <w:t>日</w:t>
      </w:r>
      <w:r w:rsidR="00901573">
        <w:rPr>
          <w:rFonts w:hint="eastAsia"/>
          <w:szCs w:val="22"/>
        </w:rPr>
        <w:t>僅</w:t>
      </w:r>
      <w:r w:rsidR="008D65F0">
        <w:rPr>
          <w:rFonts w:hint="eastAsia"/>
          <w:szCs w:val="22"/>
        </w:rPr>
        <w:t>同意</w:t>
      </w:r>
      <w:r w:rsidR="00901573">
        <w:rPr>
          <w:rFonts w:hint="eastAsia"/>
        </w:rPr>
        <w:t>渠</w:t>
      </w:r>
      <w:r w:rsidR="008D65F0">
        <w:rPr>
          <w:rFonts w:hint="eastAsia"/>
          <w:szCs w:val="22"/>
        </w:rPr>
        <w:t>將</w:t>
      </w:r>
      <w:r w:rsidR="00901573">
        <w:rPr>
          <w:rFonts w:hint="eastAsia"/>
          <w:szCs w:val="22"/>
        </w:rPr>
        <w:t>該</w:t>
      </w:r>
      <w:r w:rsidR="008D65F0">
        <w:rPr>
          <w:rFonts w:hint="eastAsia"/>
        </w:rPr>
        <w:t>損失限額提高至</w:t>
      </w:r>
      <w:r w:rsidR="008D65F0">
        <w:t>3</w:t>
      </w:r>
      <w:r w:rsidR="008D65F0">
        <w:rPr>
          <w:rFonts w:hint="eastAsia"/>
        </w:rPr>
        <w:t>,</w:t>
      </w:r>
      <w:r w:rsidR="008D65F0">
        <w:t>000</w:t>
      </w:r>
      <w:r w:rsidR="008D65F0">
        <w:rPr>
          <w:rFonts w:hint="eastAsia"/>
        </w:rPr>
        <w:t>萬</w:t>
      </w:r>
      <w:r w:rsidR="00F4229C">
        <w:rPr>
          <w:rFonts w:hint="eastAsia"/>
        </w:rPr>
        <w:t>美</w:t>
      </w:r>
      <w:r>
        <w:rPr>
          <w:rFonts w:hint="eastAsia"/>
        </w:rPr>
        <w:t>元</w:t>
      </w:r>
      <w:r w:rsidR="008D65F0">
        <w:rPr>
          <w:rFonts w:hint="eastAsia"/>
        </w:rPr>
        <w:t>，</w:t>
      </w:r>
      <w:r w:rsidR="00901573">
        <w:rPr>
          <w:rFonts w:hint="eastAsia"/>
        </w:rPr>
        <w:t>至於</w:t>
      </w:r>
      <w:r w:rsidR="008D65F0">
        <w:rPr>
          <w:rFonts w:hint="eastAsia"/>
        </w:rPr>
        <w:t>避險數量上限</w:t>
      </w:r>
      <w:r w:rsidR="00901573">
        <w:rPr>
          <w:rFonts w:hint="eastAsia"/>
        </w:rPr>
        <w:t>，在原油及煉製利潤</w:t>
      </w:r>
      <w:r w:rsidR="008D65F0">
        <w:rPr>
          <w:rFonts w:hint="eastAsia"/>
        </w:rPr>
        <w:t>仍各維持</w:t>
      </w:r>
      <w:r w:rsidR="00901573">
        <w:rPr>
          <w:rFonts w:hint="eastAsia"/>
        </w:rPr>
        <w:t>不變(每月</w:t>
      </w:r>
      <w:r w:rsidR="008D65F0">
        <w:t>36</w:t>
      </w:r>
      <w:r w:rsidR="008D65F0">
        <w:rPr>
          <w:rFonts w:hint="eastAsia"/>
        </w:rPr>
        <w:t>萬桶</w:t>
      </w:r>
      <w:r w:rsidR="00901573">
        <w:rPr>
          <w:rFonts w:hint="eastAsia"/>
        </w:rPr>
        <w:t>)</w:t>
      </w:r>
      <w:r w:rsidR="008D65F0">
        <w:rPr>
          <w:rFonts w:hint="eastAsia"/>
        </w:rPr>
        <w:t>。</w:t>
      </w:r>
    </w:p>
    <w:p w:rsidR="009E7C9C" w:rsidRDefault="007D4C35" w:rsidP="009B1B29">
      <w:pPr>
        <w:pStyle w:val="3"/>
      </w:pPr>
      <w:r>
        <w:rPr>
          <w:rFonts w:hint="eastAsia"/>
        </w:rPr>
        <w:t>再查</w:t>
      </w:r>
      <w:r>
        <w:t>97</w:t>
      </w:r>
      <w:r>
        <w:rPr>
          <w:rFonts w:hint="eastAsia"/>
        </w:rPr>
        <w:t>年</w:t>
      </w:r>
      <w:r>
        <w:t>3</w:t>
      </w:r>
      <w:r>
        <w:rPr>
          <w:rFonts w:hint="eastAsia"/>
        </w:rPr>
        <w:t>月起油價飆漲，</w:t>
      </w:r>
      <w:r w:rsidR="009F4641">
        <w:rPr>
          <w:rFonts w:hint="eastAsia"/>
        </w:rPr>
        <w:t>中油公司操作之</w:t>
      </w:r>
      <w:r>
        <w:rPr>
          <w:rFonts w:hint="eastAsia"/>
        </w:rPr>
        <w:t>新加坡航空燃油與</w:t>
      </w:r>
      <w:r>
        <w:t>Dubai</w:t>
      </w:r>
      <w:r w:rsidR="00F4229C">
        <w:rPr>
          <w:rFonts w:hint="eastAsia"/>
        </w:rPr>
        <w:t>原油</w:t>
      </w:r>
      <w:r w:rsidR="00901573">
        <w:rPr>
          <w:rFonts w:hint="eastAsia"/>
        </w:rPr>
        <w:t>之</w:t>
      </w:r>
      <w:r w:rsidR="009F4641">
        <w:rPr>
          <w:rFonts w:hint="eastAsia"/>
        </w:rPr>
        <w:t>價差</w:t>
      </w:r>
      <w:r w:rsidR="000F5627">
        <w:rPr>
          <w:rFonts w:hint="eastAsia"/>
        </w:rPr>
        <w:t>，</w:t>
      </w:r>
      <w:r w:rsidR="00903F99">
        <w:rPr>
          <w:rFonts w:hint="eastAsia"/>
        </w:rPr>
        <w:t>至</w:t>
      </w:r>
      <w:r w:rsidR="009F4641">
        <w:rPr>
          <w:rFonts w:hint="eastAsia"/>
        </w:rPr>
        <w:t>同年</w:t>
      </w:r>
      <w:r w:rsidR="00903F99">
        <w:t>5</w:t>
      </w:r>
      <w:r w:rsidR="00903F99">
        <w:rPr>
          <w:rFonts w:hint="eastAsia"/>
        </w:rPr>
        <w:t>月</w:t>
      </w:r>
      <w:r w:rsidR="00903F99">
        <w:t>13</w:t>
      </w:r>
      <w:r w:rsidR="00903F99">
        <w:rPr>
          <w:rFonts w:hint="eastAsia"/>
        </w:rPr>
        <w:t>日</w:t>
      </w:r>
      <w:r w:rsidR="00901573">
        <w:rPr>
          <w:rFonts w:hint="eastAsia"/>
        </w:rPr>
        <w:t>，每桶</w:t>
      </w:r>
      <w:r w:rsidR="00903F99">
        <w:rPr>
          <w:rFonts w:hint="eastAsia"/>
        </w:rPr>
        <w:t>已</w:t>
      </w:r>
      <w:r w:rsidR="00734CFC">
        <w:rPr>
          <w:rFonts w:hint="eastAsia"/>
        </w:rPr>
        <w:t>高</w:t>
      </w:r>
      <w:r w:rsidR="00903F99">
        <w:rPr>
          <w:rFonts w:hint="eastAsia"/>
        </w:rPr>
        <w:t>達</w:t>
      </w:r>
      <w:r w:rsidR="00903F99">
        <w:t>39.78</w:t>
      </w:r>
      <w:r w:rsidR="00903F99">
        <w:rPr>
          <w:rFonts w:hint="eastAsia"/>
        </w:rPr>
        <w:t>美元，</w:t>
      </w:r>
      <w:r w:rsidR="00734CFC">
        <w:rPr>
          <w:rFonts w:hint="eastAsia"/>
        </w:rPr>
        <w:t>而</w:t>
      </w:r>
      <w:r w:rsidR="00903F99">
        <w:rPr>
          <w:rFonts w:hint="eastAsia"/>
        </w:rPr>
        <w:t>該公司</w:t>
      </w:r>
      <w:r w:rsidR="00734CFC">
        <w:rPr>
          <w:rFonts w:hint="eastAsia"/>
        </w:rPr>
        <w:t>過去鎖住之利潤，每桶僅20美元，</w:t>
      </w:r>
      <w:r w:rsidR="00901573">
        <w:rPr>
          <w:rFonts w:hint="eastAsia"/>
        </w:rPr>
        <w:t>按當時市價</w:t>
      </w:r>
      <w:r w:rsidR="00903F99">
        <w:rPr>
          <w:rFonts w:hint="eastAsia"/>
        </w:rPr>
        <w:t>評估</w:t>
      </w:r>
      <w:r w:rsidR="006F520C">
        <w:rPr>
          <w:rFonts w:hint="eastAsia"/>
        </w:rPr>
        <w:t>，</w:t>
      </w:r>
      <w:r w:rsidR="00903F99">
        <w:rPr>
          <w:rFonts w:hint="eastAsia"/>
        </w:rPr>
        <w:t>本項避險交易之</w:t>
      </w:r>
      <w:r w:rsidR="00901573">
        <w:rPr>
          <w:rFonts w:hint="eastAsia"/>
        </w:rPr>
        <w:t>未實現</w:t>
      </w:r>
      <w:r w:rsidR="00903F99">
        <w:rPr>
          <w:rFonts w:hint="eastAsia"/>
        </w:rPr>
        <w:t>虧損已逾停損點（</w:t>
      </w:r>
      <w:r w:rsidR="00903F99">
        <w:t>3,000</w:t>
      </w:r>
      <w:r w:rsidR="00903F99">
        <w:rPr>
          <w:rFonts w:hint="eastAsia"/>
        </w:rPr>
        <w:t>萬</w:t>
      </w:r>
      <w:r w:rsidR="000F5627">
        <w:rPr>
          <w:rFonts w:hint="eastAsia"/>
        </w:rPr>
        <w:t>美</w:t>
      </w:r>
      <w:r w:rsidR="00903F99">
        <w:rPr>
          <w:rFonts w:hint="eastAsia"/>
        </w:rPr>
        <w:t>元），經依規定</w:t>
      </w:r>
      <w:r w:rsidR="00901573">
        <w:rPr>
          <w:rFonts w:hint="eastAsia"/>
        </w:rPr>
        <w:t>，</w:t>
      </w:r>
      <w:r w:rsidR="00903F99">
        <w:rPr>
          <w:rFonts w:hint="eastAsia"/>
        </w:rPr>
        <w:t>將</w:t>
      </w:r>
      <w:r w:rsidR="00EE3738">
        <w:rPr>
          <w:rFonts w:hint="eastAsia"/>
        </w:rPr>
        <w:t>97年度</w:t>
      </w:r>
      <w:r w:rsidR="00903F99">
        <w:rPr>
          <w:rFonts w:hint="eastAsia"/>
        </w:rPr>
        <w:t>所有衍生性商品</w:t>
      </w:r>
      <w:r w:rsidR="00EE3738">
        <w:rPr>
          <w:rFonts w:hint="eastAsia"/>
        </w:rPr>
        <w:t>未</w:t>
      </w:r>
      <w:r w:rsidR="00903F99">
        <w:rPr>
          <w:rFonts w:hint="eastAsia"/>
        </w:rPr>
        <w:t>平倉</w:t>
      </w:r>
      <w:r w:rsidR="00EE3738">
        <w:rPr>
          <w:rFonts w:hint="eastAsia"/>
        </w:rPr>
        <w:t>部位均辦理停損作業</w:t>
      </w:r>
      <w:r w:rsidR="006F520C">
        <w:rPr>
          <w:rFonts w:hint="eastAsia"/>
        </w:rPr>
        <w:t>，致</w:t>
      </w:r>
      <w:r w:rsidR="00901573">
        <w:rPr>
          <w:rFonts w:hint="eastAsia"/>
        </w:rPr>
        <w:t>已實現</w:t>
      </w:r>
      <w:r w:rsidR="00903F99">
        <w:rPr>
          <w:rFonts w:hint="eastAsia"/>
        </w:rPr>
        <w:t>虧損</w:t>
      </w:r>
      <w:r w:rsidR="00901573">
        <w:rPr>
          <w:rFonts w:hint="eastAsia"/>
        </w:rPr>
        <w:t>高達</w:t>
      </w:r>
      <w:r w:rsidR="00903F99">
        <w:t>3,632</w:t>
      </w:r>
      <w:r w:rsidR="00901573">
        <w:rPr>
          <w:rFonts w:hint="eastAsia"/>
        </w:rPr>
        <w:t>萬餘美元，</w:t>
      </w:r>
      <w:r w:rsidR="006F520C">
        <w:rPr>
          <w:rFonts w:hint="eastAsia"/>
        </w:rPr>
        <w:t>折合</w:t>
      </w:r>
      <w:r w:rsidR="000F5627">
        <w:rPr>
          <w:rFonts w:hint="eastAsia"/>
        </w:rPr>
        <w:t>新台幣</w:t>
      </w:r>
      <w:r w:rsidR="00903F99">
        <w:t>11</w:t>
      </w:r>
      <w:r w:rsidR="00901573">
        <w:rPr>
          <w:rFonts w:hint="eastAsia"/>
        </w:rPr>
        <w:t>.0002</w:t>
      </w:r>
      <w:r w:rsidR="00903F99">
        <w:rPr>
          <w:rFonts w:hint="eastAsia"/>
        </w:rPr>
        <w:t>億元。</w:t>
      </w:r>
    </w:p>
    <w:p w:rsidR="00901573" w:rsidRDefault="000768C8" w:rsidP="009B1B29">
      <w:pPr>
        <w:pStyle w:val="3"/>
      </w:pPr>
      <w:r>
        <w:rPr>
          <w:rFonts w:hint="eastAsia"/>
        </w:rPr>
        <w:t>依91年12月9日經濟部通過實施之中油公司「從事衍生性商品交易處理程序」</w:t>
      </w:r>
      <w:r w:rsidR="006C552F">
        <w:rPr>
          <w:rFonts w:hint="eastAsia"/>
        </w:rPr>
        <w:t>（下稱「處理程序」）</w:t>
      </w:r>
      <w:r>
        <w:rPr>
          <w:rFonts w:hint="eastAsia"/>
        </w:rPr>
        <w:t>參、一、（一）1規定，中油公司從事之衍生性商品交易，每年虧損以3</w:t>
      </w:r>
      <w:r w:rsidR="000F5627">
        <w:rPr>
          <w:rFonts w:hint="eastAsia"/>
        </w:rPr>
        <w:t>,</w:t>
      </w:r>
      <w:r>
        <w:rPr>
          <w:rFonts w:hint="eastAsia"/>
        </w:rPr>
        <w:t>000萬</w:t>
      </w:r>
      <w:r w:rsidR="000F5627">
        <w:rPr>
          <w:rFonts w:hint="eastAsia"/>
        </w:rPr>
        <w:t>美</w:t>
      </w:r>
      <w:r>
        <w:rPr>
          <w:rFonts w:hint="eastAsia"/>
        </w:rPr>
        <w:t>元為限。另依94年7月中油公司修訂</w:t>
      </w:r>
      <w:r w:rsidR="000140A1">
        <w:rPr>
          <w:rFonts w:hint="eastAsia"/>
        </w:rPr>
        <w:t>後</w:t>
      </w:r>
      <w:r>
        <w:rPr>
          <w:rFonts w:hint="eastAsia"/>
        </w:rPr>
        <w:t>之「油品衍生性商品交易作業細則」作業程序第四點，</w:t>
      </w:r>
      <w:r w:rsidR="000140A1">
        <w:rPr>
          <w:rFonts w:hint="eastAsia"/>
        </w:rPr>
        <w:t>亦</w:t>
      </w:r>
      <w:r>
        <w:rPr>
          <w:rFonts w:hint="eastAsia"/>
        </w:rPr>
        <w:t>僅規定各</w:t>
      </w:r>
      <w:r w:rsidR="00590B75">
        <w:rPr>
          <w:rFonts w:hint="eastAsia"/>
        </w:rPr>
        <w:t>管理</w:t>
      </w:r>
      <w:r>
        <w:rPr>
          <w:rFonts w:hint="eastAsia"/>
        </w:rPr>
        <w:t>層級</w:t>
      </w:r>
      <w:r w:rsidR="00590B75">
        <w:rPr>
          <w:rFonts w:hint="eastAsia"/>
        </w:rPr>
        <w:t>針對</w:t>
      </w:r>
      <w:r>
        <w:rPr>
          <w:rFonts w:hint="eastAsia"/>
        </w:rPr>
        <w:t>未平倉部位之授</w:t>
      </w:r>
      <w:r w:rsidR="00590B75">
        <w:rPr>
          <w:rFonts w:hint="eastAsia"/>
        </w:rPr>
        <w:t>權比例。</w:t>
      </w:r>
    </w:p>
    <w:p w:rsidR="000768C8" w:rsidRDefault="00590B75" w:rsidP="009B1B29">
      <w:pPr>
        <w:pStyle w:val="3"/>
      </w:pPr>
      <w:r>
        <w:rPr>
          <w:rFonts w:hint="eastAsia"/>
        </w:rPr>
        <w:t>經查中油公司</w:t>
      </w:r>
      <w:r w:rsidR="009F4641">
        <w:rPr>
          <w:rFonts w:hint="eastAsia"/>
        </w:rPr>
        <w:t>操作油品</w:t>
      </w:r>
      <w:r w:rsidR="00901573">
        <w:rPr>
          <w:rFonts w:hint="eastAsia"/>
        </w:rPr>
        <w:t>之</w:t>
      </w:r>
      <w:r w:rsidR="009F4641">
        <w:rPr>
          <w:rFonts w:hint="eastAsia"/>
        </w:rPr>
        <w:t>衍生性商品交易，自85年迄97年</w:t>
      </w:r>
      <w:r w:rsidR="00901573">
        <w:rPr>
          <w:rFonts w:hint="eastAsia"/>
        </w:rPr>
        <w:t>，</w:t>
      </w:r>
      <w:r w:rsidR="009F4641">
        <w:rPr>
          <w:rFonts w:hint="eastAsia"/>
        </w:rPr>
        <w:t>已歷12年</w:t>
      </w:r>
      <w:r w:rsidR="00901573">
        <w:rPr>
          <w:rFonts w:hint="eastAsia"/>
        </w:rPr>
        <w:t>。在此</w:t>
      </w:r>
      <w:r w:rsidR="009F4641">
        <w:rPr>
          <w:rFonts w:hint="eastAsia"/>
        </w:rPr>
        <w:t>期間</w:t>
      </w:r>
      <w:r w:rsidR="00901573">
        <w:rPr>
          <w:rFonts w:hint="eastAsia"/>
        </w:rPr>
        <w:t>內，</w:t>
      </w:r>
      <w:r w:rsidR="009F4641">
        <w:rPr>
          <w:rFonts w:hint="eastAsia"/>
        </w:rPr>
        <w:t>因避險上限過低，</w:t>
      </w:r>
      <w:r w:rsidR="00B25141">
        <w:rPr>
          <w:rFonts w:hint="eastAsia"/>
        </w:rPr>
        <w:t>二次提</w:t>
      </w:r>
      <w:r w:rsidR="009F4641">
        <w:rPr>
          <w:rFonts w:hint="eastAsia"/>
        </w:rPr>
        <w:t>報主管機關提</w:t>
      </w:r>
      <w:r w:rsidR="00B25141">
        <w:rPr>
          <w:rFonts w:hint="eastAsia"/>
        </w:rPr>
        <w:t>高</w:t>
      </w:r>
      <w:r w:rsidR="009F4641">
        <w:rPr>
          <w:rFonts w:hint="eastAsia"/>
        </w:rPr>
        <w:t>上限</w:t>
      </w:r>
      <w:r w:rsidR="00B25141">
        <w:rPr>
          <w:rFonts w:hint="eastAsia"/>
        </w:rPr>
        <w:t>。惟當操作衍</w:t>
      </w:r>
      <w:r w:rsidR="00822031">
        <w:rPr>
          <w:rFonts w:hint="eastAsia"/>
        </w:rPr>
        <w:t>生</w:t>
      </w:r>
      <w:r w:rsidR="00B25141">
        <w:rPr>
          <w:rFonts w:hint="eastAsia"/>
        </w:rPr>
        <w:t>性商品交易</w:t>
      </w:r>
      <w:r w:rsidR="00901573">
        <w:rPr>
          <w:rFonts w:hint="eastAsia"/>
        </w:rPr>
        <w:t>，未實現之損</w:t>
      </w:r>
      <w:r w:rsidR="006F520C">
        <w:rPr>
          <w:rFonts w:hint="eastAsia"/>
        </w:rPr>
        <w:t>失</w:t>
      </w:r>
      <w:r w:rsidR="00B25141">
        <w:rPr>
          <w:rFonts w:hint="eastAsia"/>
        </w:rPr>
        <w:t>面臨</w:t>
      </w:r>
      <w:r w:rsidR="00901573">
        <w:rPr>
          <w:rFonts w:hint="eastAsia"/>
        </w:rPr>
        <w:t>達</w:t>
      </w:r>
      <w:r w:rsidR="00B25141">
        <w:rPr>
          <w:rFonts w:hint="eastAsia"/>
        </w:rPr>
        <w:t>虧損上限時，究應如何因應，相關操作</w:t>
      </w:r>
      <w:r w:rsidR="00901573">
        <w:rPr>
          <w:rFonts w:hint="eastAsia"/>
        </w:rPr>
        <w:t>之</w:t>
      </w:r>
      <w:r w:rsidR="00B25141">
        <w:rPr>
          <w:rFonts w:hint="eastAsia"/>
        </w:rPr>
        <w:t>規定</w:t>
      </w:r>
      <w:r w:rsidR="00901573">
        <w:rPr>
          <w:rFonts w:hint="eastAsia"/>
        </w:rPr>
        <w:t>尚欠</w:t>
      </w:r>
      <w:r w:rsidR="00B25141">
        <w:rPr>
          <w:rFonts w:hint="eastAsia"/>
        </w:rPr>
        <w:t>周妥。再查97年間中油操作</w:t>
      </w:r>
      <w:r w:rsidR="00B25141" w:rsidRPr="0035780C">
        <w:rPr>
          <w:rFonts w:hint="eastAsia"/>
          <w:noProof/>
        </w:rPr>
        <w:t>外銷油</w:t>
      </w:r>
      <w:r w:rsidR="002D331D">
        <w:rPr>
          <w:rFonts w:hint="eastAsia"/>
          <w:noProof/>
        </w:rPr>
        <w:t>品煉製利潤</w:t>
      </w:r>
      <w:r w:rsidR="00B25141" w:rsidRPr="0035780C">
        <w:rPr>
          <w:rFonts w:hint="eastAsia"/>
          <w:noProof/>
        </w:rPr>
        <w:t>SWAP交易</w:t>
      </w:r>
      <w:r>
        <w:rPr>
          <w:rFonts w:hint="eastAsia"/>
        </w:rPr>
        <w:t>，以公平市價評</w:t>
      </w:r>
      <w:r w:rsidR="00B25141">
        <w:rPr>
          <w:rFonts w:hint="eastAsia"/>
        </w:rPr>
        <w:t>價，</w:t>
      </w:r>
      <w:r>
        <w:rPr>
          <w:rFonts w:hint="eastAsia"/>
        </w:rPr>
        <w:t>97年3月3日開始</w:t>
      </w:r>
      <w:r w:rsidR="006F520C">
        <w:rPr>
          <w:rFonts w:hint="eastAsia"/>
        </w:rPr>
        <w:t>出</w:t>
      </w:r>
      <w:r>
        <w:rPr>
          <w:rFonts w:hint="eastAsia"/>
        </w:rPr>
        <w:t>現</w:t>
      </w:r>
      <w:r w:rsidR="00901573">
        <w:rPr>
          <w:rFonts w:hint="eastAsia"/>
        </w:rPr>
        <w:t>未實現</w:t>
      </w:r>
      <w:r>
        <w:rPr>
          <w:rFonts w:hint="eastAsia"/>
        </w:rPr>
        <w:t>損失（-17,550美元）</w:t>
      </w:r>
      <w:r w:rsidR="00B25141">
        <w:rPr>
          <w:rFonts w:hint="eastAsia"/>
        </w:rPr>
        <w:t>，</w:t>
      </w:r>
      <w:r>
        <w:rPr>
          <w:rFonts w:hint="eastAsia"/>
        </w:rPr>
        <w:lastRenderedPageBreak/>
        <w:t>迄同年5月2日</w:t>
      </w:r>
      <w:r w:rsidR="006F520C">
        <w:rPr>
          <w:rFonts w:hint="eastAsia"/>
        </w:rPr>
        <w:t>，</w:t>
      </w:r>
      <w:r w:rsidR="00901573">
        <w:rPr>
          <w:rFonts w:hint="eastAsia"/>
        </w:rPr>
        <w:t>未實現</w:t>
      </w:r>
      <w:r>
        <w:rPr>
          <w:rFonts w:hint="eastAsia"/>
        </w:rPr>
        <w:t>虧損已達2,416</w:t>
      </w:r>
      <w:r w:rsidR="006F520C">
        <w:rPr>
          <w:rFonts w:hint="eastAsia"/>
        </w:rPr>
        <w:t>萬餘美元</w:t>
      </w:r>
      <w:r w:rsidR="00B25141">
        <w:rPr>
          <w:rFonts w:hint="eastAsia"/>
        </w:rPr>
        <w:t>。嗣</w:t>
      </w:r>
      <w:r w:rsidR="008F4814">
        <w:rPr>
          <w:rFonts w:hint="eastAsia"/>
        </w:rPr>
        <w:t>5月13日</w:t>
      </w:r>
      <w:r w:rsidR="00C04098">
        <w:rPr>
          <w:rFonts w:hint="eastAsia"/>
        </w:rPr>
        <w:t>，</w:t>
      </w:r>
      <w:r w:rsidR="008F4814">
        <w:rPr>
          <w:rFonts w:hint="eastAsia"/>
        </w:rPr>
        <w:t>經</w:t>
      </w:r>
      <w:r w:rsidR="00B25141">
        <w:rPr>
          <w:rFonts w:hint="eastAsia"/>
        </w:rPr>
        <w:t>再</w:t>
      </w:r>
      <w:r w:rsidR="008F4814">
        <w:rPr>
          <w:rFonts w:hint="eastAsia"/>
        </w:rPr>
        <w:t>評估</w:t>
      </w:r>
      <w:r w:rsidR="00C04098">
        <w:rPr>
          <w:rFonts w:hint="eastAsia"/>
        </w:rPr>
        <w:t>，未實現</w:t>
      </w:r>
      <w:r w:rsidR="008F4814">
        <w:rPr>
          <w:rFonts w:hint="eastAsia"/>
        </w:rPr>
        <w:t>虧損已超過規定上限</w:t>
      </w:r>
      <w:r w:rsidR="00C04098">
        <w:rPr>
          <w:rFonts w:hint="eastAsia"/>
        </w:rPr>
        <w:t>(</w:t>
      </w:r>
      <w:r w:rsidR="008F4814">
        <w:rPr>
          <w:rFonts w:hint="eastAsia"/>
        </w:rPr>
        <w:t>3,000萬</w:t>
      </w:r>
      <w:r w:rsidR="000222B8">
        <w:rPr>
          <w:rFonts w:hint="eastAsia"/>
        </w:rPr>
        <w:t>美元</w:t>
      </w:r>
      <w:r w:rsidR="00C04098">
        <w:rPr>
          <w:rFonts w:hint="eastAsia"/>
        </w:rPr>
        <w:t>)</w:t>
      </w:r>
      <w:r w:rsidR="000222B8">
        <w:rPr>
          <w:rFonts w:hint="eastAsia"/>
        </w:rPr>
        <w:t>，始予強制平倉出場，</w:t>
      </w:r>
      <w:r w:rsidR="00C04098">
        <w:rPr>
          <w:rFonts w:hint="eastAsia"/>
        </w:rPr>
        <w:t>支付現金</w:t>
      </w:r>
      <w:r w:rsidR="006F520C">
        <w:rPr>
          <w:rFonts w:hint="eastAsia"/>
        </w:rPr>
        <w:t>，</w:t>
      </w:r>
      <w:r w:rsidR="000222B8">
        <w:rPr>
          <w:rFonts w:hint="eastAsia"/>
        </w:rPr>
        <w:t>造成高達</w:t>
      </w:r>
      <w:r w:rsidR="008F4814">
        <w:t>3,632</w:t>
      </w:r>
      <w:r w:rsidR="004672B3">
        <w:rPr>
          <w:rFonts w:hint="eastAsia"/>
        </w:rPr>
        <w:t>萬餘</w:t>
      </w:r>
      <w:r w:rsidR="000222B8">
        <w:rPr>
          <w:rFonts w:hint="eastAsia"/>
        </w:rPr>
        <w:t>美</w:t>
      </w:r>
      <w:r w:rsidR="004672B3">
        <w:rPr>
          <w:rFonts w:hint="eastAsia"/>
        </w:rPr>
        <w:t>元之</w:t>
      </w:r>
      <w:r w:rsidR="00C04098">
        <w:rPr>
          <w:rFonts w:hint="eastAsia"/>
        </w:rPr>
        <w:t>已實現</w:t>
      </w:r>
      <w:r w:rsidR="004672B3">
        <w:rPr>
          <w:rFonts w:hint="eastAsia"/>
        </w:rPr>
        <w:t>損失。前揭作為</w:t>
      </w:r>
      <w:r w:rsidR="008F4814">
        <w:rPr>
          <w:rFonts w:hint="eastAsia"/>
        </w:rPr>
        <w:t>顯示該公司</w:t>
      </w:r>
      <w:r w:rsidR="004672B3">
        <w:rPr>
          <w:rFonts w:hint="eastAsia"/>
        </w:rPr>
        <w:t>之作業</w:t>
      </w:r>
      <w:r w:rsidR="008F4814">
        <w:rPr>
          <w:rFonts w:hint="eastAsia"/>
        </w:rPr>
        <w:t>規定</w:t>
      </w:r>
      <w:r w:rsidR="004672B3">
        <w:rPr>
          <w:rFonts w:hint="eastAsia"/>
        </w:rPr>
        <w:t>雖</w:t>
      </w:r>
      <w:r w:rsidR="00C04098">
        <w:rPr>
          <w:rFonts w:hint="eastAsia"/>
        </w:rPr>
        <w:t>訂</w:t>
      </w:r>
      <w:r w:rsidR="004672B3">
        <w:rPr>
          <w:rFonts w:hint="eastAsia"/>
        </w:rPr>
        <w:t>有虧損上限</w:t>
      </w:r>
      <w:r w:rsidR="00C04098">
        <w:rPr>
          <w:rFonts w:hint="eastAsia"/>
        </w:rPr>
        <w:t>之</w:t>
      </w:r>
      <w:r w:rsidR="00901573">
        <w:rPr>
          <w:rFonts w:hint="eastAsia"/>
        </w:rPr>
        <w:t>停損</w:t>
      </w:r>
      <w:r w:rsidR="00C04098">
        <w:rPr>
          <w:rFonts w:hint="eastAsia"/>
        </w:rPr>
        <w:t>機制</w:t>
      </w:r>
      <w:r w:rsidR="004672B3">
        <w:rPr>
          <w:rFonts w:hint="eastAsia"/>
        </w:rPr>
        <w:t>，惟未</w:t>
      </w:r>
      <w:r w:rsidR="00C04098">
        <w:rPr>
          <w:rFonts w:hint="eastAsia"/>
        </w:rPr>
        <w:t>納入廣徵資訊及集體人為判斷之責任</w:t>
      </w:r>
      <w:r w:rsidR="004672B3">
        <w:rPr>
          <w:rFonts w:hint="eastAsia"/>
        </w:rPr>
        <w:t>，致原為規避風險之操作反造成</w:t>
      </w:r>
      <w:r w:rsidR="00C04098">
        <w:rPr>
          <w:rFonts w:hint="eastAsia"/>
        </w:rPr>
        <w:t>已實現之</w:t>
      </w:r>
      <w:r w:rsidR="004672B3">
        <w:rPr>
          <w:rFonts w:hint="eastAsia"/>
        </w:rPr>
        <w:t>重大財務損失</w:t>
      </w:r>
      <w:r w:rsidR="00C04098">
        <w:rPr>
          <w:rFonts w:hint="eastAsia"/>
        </w:rPr>
        <w:t>，支付鉅額現金</w:t>
      </w:r>
      <w:r w:rsidR="004672B3">
        <w:rPr>
          <w:rFonts w:hint="eastAsia"/>
        </w:rPr>
        <w:t>。</w:t>
      </w:r>
      <w:r w:rsidR="00B25141">
        <w:rPr>
          <w:rFonts w:hint="eastAsia"/>
        </w:rPr>
        <w:t>在國際</w:t>
      </w:r>
      <w:r w:rsidR="00C04098">
        <w:rPr>
          <w:rFonts w:hint="eastAsia"/>
        </w:rPr>
        <w:t>原</w:t>
      </w:r>
      <w:r w:rsidR="00B25141">
        <w:rPr>
          <w:rFonts w:hint="eastAsia"/>
        </w:rPr>
        <w:t>油價格變動日趨劇烈</w:t>
      </w:r>
      <w:r w:rsidR="00C04098">
        <w:rPr>
          <w:rFonts w:hint="eastAsia"/>
        </w:rPr>
        <w:t>的環境下</w:t>
      </w:r>
      <w:r w:rsidR="00B25141">
        <w:rPr>
          <w:rFonts w:hint="eastAsia"/>
        </w:rPr>
        <w:t>，</w:t>
      </w:r>
      <w:r w:rsidR="004672B3">
        <w:rPr>
          <w:rFonts w:hint="eastAsia"/>
        </w:rPr>
        <w:t>中油公司</w:t>
      </w:r>
      <w:r w:rsidR="006F520C">
        <w:rPr>
          <w:rFonts w:hint="eastAsia"/>
        </w:rPr>
        <w:t>操作</w:t>
      </w:r>
      <w:r w:rsidR="000D0195">
        <w:rPr>
          <w:rFonts w:hint="eastAsia"/>
        </w:rPr>
        <w:t>衍生性商品</w:t>
      </w:r>
      <w:r w:rsidR="00C04098">
        <w:rPr>
          <w:rFonts w:hint="eastAsia"/>
        </w:rPr>
        <w:t>之目的雖本為避險，但行為卻不脫投機之嫌</w:t>
      </w:r>
      <w:r w:rsidR="000D0195">
        <w:rPr>
          <w:rFonts w:hint="eastAsia"/>
        </w:rPr>
        <w:t>，</w:t>
      </w:r>
      <w:r w:rsidR="00C04098">
        <w:rPr>
          <w:rFonts w:hint="eastAsia"/>
        </w:rPr>
        <w:t>雖可聲稱係因現行</w:t>
      </w:r>
      <w:r w:rsidR="008F4814">
        <w:rPr>
          <w:rFonts w:hint="eastAsia"/>
        </w:rPr>
        <w:t>有關</w:t>
      </w:r>
      <w:r w:rsidR="000D0195">
        <w:rPr>
          <w:rFonts w:hint="eastAsia"/>
        </w:rPr>
        <w:t>損失上限</w:t>
      </w:r>
      <w:r w:rsidR="00C04098">
        <w:rPr>
          <w:rFonts w:hint="eastAsia"/>
        </w:rPr>
        <w:t>之</w:t>
      </w:r>
      <w:r w:rsidR="00C03C60">
        <w:rPr>
          <w:rFonts w:hint="eastAsia"/>
        </w:rPr>
        <w:t>規定</w:t>
      </w:r>
      <w:r w:rsidR="00C04098">
        <w:rPr>
          <w:rFonts w:hint="eastAsia"/>
        </w:rPr>
        <w:t>而不得不為</w:t>
      </w:r>
      <w:r w:rsidR="008F4814">
        <w:rPr>
          <w:rFonts w:hint="eastAsia"/>
        </w:rPr>
        <w:t>，</w:t>
      </w:r>
      <w:r w:rsidR="00C04098">
        <w:rPr>
          <w:rFonts w:hint="eastAsia"/>
        </w:rPr>
        <w:t>但現行規定之適當性仍須斟酌</w:t>
      </w:r>
      <w:r w:rsidR="008F4814">
        <w:rPr>
          <w:rFonts w:hint="eastAsia"/>
        </w:rPr>
        <w:t>。</w:t>
      </w:r>
    </w:p>
    <w:bookmarkEnd w:id="45"/>
    <w:bookmarkEnd w:id="46"/>
    <w:bookmarkEnd w:id="47"/>
    <w:bookmarkEnd w:id="48"/>
    <w:bookmarkEnd w:id="49"/>
    <w:bookmarkEnd w:id="50"/>
    <w:bookmarkEnd w:id="51"/>
    <w:bookmarkEnd w:id="52"/>
    <w:bookmarkEnd w:id="53"/>
    <w:bookmarkEnd w:id="54"/>
    <w:bookmarkEnd w:id="55"/>
    <w:p w:rsidR="0065488D" w:rsidRDefault="0065488D" w:rsidP="0065488D">
      <w:pPr>
        <w:pStyle w:val="2"/>
        <w:ind w:left="1134" w:hanging="686"/>
      </w:pPr>
      <w:r>
        <w:rPr>
          <w:rFonts w:hint="eastAsia"/>
        </w:rPr>
        <w:t>中油公司</w:t>
      </w:r>
      <w:r w:rsidR="006F520C" w:rsidRPr="00A86822">
        <w:rPr>
          <w:rFonts w:hint="eastAsia"/>
        </w:rPr>
        <w:t>油品衍生性商品交易處理程序</w:t>
      </w:r>
      <w:r w:rsidR="006F520C">
        <w:rPr>
          <w:rFonts w:hint="eastAsia"/>
        </w:rPr>
        <w:t>對</w:t>
      </w:r>
      <w:r w:rsidR="00BE4532">
        <w:rPr>
          <w:rFonts w:hint="eastAsia"/>
          <w:noProof/>
        </w:rPr>
        <w:t>損</w:t>
      </w:r>
      <w:r w:rsidR="00A318E2">
        <w:rPr>
          <w:rFonts w:hint="eastAsia"/>
          <w:noProof/>
        </w:rPr>
        <w:t>（益）</w:t>
      </w:r>
      <w:r w:rsidR="006F520C">
        <w:rPr>
          <w:rFonts w:hint="eastAsia"/>
          <w:noProof/>
        </w:rPr>
        <w:t>之</w:t>
      </w:r>
      <w:r w:rsidR="00A318E2">
        <w:rPr>
          <w:rFonts w:hint="eastAsia"/>
          <w:noProof/>
        </w:rPr>
        <w:t>評估</w:t>
      </w:r>
      <w:r w:rsidR="00BE4532">
        <w:rPr>
          <w:rFonts w:hint="eastAsia"/>
          <w:noProof/>
        </w:rPr>
        <w:t>計算</w:t>
      </w:r>
      <w:r w:rsidR="006F520C">
        <w:rPr>
          <w:rFonts w:hint="eastAsia"/>
          <w:noProof/>
        </w:rPr>
        <w:t>，</w:t>
      </w:r>
      <w:r w:rsidR="00AF212F">
        <w:rPr>
          <w:rFonts w:hint="eastAsia"/>
          <w:noProof/>
        </w:rPr>
        <w:t>與原定</w:t>
      </w:r>
      <w:r w:rsidR="00BE4532">
        <w:rPr>
          <w:rFonts w:hint="eastAsia"/>
          <w:noProof/>
        </w:rPr>
        <w:t>目的相違</w:t>
      </w:r>
      <w:r w:rsidR="00BD5E8D">
        <w:rPr>
          <w:rFonts w:hint="eastAsia"/>
          <w:noProof/>
        </w:rPr>
        <w:t>，</w:t>
      </w:r>
      <w:r w:rsidR="006F520C">
        <w:rPr>
          <w:rFonts w:hint="eastAsia"/>
          <w:noProof/>
        </w:rPr>
        <w:t>應</w:t>
      </w:r>
      <w:r w:rsidR="00BD5E8D">
        <w:rPr>
          <w:rFonts w:hint="eastAsia"/>
          <w:noProof/>
        </w:rPr>
        <w:t>予檢討。</w:t>
      </w:r>
    </w:p>
    <w:p w:rsidR="006F520C" w:rsidRDefault="00BE4532" w:rsidP="006D0338">
      <w:pPr>
        <w:pStyle w:val="3"/>
        <w:numPr>
          <w:ilvl w:val="0"/>
          <w:numId w:val="0"/>
        </w:numPr>
        <w:ind w:left="1190" w:firstLineChars="181" w:firstLine="616"/>
      </w:pPr>
      <w:r>
        <w:rPr>
          <w:rFonts w:hint="eastAsia"/>
        </w:rPr>
        <w:t>查</w:t>
      </w:r>
      <w:r w:rsidR="003A066D">
        <w:rPr>
          <w:rFonts w:hint="eastAsia"/>
        </w:rPr>
        <w:t>88年9月間，</w:t>
      </w:r>
      <w:r>
        <w:rPr>
          <w:rFonts w:hint="eastAsia"/>
        </w:rPr>
        <w:t>中油公司</w:t>
      </w:r>
      <w:r w:rsidR="006F520C">
        <w:rPr>
          <w:rFonts w:hint="eastAsia"/>
        </w:rPr>
        <w:t>於</w:t>
      </w:r>
      <w:r w:rsidR="003A066D">
        <w:rPr>
          <w:rFonts w:hint="eastAsia"/>
        </w:rPr>
        <w:t>報</w:t>
      </w:r>
      <w:r w:rsidR="003A066D" w:rsidRPr="00A86822">
        <w:rPr>
          <w:rFonts w:hint="eastAsia"/>
        </w:rPr>
        <w:t>經濟部同意後，開始針對煉製利潤於</w:t>
      </w:r>
      <w:r w:rsidR="003A066D" w:rsidRPr="00A86822">
        <w:t>OTC</w:t>
      </w:r>
      <w:r w:rsidR="003A066D" w:rsidRPr="00A86822">
        <w:rPr>
          <w:rFonts w:hint="eastAsia"/>
        </w:rPr>
        <w:t>油品市場進行避險操作</w:t>
      </w:r>
      <w:r w:rsidR="006F520C">
        <w:rPr>
          <w:rFonts w:hint="eastAsia"/>
        </w:rPr>
        <w:t>。</w:t>
      </w:r>
      <w:r w:rsidR="003A066D" w:rsidRPr="00A86822">
        <w:rPr>
          <w:rFonts w:hint="eastAsia"/>
        </w:rPr>
        <w:t>為規範前揭交易</w:t>
      </w:r>
      <w:r w:rsidR="006F520C">
        <w:rPr>
          <w:rFonts w:hint="eastAsia"/>
        </w:rPr>
        <w:t>之</w:t>
      </w:r>
      <w:r w:rsidR="00BD5E8D">
        <w:rPr>
          <w:rFonts w:hint="eastAsia"/>
        </w:rPr>
        <w:t>操作</w:t>
      </w:r>
      <w:r w:rsidR="003A066D" w:rsidRPr="00A86822">
        <w:rPr>
          <w:rFonts w:hint="eastAsia"/>
        </w:rPr>
        <w:t>，</w:t>
      </w:r>
      <w:r w:rsidR="00D00A96">
        <w:rPr>
          <w:rFonts w:hint="eastAsia"/>
        </w:rPr>
        <w:t>該公司</w:t>
      </w:r>
      <w:r w:rsidR="006F520C">
        <w:rPr>
          <w:rFonts w:hint="eastAsia"/>
        </w:rPr>
        <w:t>訂有</w:t>
      </w:r>
      <w:r w:rsidR="003A066D" w:rsidRPr="00A86822">
        <w:rPr>
          <w:rFonts w:hint="eastAsia"/>
        </w:rPr>
        <w:t>油品衍生性商品交易處理程序</w:t>
      </w:r>
      <w:r w:rsidR="006F520C">
        <w:rPr>
          <w:rFonts w:hint="eastAsia"/>
        </w:rPr>
        <w:t>，該程序規定</w:t>
      </w:r>
      <w:r w:rsidR="006F520C" w:rsidRPr="00A86822">
        <w:rPr>
          <w:rFonts w:hint="eastAsia"/>
        </w:rPr>
        <w:t>衍生性商品交易</w:t>
      </w:r>
      <w:r w:rsidR="00234AC7">
        <w:rPr>
          <w:rFonts w:hint="eastAsia"/>
        </w:rPr>
        <w:t>損失</w:t>
      </w:r>
      <w:r w:rsidR="006F520C">
        <w:rPr>
          <w:rFonts w:hint="eastAsia"/>
        </w:rPr>
        <w:t>之</w:t>
      </w:r>
      <w:r w:rsidR="00234AC7">
        <w:rPr>
          <w:rFonts w:hint="eastAsia"/>
        </w:rPr>
        <w:t>上限。</w:t>
      </w:r>
      <w:r w:rsidR="006F520C">
        <w:rPr>
          <w:rFonts w:hint="eastAsia"/>
        </w:rPr>
        <w:t>該</w:t>
      </w:r>
      <w:r w:rsidR="006F520C" w:rsidRPr="00A86822">
        <w:rPr>
          <w:rFonts w:hint="eastAsia"/>
        </w:rPr>
        <w:t>上限</w:t>
      </w:r>
      <w:r w:rsidR="006F520C">
        <w:rPr>
          <w:rFonts w:hint="eastAsia"/>
        </w:rPr>
        <w:t>之</w:t>
      </w:r>
      <w:r w:rsidR="006F520C" w:rsidRPr="00A86822">
        <w:rPr>
          <w:rFonts w:hint="eastAsia"/>
        </w:rPr>
        <w:t>金額</w:t>
      </w:r>
      <w:r w:rsidR="003A066D" w:rsidRPr="00A86822">
        <w:rPr>
          <w:rFonts w:hint="eastAsia"/>
        </w:rPr>
        <w:t>原訂為500</w:t>
      </w:r>
      <w:r w:rsidR="00D00A96">
        <w:rPr>
          <w:rFonts w:hint="eastAsia"/>
        </w:rPr>
        <w:t>萬美元，嗣</w:t>
      </w:r>
      <w:r w:rsidR="003A066D" w:rsidRPr="00A86822">
        <w:rPr>
          <w:rFonts w:hint="eastAsia"/>
        </w:rPr>
        <w:t>因國際油價波動日劇，原核定之損失限額過小，避險部位</w:t>
      </w:r>
      <w:r w:rsidR="006F520C">
        <w:rPr>
          <w:rFonts w:hint="eastAsia"/>
        </w:rPr>
        <w:t>之</w:t>
      </w:r>
      <w:r w:rsidR="006F520C" w:rsidRPr="00A86822">
        <w:rPr>
          <w:rFonts w:hint="eastAsia"/>
        </w:rPr>
        <w:t>損失</w:t>
      </w:r>
      <w:r w:rsidR="003A066D" w:rsidRPr="00A86822">
        <w:rPr>
          <w:rFonts w:hint="eastAsia"/>
        </w:rPr>
        <w:t>極易觸及上限，</w:t>
      </w:r>
      <w:r w:rsidR="006F520C">
        <w:rPr>
          <w:rFonts w:hint="eastAsia"/>
        </w:rPr>
        <w:t>乃</w:t>
      </w:r>
      <w:r w:rsidR="003A066D" w:rsidRPr="00A86822">
        <w:rPr>
          <w:rFonts w:hint="eastAsia"/>
        </w:rPr>
        <w:t>於91年5月間</w:t>
      </w:r>
      <w:r w:rsidR="007E082E" w:rsidRPr="00A86822">
        <w:rPr>
          <w:rFonts w:hint="eastAsia"/>
        </w:rPr>
        <w:t>報請經濟部同意將損失限額提高至5,000萬美元，</w:t>
      </w:r>
      <w:r w:rsidR="006F520C">
        <w:rPr>
          <w:rFonts w:hint="eastAsia"/>
        </w:rPr>
        <w:t>惟</w:t>
      </w:r>
      <w:r w:rsidR="007E082E" w:rsidRPr="00A86822">
        <w:rPr>
          <w:rFonts w:hint="eastAsia"/>
        </w:rPr>
        <w:t>經濟部</w:t>
      </w:r>
      <w:r w:rsidR="006F520C">
        <w:rPr>
          <w:rFonts w:hint="eastAsia"/>
        </w:rPr>
        <w:t>僅</w:t>
      </w:r>
      <w:r w:rsidR="007E082E" w:rsidRPr="00A86822">
        <w:rPr>
          <w:rFonts w:hint="eastAsia"/>
        </w:rPr>
        <w:t>核准</w:t>
      </w:r>
      <w:r w:rsidR="006F520C">
        <w:rPr>
          <w:rFonts w:hint="eastAsia"/>
        </w:rPr>
        <w:t>至</w:t>
      </w:r>
      <w:r w:rsidR="007E082E" w:rsidRPr="00A86822">
        <w:rPr>
          <w:rFonts w:hint="eastAsia"/>
        </w:rPr>
        <w:t>每年3,000萬美元。</w:t>
      </w:r>
    </w:p>
    <w:p w:rsidR="00BE4532" w:rsidRDefault="00A318E2" w:rsidP="006D0338">
      <w:pPr>
        <w:pStyle w:val="3"/>
        <w:numPr>
          <w:ilvl w:val="0"/>
          <w:numId w:val="0"/>
        </w:numPr>
        <w:ind w:left="1190" w:firstLineChars="181" w:firstLine="616"/>
      </w:pPr>
      <w:r>
        <w:rPr>
          <w:rFonts w:hint="eastAsia"/>
        </w:rPr>
        <w:t>惟查前揭</w:t>
      </w:r>
      <w:r w:rsidR="007E082E" w:rsidRPr="00A86822">
        <w:rPr>
          <w:rFonts w:hint="eastAsia"/>
        </w:rPr>
        <w:t>衍生性商品</w:t>
      </w:r>
      <w:r w:rsidR="008D31A0">
        <w:rPr>
          <w:rFonts w:hint="eastAsia"/>
        </w:rPr>
        <w:t>部位</w:t>
      </w:r>
      <w:r w:rsidR="00D03BA1">
        <w:rPr>
          <w:rFonts w:hint="eastAsia"/>
        </w:rPr>
        <w:t>操作</w:t>
      </w:r>
      <w:r w:rsidR="007E082E" w:rsidRPr="00A86822">
        <w:rPr>
          <w:rFonts w:hint="eastAsia"/>
        </w:rPr>
        <w:t>盈虧</w:t>
      </w:r>
      <w:r w:rsidR="00D03BA1">
        <w:rPr>
          <w:rFonts w:hint="eastAsia"/>
        </w:rPr>
        <w:t>之計算</w:t>
      </w:r>
      <w:r w:rsidR="007E082E" w:rsidRPr="00A86822">
        <w:rPr>
          <w:rFonts w:hint="eastAsia"/>
        </w:rPr>
        <w:t>，</w:t>
      </w:r>
      <w:r>
        <w:rPr>
          <w:rFonts w:hint="eastAsia"/>
        </w:rPr>
        <w:t>係</w:t>
      </w:r>
      <w:r w:rsidR="00D03BA1">
        <w:rPr>
          <w:rFonts w:hint="eastAsia"/>
        </w:rPr>
        <w:t>於結算日</w:t>
      </w:r>
      <w:r>
        <w:rPr>
          <w:rFonts w:hint="eastAsia"/>
        </w:rPr>
        <w:t>每批衍生性商品</w:t>
      </w:r>
      <w:r w:rsidR="00D03BA1">
        <w:rPr>
          <w:rFonts w:hint="eastAsia"/>
        </w:rPr>
        <w:t>之</w:t>
      </w:r>
      <w:r>
        <w:rPr>
          <w:rFonts w:hint="eastAsia"/>
        </w:rPr>
        <w:t>盈虧，除以當月最大可操作</w:t>
      </w:r>
      <w:r w:rsidR="007E082E" w:rsidRPr="00A86822">
        <w:rPr>
          <w:rFonts w:hint="eastAsia"/>
        </w:rPr>
        <w:t>實物部位</w:t>
      </w:r>
      <w:r w:rsidR="00D03BA1">
        <w:rPr>
          <w:rFonts w:hint="eastAsia"/>
        </w:rPr>
        <w:t>之</w:t>
      </w:r>
      <w:r>
        <w:rPr>
          <w:rFonts w:hint="eastAsia"/>
        </w:rPr>
        <w:t>數</w:t>
      </w:r>
      <w:r w:rsidR="00D03BA1">
        <w:rPr>
          <w:rFonts w:hint="eastAsia"/>
        </w:rPr>
        <w:t>量</w:t>
      </w:r>
      <w:r>
        <w:rPr>
          <w:rFonts w:hint="eastAsia"/>
        </w:rPr>
        <w:t>，而</w:t>
      </w:r>
      <w:r w:rsidR="007E254F">
        <w:rPr>
          <w:rFonts w:hint="eastAsia"/>
        </w:rPr>
        <w:t>非</w:t>
      </w:r>
      <w:r>
        <w:rPr>
          <w:rFonts w:hint="eastAsia"/>
        </w:rPr>
        <w:t>除以</w:t>
      </w:r>
      <w:r w:rsidR="00D03BA1">
        <w:rPr>
          <w:rFonts w:hint="eastAsia"/>
        </w:rPr>
        <w:t>上述</w:t>
      </w:r>
      <w:r>
        <w:rPr>
          <w:rFonts w:hint="eastAsia"/>
        </w:rPr>
        <w:t>實際操作數量，</w:t>
      </w:r>
      <w:r w:rsidR="007E254F">
        <w:rPr>
          <w:rFonts w:hint="eastAsia"/>
        </w:rPr>
        <w:t>得</w:t>
      </w:r>
      <w:r w:rsidR="00D03BA1">
        <w:rPr>
          <w:rFonts w:hint="eastAsia"/>
        </w:rPr>
        <w:t>到</w:t>
      </w:r>
      <w:r w:rsidR="007E254F">
        <w:rPr>
          <w:rFonts w:hint="eastAsia"/>
        </w:rPr>
        <w:t>每桶盈虧</w:t>
      </w:r>
      <w:r w:rsidR="00D03BA1">
        <w:rPr>
          <w:rFonts w:hint="eastAsia"/>
        </w:rPr>
        <w:t>。此種計算方式</w:t>
      </w:r>
      <w:r w:rsidR="007E254F">
        <w:rPr>
          <w:rFonts w:hint="eastAsia"/>
        </w:rPr>
        <w:t>容與依財會準則34號公報規定計算避險有效性時，應依照第120段第1項規定在避險開始時依企業正式文件所載之避險數量計算</w:t>
      </w:r>
      <w:r w:rsidR="007E254F">
        <w:rPr>
          <w:rFonts w:hint="eastAsia"/>
        </w:rPr>
        <w:lastRenderedPageBreak/>
        <w:t>其避險效果相違，應予檢討</w:t>
      </w:r>
      <w:r w:rsidR="00A86822" w:rsidRPr="00A86822">
        <w:rPr>
          <w:rFonts w:hint="eastAsia"/>
        </w:rPr>
        <w:t>。</w:t>
      </w:r>
    </w:p>
    <w:p w:rsidR="00D75643" w:rsidRPr="000C15C0" w:rsidRDefault="00796E13" w:rsidP="000C15C0">
      <w:pPr>
        <w:pStyle w:val="2"/>
        <w:ind w:left="1134" w:hanging="686"/>
        <w:rPr>
          <w:noProof/>
        </w:rPr>
      </w:pPr>
      <w:r>
        <w:rPr>
          <w:rFonts w:hint="eastAsia"/>
        </w:rPr>
        <w:t>中油公司</w:t>
      </w:r>
      <w:r w:rsidR="00644650">
        <w:rPr>
          <w:rFonts w:hint="eastAsia"/>
        </w:rPr>
        <w:t>之</w:t>
      </w:r>
      <w:r w:rsidR="000C15C0" w:rsidRPr="00796E13">
        <w:rPr>
          <w:rFonts w:hint="eastAsia"/>
          <w:noProof/>
        </w:rPr>
        <w:t>目標價</w:t>
      </w:r>
      <w:r w:rsidR="008734FE">
        <w:rPr>
          <w:rFonts w:hint="eastAsia"/>
          <w:noProof/>
        </w:rPr>
        <w:t>檢討與</w:t>
      </w:r>
      <w:r w:rsidR="000C15C0" w:rsidRPr="00796E13">
        <w:rPr>
          <w:rFonts w:hint="eastAsia"/>
          <w:noProof/>
        </w:rPr>
        <w:t>修訂辦法，</w:t>
      </w:r>
      <w:r w:rsidR="00644650">
        <w:rPr>
          <w:rFonts w:hint="eastAsia"/>
          <w:noProof/>
        </w:rPr>
        <w:t>未能反映該公司管理階層對配合原油價格變動之風險應有之注意，應予</w:t>
      </w:r>
      <w:r w:rsidR="000C15C0" w:rsidRPr="005B7639">
        <w:rPr>
          <w:rFonts w:hint="eastAsia"/>
          <w:noProof/>
        </w:rPr>
        <w:t>檢討。</w:t>
      </w:r>
    </w:p>
    <w:p w:rsidR="0001794D" w:rsidRDefault="000C15C0" w:rsidP="0001794D">
      <w:pPr>
        <w:pStyle w:val="2"/>
        <w:numPr>
          <w:ilvl w:val="0"/>
          <w:numId w:val="0"/>
        </w:numPr>
        <w:ind w:left="1134" w:firstLineChars="226" w:firstLine="769"/>
        <w:rPr>
          <w:rFonts w:cs="標楷體"/>
          <w:szCs w:val="32"/>
        </w:rPr>
      </w:pPr>
      <w:r w:rsidRPr="005B7639">
        <w:rPr>
          <w:rFonts w:hint="eastAsia"/>
          <w:noProof/>
        </w:rPr>
        <w:t>查中油公司</w:t>
      </w:r>
      <w:r w:rsidR="00BA06CC">
        <w:rPr>
          <w:rFonts w:hint="eastAsia"/>
          <w:noProof/>
        </w:rPr>
        <w:t>貿易處</w:t>
      </w:r>
      <w:r w:rsidR="005B7639" w:rsidRPr="005B7639">
        <w:rPr>
          <w:rFonts w:hint="eastAsia"/>
          <w:noProof/>
        </w:rPr>
        <w:t>風險管理組於93年9月1日訂有目標價之檢討與修訂辦法，</w:t>
      </w:r>
      <w:r w:rsidR="00644650">
        <w:rPr>
          <w:rFonts w:hint="eastAsia"/>
          <w:noProof/>
        </w:rPr>
        <w:t>規定只有</w:t>
      </w:r>
      <w:r w:rsidR="00644650">
        <w:rPr>
          <w:rFonts w:cs="標楷體" w:hint="eastAsia"/>
          <w:szCs w:val="32"/>
        </w:rPr>
        <w:t>在實</w:t>
      </w:r>
      <w:r w:rsidR="00644650" w:rsidRPr="008800C6">
        <w:rPr>
          <w:rFonts w:cs="標楷體" w:hint="eastAsia"/>
          <w:szCs w:val="32"/>
        </w:rPr>
        <w:t>際</w:t>
      </w:r>
      <w:r w:rsidR="00644650">
        <w:rPr>
          <w:rFonts w:cs="標楷體" w:hint="eastAsia"/>
          <w:szCs w:val="32"/>
        </w:rPr>
        <w:t>結算價</w:t>
      </w:r>
      <w:r w:rsidR="00644650" w:rsidRPr="008800C6">
        <w:rPr>
          <w:rFonts w:cs="標楷體" w:hint="eastAsia"/>
          <w:szCs w:val="32"/>
        </w:rPr>
        <w:t>與目標價</w:t>
      </w:r>
      <w:r w:rsidR="00644650">
        <w:rPr>
          <w:rFonts w:cs="標楷體" w:hint="eastAsia"/>
          <w:szCs w:val="32"/>
        </w:rPr>
        <w:t>之</w:t>
      </w:r>
      <w:r w:rsidR="00644650" w:rsidRPr="008800C6">
        <w:rPr>
          <w:rFonts w:cs="標楷體" w:hint="eastAsia"/>
          <w:szCs w:val="32"/>
        </w:rPr>
        <w:t>差異</w:t>
      </w:r>
      <w:r w:rsidR="00644650">
        <w:rPr>
          <w:rFonts w:cs="標楷體" w:hint="eastAsia"/>
          <w:szCs w:val="32"/>
        </w:rPr>
        <w:t>，</w:t>
      </w:r>
      <w:r w:rsidR="00644650" w:rsidRPr="008800C6">
        <w:rPr>
          <w:rFonts w:cs="標楷體" w:hint="eastAsia"/>
          <w:szCs w:val="32"/>
        </w:rPr>
        <w:t>連續兩個月超過</w:t>
      </w:r>
      <w:r w:rsidR="00644650">
        <w:rPr>
          <w:rFonts w:cs="標楷體" w:hint="eastAsia"/>
          <w:szCs w:val="32"/>
        </w:rPr>
        <w:t>目標價之</w:t>
      </w:r>
      <w:r w:rsidR="00644650" w:rsidRPr="008800C6">
        <w:rPr>
          <w:rFonts w:cs="標楷體" w:hint="eastAsia"/>
          <w:szCs w:val="32"/>
        </w:rPr>
        <w:t>50%</w:t>
      </w:r>
      <w:r w:rsidR="00644650">
        <w:rPr>
          <w:rFonts w:cs="標楷體" w:hint="eastAsia"/>
          <w:szCs w:val="32"/>
        </w:rPr>
        <w:t>時</w:t>
      </w:r>
      <w:r w:rsidR="00644650" w:rsidRPr="008800C6">
        <w:rPr>
          <w:rFonts w:cs="標楷體" w:hint="eastAsia"/>
          <w:szCs w:val="32"/>
        </w:rPr>
        <w:t>，始</w:t>
      </w:r>
      <w:r w:rsidR="00644650">
        <w:rPr>
          <w:rFonts w:cs="標楷體" w:hint="eastAsia"/>
          <w:szCs w:val="32"/>
        </w:rPr>
        <w:t>須重</w:t>
      </w:r>
      <w:r w:rsidR="00644650" w:rsidRPr="008800C6">
        <w:rPr>
          <w:rFonts w:cs="標楷體" w:hint="eastAsia"/>
          <w:szCs w:val="32"/>
        </w:rPr>
        <w:t>訂目標價，</w:t>
      </w:r>
      <w:r w:rsidR="00644650">
        <w:rPr>
          <w:rFonts w:cs="標楷體" w:hint="eastAsia"/>
          <w:szCs w:val="32"/>
        </w:rPr>
        <w:t>以</w:t>
      </w:r>
      <w:r w:rsidR="005B7639" w:rsidRPr="005B7639">
        <w:rPr>
          <w:rFonts w:hint="eastAsia"/>
          <w:noProof/>
        </w:rPr>
        <w:t>免</w:t>
      </w:r>
      <w:r w:rsidRPr="005B7639">
        <w:rPr>
          <w:rFonts w:hint="eastAsia"/>
          <w:noProof/>
        </w:rPr>
        <w:t>目標價因油價波動大</w:t>
      </w:r>
      <w:r w:rsidR="00644650">
        <w:rPr>
          <w:rFonts w:hint="eastAsia"/>
          <w:noProof/>
        </w:rPr>
        <w:t>而</w:t>
      </w:r>
      <w:r w:rsidRPr="005B7639">
        <w:rPr>
          <w:rFonts w:hint="eastAsia"/>
          <w:noProof/>
        </w:rPr>
        <w:t>變動頻繁；</w:t>
      </w:r>
      <w:r w:rsidR="00644650" w:rsidRPr="00D53786">
        <w:rPr>
          <w:rFonts w:cs="標楷體" w:hint="eastAsia"/>
          <w:szCs w:val="32"/>
        </w:rPr>
        <w:t>該</w:t>
      </w:r>
      <w:r w:rsidR="005B7639" w:rsidRPr="00D53786">
        <w:rPr>
          <w:rFonts w:cs="標楷體" w:hint="eastAsia"/>
          <w:szCs w:val="32"/>
        </w:rPr>
        <w:t>公司將</w:t>
      </w:r>
      <w:r w:rsidRPr="00D53786">
        <w:rPr>
          <w:rFonts w:cs="標楷體" w:hint="eastAsia"/>
          <w:szCs w:val="32"/>
        </w:rPr>
        <w:t>避險</w:t>
      </w:r>
      <w:r w:rsidR="005B7639" w:rsidRPr="00D53786">
        <w:rPr>
          <w:rFonts w:cs="標楷體" w:hint="eastAsia"/>
          <w:szCs w:val="32"/>
        </w:rPr>
        <w:t>操作定位為</w:t>
      </w:r>
      <w:r w:rsidRPr="00D53786">
        <w:rPr>
          <w:rFonts w:cs="標楷體" w:hint="eastAsia"/>
          <w:szCs w:val="32"/>
        </w:rPr>
        <w:t>長期佈局，對於已進行避險的部位，事後調整目標值並不恰當</w:t>
      </w:r>
      <w:r w:rsidR="00796E13" w:rsidRPr="00D53786">
        <w:rPr>
          <w:rFonts w:cs="標楷體" w:hint="eastAsia"/>
          <w:szCs w:val="32"/>
        </w:rPr>
        <w:t>等考量</w:t>
      </w:r>
      <w:r w:rsidRPr="00D53786">
        <w:rPr>
          <w:rFonts w:cs="標楷體" w:hint="eastAsia"/>
          <w:szCs w:val="32"/>
        </w:rPr>
        <w:t>。</w:t>
      </w:r>
      <w:r w:rsidR="006B3AFC" w:rsidRPr="00D53786">
        <w:rPr>
          <w:rFonts w:cs="標楷體" w:hint="eastAsia"/>
          <w:szCs w:val="32"/>
        </w:rPr>
        <w:t>且</w:t>
      </w:r>
      <w:r w:rsidR="00C10EF1" w:rsidRPr="00D53786">
        <w:rPr>
          <w:rFonts w:cs="標楷體" w:hint="eastAsia"/>
          <w:szCs w:val="32"/>
        </w:rPr>
        <w:t>前揭辦法之目標價係</w:t>
      </w:r>
      <w:r w:rsidR="008800C6" w:rsidRPr="00D53786">
        <w:rPr>
          <w:rFonts w:cs="標楷體" w:hint="eastAsia"/>
          <w:szCs w:val="32"/>
        </w:rPr>
        <w:t>參採</w:t>
      </w:r>
      <w:r w:rsidR="00C10EF1" w:rsidRPr="00D53786">
        <w:rPr>
          <w:rFonts w:cs="標楷體" w:hint="eastAsia"/>
          <w:szCs w:val="32"/>
        </w:rPr>
        <w:t>歷史油價均值</w:t>
      </w:r>
      <w:r w:rsidR="008800C6" w:rsidRPr="00D53786">
        <w:rPr>
          <w:rFonts w:cs="標楷體" w:hint="eastAsia"/>
          <w:szCs w:val="32"/>
        </w:rPr>
        <w:t>為基礎</w:t>
      </w:r>
      <w:r w:rsidR="00644650" w:rsidRPr="00D53786">
        <w:rPr>
          <w:rFonts w:cs="標楷體" w:hint="eastAsia"/>
          <w:szCs w:val="32"/>
        </w:rPr>
        <w:t>。</w:t>
      </w:r>
      <w:r w:rsidR="00644650" w:rsidRPr="00644650">
        <w:rPr>
          <w:rFonts w:cs="標楷體" w:hint="eastAsia"/>
          <w:szCs w:val="32"/>
        </w:rPr>
        <w:t>然</w:t>
      </w:r>
      <w:r w:rsidR="00FF7155">
        <w:rPr>
          <w:rFonts w:cs="標楷體" w:hint="eastAsia"/>
          <w:szCs w:val="32"/>
        </w:rPr>
        <w:t>原油為該公司</w:t>
      </w:r>
      <w:r w:rsidR="00644650">
        <w:rPr>
          <w:rFonts w:cs="標楷體" w:hint="eastAsia"/>
          <w:szCs w:val="32"/>
        </w:rPr>
        <w:t>主要</w:t>
      </w:r>
      <w:r w:rsidR="00FF7155">
        <w:rPr>
          <w:rFonts w:cs="標楷體" w:hint="eastAsia"/>
          <w:szCs w:val="32"/>
        </w:rPr>
        <w:t>生產</w:t>
      </w:r>
      <w:r w:rsidR="00644650">
        <w:rPr>
          <w:rFonts w:cs="標楷體" w:hint="eastAsia"/>
          <w:szCs w:val="32"/>
        </w:rPr>
        <w:t>原料，</w:t>
      </w:r>
      <w:r w:rsidR="004A4F37">
        <w:rPr>
          <w:rFonts w:cs="標楷體" w:hint="eastAsia"/>
          <w:szCs w:val="32"/>
        </w:rPr>
        <w:t>約</w:t>
      </w:r>
      <w:r w:rsidR="00644650">
        <w:rPr>
          <w:rFonts w:cs="標楷體" w:hint="eastAsia"/>
          <w:szCs w:val="32"/>
        </w:rPr>
        <w:t>占其經營成本</w:t>
      </w:r>
      <w:r w:rsidR="00FF7155">
        <w:rPr>
          <w:rFonts w:cs="標楷體" w:hint="eastAsia"/>
          <w:szCs w:val="32"/>
        </w:rPr>
        <w:t>之</w:t>
      </w:r>
      <w:r w:rsidR="004A4F37">
        <w:rPr>
          <w:rFonts w:cs="標楷體" w:hint="eastAsia"/>
          <w:szCs w:val="32"/>
        </w:rPr>
        <w:t>70</w:t>
      </w:r>
      <w:r w:rsidR="00644650" w:rsidRPr="00FF7155">
        <w:rPr>
          <w:rFonts w:cs="標楷體" w:hint="eastAsia"/>
          <w:szCs w:val="32"/>
        </w:rPr>
        <w:t>%</w:t>
      </w:r>
      <w:r w:rsidR="00644650">
        <w:rPr>
          <w:rFonts w:cs="標楷體" w:hint="eastAsia"/>
          <w:szCs w:val="32"/>
        </w:rPr>
        <w:t>，本應由適當階層之經理人及時對價格變動作出適當回應，</w:t>
      </w:r>
      <w:r w:rsidR="00644650" w:rsidRPr="00D53786">
        <w:rPr>
          <w:rFonts w:cs="標楷體" w:hint="eastAsia"/>
          <w:szCs w:val="32"/>
        </w:rPr>
        <w:t>惟查自</w:t>
      </w:r>
      <w:r w:rsidR="00644650">
        <w:rPr>
          <w:rFonts w:cs="標楷體"/>
          <w:szCs w:val="32"/>
        </w:rPr>
        <w:t>97</w:t>
      </w:r>
      <w:r w:rsidR="00644650">
        <w:rPr>
          <w:rFonts w:cs="標楷體" w:hint="eastAsia"/>
          <w:szCs w:val="32"/>
        </w:rPr>
        <w:t>年起國際原油價格異常飆漲，</w:t>
      </w:r>
      <w:r w:rsidR="00C10EF1">
        <w:rPr>
          <w:rFonts w:cs="標楷體" w:hint="eastAsia"/>
          <w:szCs w:val="32"/>
        </w:rPr>
        <w:t>油價於短期間內鉅</w:t>
      </w:r>
      <w:r w:rsidR="008800C6">
        <w:rPr>
          <w:rFonts w:cs="標楷體" w:hint="eastAsia"/>
          <w:szCs w:val="32"/>
        </w:rPr>
        <w:t>幅波動</w:t>
      </w:r>
      <w:r w:rsidR="00644650">
        <w:rPr>
          <w:rFonts w:cs="標楷體" w:hint="eastAsia"/>
          <w:szCs w:val="32"/>
        </w:rPr>
        <w:t>，</w:t>
      </w:r>
      <w:r w:rsidR="00644650" w:rsidRPr="00D53786">
        <w:rPr>
          <w:rFonts w:cs="標楷體" w:hint="eastAsia"/>
          <w:szCs w:val="32"/>
        </w:rPr>
        <w:t>新加坡航空燃油（</w:t>
      </w:r>
      <w:r w:rsidR="00644650" w:rsidRPr="00D53786">
        <w:rPr>
          <w:rFonts w:cs="標楷體"/>
          <w:szCs w:val="32"/>
        </w:rPr>
        <w:t>Kero</w:t>
      </w:r>
      <w:r w:rsidR="00644650" w:rsidRPr="00D53786">
        <w:rPr>
          <w:rFonts w:cs="標楷體" w:hint="eastAsia"/>
          <w:szCs w:val="32"/>
        </w:rPr>
        <w:t>）與</w:t>
      </w:r>
      <w:r w:rsidR="00644650" w:rsidRPr="00D53786">
        <w:rPr>
          <w:rFonts w:cs="標楷體"/>
          <w:szCs w:val="32"/>
        </w:rPr>
        <w:t>Dubai</w:t>
      </w:r>
      <w:r w:rsidR="00644650" w:rsidRPr="00D53786">
        <w:rPr>
          <w:rFonts w:cs="標楷體" w:hint="eastAsia"/>
          <w:szCs w:val="32"/>
        </w:rPr>
        <w:t>原油價差均價由1月份之每桶18.81美元，至3月份已漲至28.61美元，漲幅達52.10％；2月份均價為每桶21.08美元，至4月份已漲至35.17美元，漲幅更達66.84％。</w:t>
      </w:r>
      <w:r w:rsidR="00644650" w:rsidRPr="00644650">
        <w:rPr>
          <w:rFonts w:cs="標楷體" w:hint="eastAsia"/>
          <w:szCs w:val="32"/>
        </w:rPr>
        <w:t>該辦法之適當性應予檢討。</w:t>
      </w:r>
    </w:p>
    <w:p w:rsidR="00DF0E1D" w:rsidRDefault="001C30D3" w:rsidP="0001794D">
      <w:pPr>
        <w:pStyle w:val="2"/>
        <w:ind w:left="1134" w:hanging="686"/>
        <w:rPr>
          <w:noProof/>
        </w:rPr>
      </w:pPr>
      <w:r>
        <w:rPr>
          <w:rFonts w:hint="eastAsia"/>
        </w:rPr>
        <w:t>中油公司</w:t>
      </w:r>
      <w:r w:rsidR="0001794D">
        <w:rPr>
          <w:rFonts w:hint="eastAsia"/>
        </w:rPr>
        <w:t>係</w:t>
      </w:r>
      <w:r w:rsidR="00DF0E1D">
        <w:rPr>
          <w:rFonts w:hint="eastAsia"/>
        </w:rPr>
        <w:t>於OTC市場針對</w:t>
      </w:r>
      <w:r w:rsidR="00DF0E1D">
        <w:rPr>
          <w:rFonts w:hint="eastAsia"/>
          <w:noProof/>
        </w:rPr>
        <w:t>利潤</w:t>
      </w:r>
      <w:r w:rsidR="00DF0E1D">
        <w:rPr>
          <w:rFonts w:hint="eastAsia"/>
        </w:rPr>
        <w:t>進行</w:t>
      </w:r>
      <w:r w:rsidR="00DF0E1D">
        <w:rPr>
          <w:rFonts w:hint="eastAsia"/>
          <w:noProof/>
        </w:rPr>
        <w:t>SWAP之</w:t>
      </w:r>
      <w:r w:rsidR="00DF0E1D">
        <w:rPr>
          <w:rFonts w:hint="eastAsia"/>
        </w:rPr>
        <w:t>衍生性商品交易</w:t>
      </w:r>
      <w:r w:rsidR="00DF0E1D">
        <w:rPr>
          <w:rFonts w:hint="eastAsia"/>
          <w:noProof/>
        </w:rPr>
        <w:t>，而非於</w:t>
      </w:r>
      <w:r w:rsidR="00DF0E1D">
        <w:rPr>
          <w:rFonts w:hint="eastAsia"/>
        </w:rPr>
        <w:t>期貨交易所針對油品進行期貨之衍生性商品交易，</w:t>
      </w:r>
      <w:r w:rsidR="0001794D">
        <w:rPr>
          <w:rFonts w:hint="eastAsia"/>
        </w:rPr>
        <w:t>該公司表示</w:t>
      </w:r>
      <w:r w:rsidR="00DF0E1D">
        <w:rPr>
          <w:rFonts w:hint="eastAsia"/>
        </w:rPr>
        <w:t>係因前者</w:t>
      </w:r>
      <w:r w:rsidR="00DF0E1D">
        <w:rPr>
          <w:rFonts w:hint="eastAsia"/>
          <w:noProof/>
        </w:rPr>
        <w:t>較易規避基差風險</w:t>
      </w:r>
      <w:r w:rsidR="00DF0E1D">
        <w:rPr>
          <w:rFonts w:hint="eastAsia"/>
        </w:rPr>
        <w:t>之故</w:t>
      </w:r>
      <w:r w:rsidR="0001794D">
        <w:rPr>
          <w:rFonts w:hint="eastAsia"/>
        </w:rPr>
        <w:t>。</w:t>
      </w:r>
      <w:r w:rsidR="00DF0E1D">
        <w:rPr>
          <w:rFonts w:hint="eastAsia"/>
        </w:rPr>
        <w:t>惟</w:t>
      </w:r>
      <w:r w:rsidR="0001794D">
        <w:rPr>
          <w:rFonts w:hint="eastAsia"/>
        </w:rPr>
        <w:t>該</w:t>
      </w:r>
      <w:r w:rsidR="00DF0E1D">
        <w:rPr>
          <w:rFonts w:hint="eastAsia"/>
        </w:rPr>
        <w:t>動機</w:t>
      </w:r>
      <w:r w:rsidR="00DF0E1D">
        <w:rPr>
          <w:rFonts w:hint="eastAsia"/>
          <w:noProof/>
        </w:rPr>
        <w:t>有再予探究之必要。</w:t>
      </w:r>
    </w:p>
    <w:p w:rsidR="001C30D3" w:rsidRPr="009A5314" w:rsidRDefault="001C30D3" w:rsidP="00DF0E1D">
      <w:pPr>
        <w:pStyle w:val="2"/>
        <w:numPr>
          <w:ilvl w:val="0"/>
          <w:numId w:val="0"/>
        </w:numPr>
        <w:ind w:left="1134" w:firstLineChars="226" w:firstLine="769"/>
        <w:rPr>
          <w:noProof/>
        </w:rPr>
      </w:pPr>
      <w:r>
        <w:rPr>
          <w:rFonts w:hint="eastAsia"/>
          <w:noProof/>
        </w:rPr>
        <w:t>中油公司稱，</w:t>
      </w:r>
      <w:r w:rsidR="007C697A">
        <w:rPr>
          <w:rFonts w:hint="eastAsia"/>
          <w:noProof/>
        </w:rPr>
        <w:t>「</w:t>
      </w:r>
      <w:r w:rsidRPr="009A5314">
        <w:rPr>
          <w:rFonts w:hint="eastAsia"/>
          <w:noProof/>
        </w:rPr>
        <w:t>OTC</w:t>
      </w:r>
      <w:r w:rsidR="009A5314">
        <w:rPr>
          <w:rFonts w:hint="eastAsia"/>
          <w:noProof/>
        </w:rPr>
        <w:t>市場進行避險時，極</w:t>
      </w:r>
      <w:r w:rsidRPr="009A5314">
        <w:rPr>
          <w:rFonts w:hint="eastAsia"/>
          <w:noProof/>
        </w:rPr>
        <w:t>易</w:t>
      </w:r>
      <w:r w:rsidR="009A5314">
        <w:rPr>
          <w:rFonts w:hint="eastAsia"/>
          <w:noProof/>
        </w:rPr>
        <w:t>覓得</w:t>
      </w:r>
      <w:r w:rsidRPr="009A5314">
        <w:rPr>
          <w:rFonts w:hint="eastAsia"/>
          <w:noProof/>
        </w:rPr>
        <w:t>與被避險商品相同或相似之</w:t>
      </w:r>
      <w:r w:rsidR="009A5314">
        <w:rPr>
          <w:rFonts w:hint="eastAsia"/>
          <w:noProof/>
        </w:rPr>
        <w:t>衍生性商品，其間之相關性較高，</w:t>
      </w:r>
      <w:r w:rsidR="0001794D">
        <w:rPr>
          <w:rFonts w:hint="eastAsia"/>
          <w:noProof/>
        </w:rPr>
        <w:t>『較易規避基差風險』</w:t>
      </w:r>
      <w:r w:rsidR="0001794D">
        <w:rPr>
          <w:noProof/>
        </w:rPr>
        <w:t>…</w:t>
      </w:r>
      <w:r w:rsidR="009A5314">
        <w:rPr>
          <w:rFonts w:hint="eastAsia"/>
          <w:noProof/>
        </w:rPr>
        <w:t>，且如上述目前該</w:t>
      </w:r>
      <w:r w:rsidRPr="009A5314">
        <w:rPr>
          <w:rFonts w:hint="eastAsia"/>
          <w:noProof/>
        </w:rPr>
        <w:t>公司進行交易的衍生性商品大部份都與現貨商品相同，因此幾乎不存在基差風險</w:t>
      </w:r>
      <w:r w:rsidR="009A5314">
        <w:rPr>
          <w:rFonts w:hint="eastAsia"/>
          <w:noProof/>
        </w:rPr>
        <w:t>等</w:t>
      </w:r>
      <w:r w:rsidR="007C697A">
        <w:rPr>
          <w:rFonts w:hint="eastAsia"/>
          <w:noProof/>
        </w:rPr>
        <w:t>」</w:t>
      </w:r>
      <w:r w:rsidRPr="007C697A">
        <w:rPr>
          <w:rFonts w:hint="eastAsia"/>
          <w:noProof/>
        </w:rPr>
        <w:t>。</w:t>
      </w:r>
      <w:r w:rsidR="009A5314" w:rsidRPr="007C697A">
        <w:rPr>
          <w:rFonts w:hint="eastAsia"/>
          <w:noProof/>
        </w:rPr>
        <w:t>惟</w:t>
      </w:r>
      <w:r w:rsidR="007C697A" w:rsidRPr="007C697A">
        <w:rPr>
          <w:rFonts w:hint="eastAsia"/>
          <w:noProof/>
        </w:rPr>
        <w:t>基差風險係</w:t>
      </w:r>
      <w:r w:rsidR="007C697A" w:rsidRPr="007C697A">
        <w:rPr>
          <w:rFonts w:hint="eastAsia"/>
        </w:rPr>
        <w:t>期貨價格與現貨價格之差異，不論在採競價成交之集中市場或與之對作</w:t>
      </w:r>
      <w:r w:rsidR="007C697A">
        <w:rPr>
          <w:rFonts w:hint="eastAsia"/>
        </w:rPr>
        <w:t>之OTC市場，</w:t>
      </w:r>
      <w:r w:rsidR="0001794D" w:rsidRPr="007C697A">
        <w:rPr>
          <w:rFonts w:hint="eastAsia"/>
        </w:rPr>
        <w:t>不論</w:t>
      </w:r>
      <w:r w:rsidR="00DF0E1D">
        <w:rPr>
          <w:rFonts w:hint="eastAsia"/>
        </w:rPr>
        <w:t>在油品及煉製利潤</w:t>
      </w:r>
      <w:r w:rsidR="0001794D">
        <w:rPr>
          <w:rFonts w:hint="eastAsia"/>
        </w:rPr>
        <w:lastRenderedPageBreak/>
        <w:t>，</w:t>
      </w:r>
      <w:r w:rsidR="007C697A">
        <w:rPr>
          <w:rFonts w:hint="eastAsia"/>
        </w:rPr>
        <w:t>均存在，</w:t>
      </w:r>
      <w:r w:rsidR="00DF0E1D">
        <w:rPr>
          <w:rFonts w:hint="eastAsia"/>
        </w:rPr>
        <w:t>故OTC市場</w:t>
      </w:r>
      <w:r w:rsidR="007C697A">
        <w:rPr>
          <w:rFonts w:hint="eastAsia"/>
        </w:rPr>
        <w:t>「</w:t>
      </w:r>
      <w:r w:rsidR="007C697A">
        <w:rPr>
          <w:rFonts w:hint="eastAsia"/>
          <w:noProof/>
        </w:rPr>
        <w:t>較易規避基差風險</w:t>
      </w:r>
      <w:r w:rsidR="00DF0E1D">
        <w:rPr>
          <w:rFonts w:hint="eastAsia"/>
        </w:rPr>
        <w:t>」之說</w:t>
      </w:r>
      <w:r w:rsidR="007C697A">
        <w:rPr>
          <w:rFonts w:hint="eastAsia"/>
        </w:rPr>
        <w:t>有待釐清</w:t>
      </w:r>
      <w:r w:rsidR="0001794D">
        <w:rPr>
          <w:rFonts w:hint="eastAsia"/>
        </w:rPr>
        <w:t>，且在OTC市場交易，與一人對作，缺少交易所所能提供之控制機制，中油公司所冒道德風險較高，其相對應之控制機制如何配合，亦有待進一步釐清</w:t>
      </w:r>
      <w:r w:rsidR="007C697A">
        <w:rPr>
          <w:rFonts w:hint="eastAsia"/>
        </w:rPr>
        <w:t>。</w:t>
      </w:r>
    </w:p>
    <w:p w:rsidR="00FE1611" w:rsidRDefault="00FE1611" w:rsidP="00FE1611">
      <w:pPr>
        <w:pStyle w:val="2"/>
        <w:ind w:left="1134" w:hanging="686"/>
      </w:pPr>
      <w:bookmarkStart w:id="56" w:name="_Toc2400394"/>
      <w:bookmarkStart w:id="57" w:name="_Toc4316188"/>
      <w:bookmarkStart w:id="58" w:name="_Toc4473329"/>
      <w:bookmarkStart w:id="59" w:name="_Toc69556896"/>
      <w:bookmarkStart w:id="60" w:name="_Toc69556945"/>
      <w:bookmarkStart w:id="61" w:name="_Toc69609819"/>
      <w:r>
        <w:rPr>
          <w:rFonts w:hint="eastAsia"/>
        </w:rPr>
        <w:t>中油公司</w:t>
      </w:r>
      <w:r>
        <w:rPr>
          <w:rFonts w:hint="eastAsia"/>
          <w:noProof/>
        </w:rPr>
        <w:t>從事外銷油品煉製利潤</w:t>
      </w:r>
      <w:r w:rsidRPr="0035780C">
        <w:rPr>
          <w:rFonts w:hint="eastAsia"/>
          <w:noProof/>
        </w:rPr>
        <w:t>SWAP</w:t>
      </w:r>
      <w:r w:rsidR="00FF7155">
        <w:rPr>
          <w:rFonts w:hint="eastAsia"/>
          <w:noProof/>
        </w:rPr>
        <w:t>交易</w:t>
      </w:r>
      <w:r w:rsidRPr="00FF7155">
        <w:rPr>
          <w:rFonts w:hint="eastAsia"/>
          <w:noProof/>
        </w:rPr>
        <w:t>已</w:t>
      </w:r>
      <w:r w:rsidR="00FF7155" w:rsidRPr="00FF7155">
        <w:rPr>
          <w:rFonts w:hint="eastAsia"/>
          <w:noProof/>
        </w:rPr>
        <w:t>11</w:t>
      </w:r>
      <w:r w:rsidRPr="00FF7155">
        <w:rPr>
          <w:rFonts w:hint="eastAsia"/>
          <w:noProof/>
        </w:rPr>
        <w:t>年</w:t>
      </w:r>
      <w:r>
        <w:rPr>
          <w:rFonts w:hint="eastAsia"/>
          <w:noProof/>
        </w:rPr>
        <w:t>，相關</w:t>
      </w:r>
      <w:r>
        <w:rPr>
          <w:rFonts w:hint="eastAsia"/>
        </w:rPr>
        <w:t>會計處理程序竟尚未配合修正，應予以檢討修正，以符實際操作需要。</w:t>
      </w:r>
    </w:p>
    <w:p w:rsidR="00FE1611" w:rsidRDefault="00FE1611" w:rsidP="00FE1611">
      <w:pPr>
        <w:pStyle w:val="3"/>
        <w:ind w:left="1848" w:hanging="784"/>
      </w:pPr>
      <w:r>
        <w:rPr>
          <w:rFonts w:hint="eastAsia"/>
        </w:rPr>
        <w:t>查有關中油公司</w:t>
      </w:r>
      <w:r>
        <w:rPr>
          <w:rFonts w:hint="eastAsia"/>
          <w:noProof/>
        </w:rPr>
        <w:t>從事</w:t>
      </w:r>
      <w:r w:rsidRPr="0035780C">
        <w:rPr>
          <w:rFonts w:hint="eastAsia"/>
          <w:noProof/>
        </w:rPr>
        <w:t>外銷油品煉製利潤SWAP</w:t>
      </w:r>
      <w:r>
        <w:rPr>
          <w:rFonts w:hint="eastAsia"/>
          <w:noProof/>
        </w:rPr>
        <w:t>交易之會計處理程序，係依該公司金融商品會計作業程序辦理，合先敘明。</w:t>
      </w:r>
    </w:p>
    <w:p w:rsidR="00FE1611" w:rsidRDefault="00FE1611" w:rsidP="00FE1611">
      <w:pPr>
        <w:pStyle w:val="3"/>
        <w:ind w:left="1848" w:hanging="784"/>
      </w:pPr>
      <w:r>
        <w:rPr>
          <w:rFonts w:hint="eastAsia"/>
          <w:noProof/>
        </w:rPr>
        <w:t>次查前揭金融商品會計作業程序，係該公司為從事油品期貨及遠期外匯衍生性商品交易而訂，並未配合從事</w:t>
      </w:r>
      <w:r w:rsidRPr="0035780C">
        <w:rPr>
          <w:rFonts w:hint="eastAsia"/>
          <w:noProof/>
        </w:rPr>
        <w:t>外銷油品煉製利潤SWAP</w:t>
      </w:r>
      <w:r>
        <w:rPr>
          <w:rFonts w:hint="eastAsia"/>
          <w:noProof/>
        </w:rPr>
        <w:t>交易訂定處理專章，而沿用油品期貨避險之會計處理程序規定辦理。惟查中油公司從事</w:t>
      </w:r>
      <w:r w:rsidRPr="0035780C">
        <w:rPr>
          <w:rFonts w:hint="eastAsia"/>
          <w:noProof/>
        </w:rPr>
        <w:t>外銷油品煉製利潤之SWAP</w:t>
      </w:r>
      <w:r>
        <w:rPr>
          <w:rFonts w:hint="eastAsia"/>
          <w:noProof/>
        </w:rPr>
        <w:t>交易之作業方式、對象與油品期貨衍生性商品交易並非相同，在會計處理程序中之單據名稱、處理程序說明自屬相異，逕予沿用，容非允當。如原油期貨避險之會計處理程序規定，在下單次日，業務單位應檢附交易員之「下單交易憑證」、「經紀商交易記錄」及「當日市價」各乙份，送會計部門審核。惟中油公司從事外銷油品煉製利潤</w:t>
      </w:r>
      <w:r w:rsidRPr="0035780C">
        <w:rPr>
          <w:rFonts w:hint="eastAsia"/>
          <w:noProof/>
        </w:rPr>
        <w:t>SWAP</w:t>
      </w:r>
      <w:r>
        <w:rPr>
          <w:rFonts w:hint="eastAsia"/>
          <w:noProof/>
        </w:rPr>
        <w:t>交易係於OTC油品市場，與交易對手透過協商進行一對一的交易，自無上開「經紀商交易記錄」存在交易過程中。又如，在會計年度終了日，油品期貨交易需製作「期貨操作損益年底評價分錄」等，惟從事</w:t>
      </w:r>
      <w:r w:rsidRPr="0035780C">
        <w:rPr>
          <w:rFonts w:hint="eastAsia"/>
          <w:noProof/>
        </w:rPr>
        <w:t>外銷油品煉製利潤SWAP</w:t>
      </w:r>
      <w:r>
        <w:rPr>
          <w:rFonts w:hint="eastAsia"/>
          <w:noProof/>
        </w:rPr>
        <w:t>交易在會計年度終了日，係就未平倉部位以公平市價評價決定損益，至次月即作迴轉分錄</w:t>
      </w:r>
      <w:r>
        <w:rPr>
          <w:rFonts w:hint="eastAsia"/>
          <w:noProof/>
        </w:rPr>
        <w:lastRenderedPageBreak/>
        <w:t>沖銷，自非所謂操作損益。再如，在授權額度控制之會辦部分稱：「業務單位提供每一交易員授權額度及最新異動資料乙份送會計部門備查」，惟查有關</w:t>
      </w:r>
      <w:r>
        <w:rPr>
          <w:rFonts w:hint="eastAsia"/>
        </w:rPr>
        <w:t>中油公司</w:t>
      </w:r>
      <w:r>
        <w:rPr>
          <w:rFonts w:hint="eastAsia"/>
          <w:noProof/>
        </w:rPr>
        <w:t>從事外銷油品煉製利潤</w:t>
      </w:r>
      <w:r w:rsidRPr="0035780C">
        <w:rPr>
          <w:rFonts w:hint="eastAsia"/>
          <w:noProof/>
        </w:rPr>
        <w:t>SWAP</w:t>
      </w:r>
      <w:r>
        <w:rPr>
          <w:rFonts w:hint="eastAsia"/>
          <w:noProof/>
        </w:rPr>
        <w:t>交易之授權額度，係規定於油品衍生性商品交易作業細則第4點，</w:t>
      </w:r>
      <w:r w:rsidRPr="007D02EA">
        <w:rPr>
          <w:rFonts w:hAnsi="標楷體" w:hint="eastAsia"/>
        </w:rPr>
        <w:t>中油公司風險管理組組長不需特別申請，即有避險標的未平倉部位最大可避險操作數量50%以下之交易權限，倘需增加未平倉部位至最大可避險操作數量50%以上，則依該點規定逐層核定</w:t>
      </w:r>
      <w:r>
        <w:rPr>
          <w:rFonts w:hAnsi="標楷體" w:hint="eastAsia"/>
        </w:rPr>
        <w:t>後始得為之</w:t>
      </w:r>
      <w:r w:rsidRPr="007D02EA">
        <w:rPr>
          <w:rFonts w:hAnsi="標楷體" w:hint="eastAsia"/>
        </w:rPr>
        <w:t>，並無</w:t>
      </w:r>
      <w:r w:rsidRPr="007D02EA">
        <w:rPr>
          <w:rFonts w:hint="eastAsia"/>
          <w:noProof/>
        </w:rPr>
        <w:t>每一</w:t>
      </w:r>
      <w:r>
        <w:rPr>
          <w:rFonts w:hint="eastAsia"/>
          <w:noProof/>
        </w:rPr>
        <w:t xml:space="preserve">交易員授權額度規定等。 </w:t>
      </w:r>
    </w:p>
    <w:p w:rsidR="00FE1611" w:rsidRDefault="00FE1611" w:rsidP="00FE1611">
      <w:pPr>
        <w:pStyle w:val="2"/>
        <w:numPr>
          <w:ilvl w:val="0"/>
          <w:numId w:val="0"/>
        </w:numPr>
        <w:ind w:left="1134"/>
      </w:pPr>
      <w:r>
        <w:rPr>
          <w:rFonts w:hint="eastAsia"/>
          <w:noProof/>
        </w:rPr>
        <w:t>綜上，</w:t>
      </w:r>
      <w:r>
        <w:rPr>
          <w:rFonts w:hint="eastAsia"/>
        </w:rPr>
        <w:t>中油公司之業務，係</w:t>
      </w:r>
      <w:r>
        <w:rPr>
          <w:rFonts w:hint="eastAsia"/>
          <w:noProof/>
        </w:rPr>
        <w:t>從事外銷油品煉製利潤</w:t>
      </w:r>
      <w:r w:rsidRPr="0035780C">
        <w:rPr>
          <w:rFonts w:hint="eastAsia"/>
          <w:noProof/>
        </w:rPr>
        <w:t>SWAP</w:t>
      </w:r>
      <w:r>
        <w:rPr>
          <w:rFonts w:hint="eastAsia"/>
          <w:noProof/>
        </w:rPr>
        <w:t>交易，惟</w:t>
      </w:r>
      <w:r w:rsidR="00251658">
        <w:rPr>
          <w:rFonts w:hint="eastAsia"/>
          <w:noProof/>
        </w:rPr>
        <w:t>迄今（99年）</w:t>
      </w:r>
      <w:r>
        <w:rPr>
          <w:rFonts w:hint="eastAsia"/>
          <w:noProof/>
        </w:rPr>
        <w:t>相關</w:t>
      </w:r>
      <w:r>
        <w:rPr>
          <w:rFonts w:hint="eastAsia"/>
        </w:rPr>
        <w:t>會計處理程序卻沿用</w:t>
      </w:r>
      <w:r w:rsidR="00A46ED2">
        <w:rPr>
          <w:rFonts w:hint="eastAsia"/>
        </w:rPr>
        <w:t>於</w:t>
      </w:r>
      <w:r w:rsidR="00C27972" w:rsidRPr="00251658">
        <w:rPr>
          <w:rFonts w:hint="eastAsia"/>
        </w:rPr>
        <w:t>97</w:t>
      </w:r>
      <w:r w:rsidRPr="00251658">
        <w:rPr>
          <w:rFonts w:hint="eastAsia"/>
        </w:rPr>
        <w:t>年</w:t>
      </w:r>
      <w:r w:rsidR="00C27972" w:rsidRPr="00251658">
        <w:rPr>
          <w:rFonts w:hint="eastAsia"/>
        </w:rPr>
        <w:t>2月間修訂</w:t>
      </w:r>
      <w:r w:rsidR="00FF7155" w:rsidRPr="00251658">
        <w:rPr>
          <w:rFonts w:hint="eastAsia"/>
        </w:rPr>
        <w:t>之</w:t>
      </w:r>
      <w:r w:rsidR="008C7302" w:rsidRPr="008C7302">
        <w:rPr>
          <w:rFonts w:hint="eastAsia"/>
        </w:rPr>
        <w:t>配合</w:t>
      </w:r>
      <w:r>
        <w:rPr>
          <w:rFonts w:hint="eastAsia"/>
          <w:noProof/>
        </w:rPr>
        <w:t>原油品期貨之程序規定，</w:t>
      </w:r>
      <w:r w:rsidR="008C7302">
        <w:rPr>
          <w:rFonts w:hint="eastAsia"/>
          <w:noProof/>
        </w:rPr>
        <w:t>忽略會計資訊協助管理之功能，</w:t>
      </w:r>
      <w:r>
        <w:rPr>
          <w:rFonts w:hint="eastAsia"/>
        </w:rPr>
        <w:t>應予</w:t>
      </w:r>
      <w:r w:rsidR="008C7302">
        <w:rPr>
          <w:rFonts w:hint="eastAsia"/>
        </w:rPr>
        <w:t>儘速全面</w:t>
      </w:r>
      <w:r>
        <w:rPr>
          <w:rFonts w:hint="eastAsia"/>
        </w:rPr>
        <w:t>檢討修正，以</w:t>
      </w:r>
      <w:r w:rsidR="008C7302">
        <w:rPr>
          <w:rFonts w:hint="eastAsia"/>
        </w:rPr>
        <w:t>協助管理之</w:t>
      </w:r>
      <w:r>
        <w:rPr>
          <w:rFonts w:hint="eastAsia"/>
        </w:rPr>
        <w:t>需。</w:t>
      </w:r>
    </w:p>
    <w:p w:rsidR="006F520C" w:rsidRDefault="006F520C" w:rsidP="006F520C">
      <w:pPr>
        <w:pStyle w:val="2"/>
        <w:ind w:left="1134" w:hanging="686"/>
        <w:rPr>
          <w:noProof/>
        </w:rPr>
      </w:pPr>
      <w:r>
        <w:rPr>
          <w:rFonts w:hint="eastAsia"/>
          <w:noProof/>
        </w:rPr>
        <w:t>現行國內從事</w:t>
      </w:r>
      <w:r w:rsidRPr="0035780C">
        <w:rPr>
          <w:rFonts w:hint="eastAsia"/>
          <w:noProof/>
        </w:rPr>
        <w:t>外銷油品煉製利潤SWAP交易</w:t>
      </w:r>
      <w:r>
        <w:rPr>
          <w:rFonts w:hint="eastAsia"/>
          <w:noProof/>
        </w:rPr>
        <w:t>之業者計有二家，雖均稱操作目的係為規避煉製利潤波動所生之風險，惟會計處理方法相異，有再予檢討之必要。</w:t>
      </w:r>
    </w:p>
    <w:bookmarkEnd w:id="56"/>
    <w:bookmarkEnd w:id="57"/>
    <w:bookmarkEnd w:id="58"/>
    <w:bookmarkEnd w:id="59"/>
    <w:bookmarkEnd w:id="60"/>
    <w:bookmarkEnd w:id="61"/>
    <w:p w:rsidR="006F520C" w:rsidRDefault="006F520C" w:rsidP="006F520C">
      <w:pPr>
        <w:pStyle w:val="3"/>
      </w:pPr>
      <w:r w:rsidRPr="00C10172">
        <w:rPr>
          <w:rFonts w:hint="eastAsia"/>
        </w:rPr>
        <w:t>依</w:t>
      </w:r>
      <w:r>
        <w:rPr>
          <w:rFonts w:hint="eastAsia"/>
        </w:rPr>
        <w:t>財務會計準財公報第34號中適用避險會計之條件，係規定於第120段，有：1.</w:t>
      </w:r>
      <w:r w:rsidRPr="00C10172">
        <w:rPr>
          <w:rFonts w:hint="eastAsia"/>
        </w:rPr>
        <w:t>於指定避險開始時，有關避險關係、企業之風險管理目標及避險策略，應有正式書面文件。該書面文件至少應載明避險工具、相關被避險項目或交易及被規避風險本質之辨認，與如何評估避險工具抵銷欲規避風險造成被避險項目之公平價值或現金流量變動之有效性。2.避險預期能達第</w:t>
      </w:r>
      <w:r w:rsidRPr="00C10172">
        <w:t>78</w:t>
      </w:r>
      <w:r w:rsidRPr="00C10172">
        <w:rPr>
          <w:rFonts w:hint="eastAsia"/>
        </w:rPr>
        <w:t>段所稱高度有效抵銷被規避風險所造成之公平價值或現金流量變動，且此一特定避險關係與原書面文件所載之風險管理策略一</w:t>
      </w:r>
      <w:r w:rsidRPr="00C10172">
        <w:rPr>
          <w:rFonts w:hint="eastAsia"/>
        </w:rPr>
        <w:lastRenderedPageBreak/>
        <w:t>致。3.以預期交易之現金流量避險而言，該預期交易必須是高度很有可能發生，且其現金流量之變動將影響損益。4.避險之有效性能可靠衡量，亦即被避險項目之公平價值或現金流量及避險工具之公平價值能可靠衡量。</w:t>
      </w:r>
      <w:r>
        <w:rPr>
          <w:rFonts w:hint="eastAsia"/>
        </w:rPr>
        <w:t>5.</w:t>
      </w:r>
      <w:r w:rsidRPr="00095AF8">
        <w:rPr>
          <w:rFonts w:hint="eastAsia"/>
        </w:rPr>
        <w:t>企業應持續評估避險有效性，且於指定避險之財務報表期間內均確定該避險為高度有效</w:t>
      </w:r>
      <w:r>
        <w:rPr>
          <w:rFonts w:hint="eastAsia"/>
        </w:rPr>
        <w:t>等，合先敘明。</w:t>
      </w:r>
    </w:p>
    <w:p w:rsidR="006F520C" w:rsidRDefault="006F520C" w:rsidP="006F520C">
      <w:pPr>
        <w:pStyle w:val="3"/>
      </w:pPr>
      <w:r>
        <w:rPr>
          <w:rFonts w:hint="eastAsia"/>
        </w:rPr>
        <w:t>經查中油公司97年度財務報告第21頁內容略以，中油公司之油品避險策略係以達成規避部分公平價值變動或現金流量風險為目的。中油公司簽訂之油品交換合約，因不符合第34號公報規定之有效避險條件，故不適用避險會計等。經詢案關查核會計師稱，中油公司主要係以原油及成品油價差之</w:t>
      </w:r>
      <w:r w:rsidR="00FF7155">
        <w:rPr>
          <w:rFonts w:hint="eastAsia"/>
        </w:rPr>
        <w:t>SWAP</w:t>
      </w:r>
      <w:r>
        <w:rPr>
          <w:rFonts w:hint="eastAsia"/>
        </w:rPr>
        <w:t>合約為避險工具，目的在鎖定煉油之利潤，惟中油公司之成品油以內銷為主，內銷價格之調整通常無法及時反應國際市場油品價格之波動，因此原油及成品油價差合約所採用之國際市場價格，是否能高度有效抵銷成品油內銷價格之波動，尚無法直接確認，須於交易前透過詳細之計算分析，惟中油公司尚未作此項計算；另中油公司主要係執行存貨部位之避險，無法直接指定係執行某一特定項目存貨之避險，雖預期交易係高度很有可能發生，惟無法明確辨認特定被避險項目，因此若使用避險會計，無法明確於預期交易完成時，記載相關避險損益；再者，中油公司貿易處風險管理組雖每月至少兩次評估未平倉部位之損益，並將評估報告送交該公司會計處長，惟未計算避險是否為高度有效等語。</w:t>
      </w:r>
    </w:p>
    <w:p w:rsidR="006F520C" w:rsidRDefault="006F520C" w:rsidP="006F520C">
      <w:pPr>
        <w:pStyle w:val="3"/>
      </w:pPr>
      <w:r>
        <w:rPr>
          <w:rFonts w:hint="eastAsia"/>
        </w:rPr>
        <w:lastRenderedPageBreak/>
        <w:t>次查國內另一業者（下稱乙業者）97年度財務報告第20頁內容略以，截至97年12月31日該公司已簽訂尚未交割之能源商品合約11筆。為規避原油及成品油市場之價格風險，該公司選擇與被避險項目價格變動高度相關之衍生性金融商品作為避險工具，並作定期評估，現有合約均因非交易目的而持有等。經詢案關查核會計師稱，乙業者於避險交易開始時，即備有避險書面文件，文件中載明「風險管理策略及避險策略、避險關係種類、被避險項目、避險工具、預期避險有效性、實際避險有效性」等項目，符合公報關於書面文件之規定；且乙業者之避險效果亦符合34號公報之高度有效標準，後續期間之有效性亦持續評估，符合前揭標準；另乙業者欲規避之預期交易係高度很有可能發生，符合預期交易規定；又乙業者避險工具及被避險項目之公平價值均能可靠衡量，避險有效性能可靠衡量等語。</w:t>
      </w:r>
    </w:p>
    <w:p w:rsidR="006F520C" w:rsidRDefault="006F520C" w:rsidP="006F520C">
      <w:pPr>
        <w:pStyle w:val="3"/>
      </w:pPr>
      <w:r>
        <w:rPr>
          <w:rFonts w:hint="eastAsia"/>
        </w:rPr>
        <w:t>惟查中油公司經認定不符適用避險會計之條件</w:t>
      </w:r>
      <w:r w:rsidRPr="007E7D11">
        <w:rPr>
          <w:rFonts w:hint="eastAsia"/>
          <w:bCs w:val="0"/>
          <w:kern w:val="2"/>
          <w:szCs w:val="21"/>
        </w:rPr>
        <w:t>，係緣於該公司之避險係</w:t>
      </w:r>
      <w:r>
        <w:rPr>
          <w:rFonts w:hint="eastAsia"/>
          <w:bCs w:val="0"/>
          <w:kern w:val="2"/>
          <w:szCs w:val="21"/>
        </w:rPr>
        <w:t>針對</w:t>
      </w:r>
      <w:r w:rsidRPr="007E7D11">
        <w:rPr>
          <w:rFonts w:hint="eastAsia"/>
          <w:bCs w:val="0"/>
          <w:kern w:val="2"/>
          <w:szCs w:val="21"/>
        </w:rPr>
        <w:t>成品油與原油</w:t>
      </w:r>
      <w:r>
        <w:rPr>
          <w:rFonts w:hint="eastAsia"/>
          <w:bCs w:val="0"/>
          <w:kern w:val="2"/>
          <w:szCs w:val="21"/>
        </w:rPr>
        <w:t>間</w:t>
      </w:r>
      <w:r w:rsidRPr="007E7D11">
        <w:rPr>
          <w:rFonts w:hint="eastAsia"/>
          <w:bCs w:val="0"/>
          <w:kern w:val="2"/>
          <w:szCs w:val="21"/>
        </w:rPr>
        <w:t>之價差，基於石化煉製業之特性</w:t>
      </w:r>
      <w:r>
        <w:rPr>
          <w:rFonts w:hint="eastAsia"/>
          <w:bCs w:val="0"/>
          <w:kern w:val="2"/>
          <w:szCs w:val="21"/>
        </w:rPr>
        <w:t>，</w:t>
      </w:r>
      <w:r w:rsidRPr="007E7D11">
        <w:rPr>
          <w:rFonts w:hint="eastAsia"/>
          <w:bCs w:val="0"/>
          <w:kern w:val="2"/>
          <w:szCs w:val="21"/>
        </w:rPr>
        <w:t>尚無法直接「指定」係執行</w:t>
      </w:r>
      <w:r>
        <w:rPr>
          <w:rFonts w:hint="eastAsia"/>
        </w:rPr>
        <w:t>某一特定項目存貨之避險，故會計師認定不符避險會計適用要件。次查乙業者係會計師以不定期間（3月、6月或一年）內之煉量，指定避險工具與被避險項目之避險關係，而認為符合避險會計之適用要件。惟因避險會計</w:t>
      </w:r>
      <w:r>
        <w:rPr>
          <w:rFonts w:hAnsi="標楷體" w:hint="eastAsia"/>
          <w:szCs w:val="32"/>
        </w:rPr>
        <w:t>之採用，涉及企業之損益能否遞延至以後期間，故其</w:t>
      </w:r>
      <w:r w:rsidRPr="00B2574C">
        <w:rPr>
          <w:rFonts w:hAnsi="標楷體" w:hint="eastAsia"/>
          <w:szCs w:val="32"/>
        </w:rPr>
        <w:t>適用</w:t>
      </w:r>
      <w:r>
        <w:rPr>
          <w:rFonts w:hAnsi="標楷體" w:hint="eastAsia"/>
          <w:szCs w:val="32"/>
        </w:rPr>
        <w:t>條件嚴格。然避險會計適用條件中「</w:t>
      </w:r>
      <w:r w:rsidRPr="00B2574C">
        <w:rPr>
          <w:rFonts w:hAnsi="標楷體" w:hint="eastAsia"/>
          <w:szCs w:val="32"/>
        </w:rPr>
        <w:t>指定</w:t>
      </w:r>
      <w:r>
        <w:rPr>
          <w:rFonts w:hAnsi="標楷體" w:hint="eastAsia"/>
          <w:szCs w:val="32"/>
        </w:rPr>
        <w:t>」避險關係之方式，實為造成本案二家業者採取不同會計處理之原因，前揭</w:t>
      </w:r>
      <w:r>
        <w:rPr>
          <w:rFonts w:hAnsi="標楷體" w:hint="eastAsia"/>
          <w:szCs w:val="32"/>
        </w:rPr>
        <w:lastRenderedPageBreak/>
        <w:t>中油公司與乙業者均屬石化煉製業者，所選擇避險工具與避險標的、方式均相同，惟中油公司查核會計師要求依批次指定避險工具與標的資產(存貨)之關係；乙業者查核會計師僅要求按期間煉量指定避險工具與存貨之關係，造成前者不能適用避險會計，而後者則得能適用。二家業者財務操作方式相同，財務報導方式卻不同，容可能一方失之過嚴或一方失之過鬆，允</w:t>
      </w:r>
      <w:r>
        <w:rPr>
          <w:rFonts w:hint="eastAsia"/>
          <w:noProof/>
        </w:rPr>
        <w:t>有再檢討之必要。</w:t>
      </w:r>
    </w:p>
    <w:p w:rsidR="001C30D3" w:rsidRPr="006F520C" w:rsidRDefault="001C30D3" w:rsidP="001C30D3">
      <w:pPr>
        <w:pStyle w:val="2"/>
        <w:numPr>
          <w:ilvl w:val="0"/>
          <w:numId w:val="0"/>
        </w:numPr>
        <w:ind w:left="1134" w:firstLineChars="226" w:firstLine="769"/>
      </w:pPr>
    </w:p>
    <w:p w:rsidR="00510FBD" w:rsidRDefault="00510FBD">
      <w:pPr>
        <w:pStyle w:val="1"/>
        <w:ind w:left="2380" w:hanging="2380"/>
      </w:pPr>
      <w:bookmarkStart w:id="62" w:name="_Toc524895648"/>
      <w:bookmarkStart w:id="63" w:name="_Toc524896194"/>
      <w:bookmarkStart w:id="64" w:name="_Toc524896224"/>
      <w:bookmarkStart w:id="65" w:name="_Toc524902734"/>
      <w:bookmarkStart w:id="66" w:name="_Toc525066148"/>
      <w:bookmarkStart w:id="67" w:name="_Toc525070839"/>
      <w:bookmarkStart w:id="68" w:name="_Toc525938379"/>
      <w:bookmarkStart w:id="69" w:name="_Toc525939227"/>
      <w:bookmarkStart w:id="70" w:name="_Toc525939732"/>
      <w:bookmarkStart w:id="71" w:name="_Toc529218272"/>
      <w:r>
        <w:br w:type="page"/>
      </w:r>
      <w:bookmarkStart w:id="72" w:name="_Toc529222689"/>
      <w:bookmarkStart w:id="73" w:name="_Toc529223111"/>
      <w:bookmarkStart w:id="74" w:name="_Toc529223862"/>
      <w:bookmarkStart w:id="75" w:name="_Toc529228265"/>
      <w:bookmarkStart w:id="76" w:name="_Toc2400395"/>
      <w:bookmarkStart w:id="77" w:name="_Toc4316189"/>
      <w:bookmarkStart w:id="78" w:name="_Toc4473330"/>
      <w:bookmarkStart w:id="79" w:name="_Toc69556897"/>
      <w:bookmarkStart w:id="80" w:name="_Toc69556946"/>
      <w:bookmarkStart w:id="81" w:name="_Toc69609820"/>
      <w:bookmarkStart w:id="82" w:name="_Toc70241816"/>
      <w:bookmarkStart w:id="83" w:name="_Toc70242205"/>
      <w:r>
        <w:rPr>
          <w:rFonts w:hint="eastAsia"/>
        </w:rPr>
        <w:lastRenderedPageBreak/>
        <w:t>處理辦法：</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rsidR="00510FBD" w:rsidRDefault="00510FBD">
      <w:pPr>
        <w:pStyle w:val="2"/>
        <w:ind w:left="1020" w:hanging="680"/>
      </w:pPr>
      <w:bookmarkStart w:id="84" w:name="_Toc524895649"/>
      <w:bookmarkStart w:id="85" w:name="_Toc524896195"/>
      <w:bookmarkStart w:id="86" w:name="_Toc524896225"/>
      <w:bookmarkStart w:id="87" w:name="_Toc2400396"/>
      <w:bookmarkStart w:id="88" w:name="_Toc4316190"/>
      <w:bookmarkStart w:id="89" w:name="_Toc4473331"/>
      <w:bookmarkStart w:id="90" w:name="_Toc69556898"/>
      <w:bookmarkStart w:id="91" w:name="_Toc69556947"/>
      <w:bookmarkStart w:id="92" w:name="_Toc69609821"/>
      <w:bookmarkStart w:id="93" w:name="_Toc70241817"/>
      <w:bookmarkStart w:id="94" w:name="_Toc70242206"/>
      <w:bookmarkStart w:id="95" w:name="_Toc524902735"/>
      <w:bookmarkStart w:id="96" w:name="_Toc525066149"/>
      <w:bookmarkStart w:id="97" w:name="_Toc525070840"/>
      <w:bookmarkStart w:id="98" w:name="_Toc525938380"/>
      <w:bookmarkStart w:id="99" w:name="_Toc525939228"/>
      <w:bookmarkStart w:id="100" w:name="_Toc525939733"/>
      <w:bookmarkStart w:id="101" w:name="_Toc529218273"/>
      <w:bookmarkStart w:id="102" w:name="_Toc529222690"/>
      <w:bookmarkStart w:id="103" w:name="_Toc529223112"/>
      <w:bookmarkStart w:id="104" w:name="_Toc529223863"/>
      <w:bookmarkStart w:id="105" w:name="_Toc529228266"/>
      <w:bookmarkEnd w:id="84"/>
      <w:bookmarkEnd w:id="85"/>
      <w:bookmarkEnd w:id="86"/>
      <w:r>
        <w:rPr>
          <w:rFonts w:hint="eastAsia"/>
        </w:rPr>
        <w:t>調查意見，函請</w:t>
      </w:r>
      <w:r w:rsidR="002B7146">
        <w:rPr>
          <w:rFonts w:hint="eastAsia"/>
        </w:rPr>
        <w:t>經濟部督促</w:t>
      </w:r>
      <w:r w:rsidR="00995841">
        <w:rPr>
          <w:rFonts w:hint="eastAsia"/>
        </w:rPr>
        <w:t>台灣中油股份有限公司確實檢討改進</w:t>
      </w:r>
      <w:r>
        <w:rPr>
          <w:rFonts w:hint="eastAsia"/>
        </w:rPr>
        <w:t>見復。</w:t>
      </w:r>
      <w:bookmarkEnd w:id="87"/>
      <w:bookmarkEnd w:id="88"/>
      <w:bookmarkEnd w:id="89"/>
      <w:bookmarkEnd w:id="90"/>
      <w:bookmarkEnd w:id="91"/>
      <w:bookmarkEnd w:id="92"/>
      <w:bookmarkEnd w:id="93"/>
      <w:bookmarkEnd w:id="94"/>
    </w:p>
    <w:p w:rsidR="00510FBD" w:rsidRDefault="00510FBD" w:rsidP="007B0037">
      <w:pPr>
        <w:pStyle w:val="2"/>
        <w:ind w:left="1020" w:hanging="680"/>
      </w:pPr>
      <w:bookmarkStart w:id="106" w:name="_Toc69556899"/>
      <w:bookmarkStart w:id="107" w:name="_Toc69556948"/>
      <w:bookmarkStart w:id="108" w:name="_Toc69609822"/>
      <w:bookmarkStart w:id="109" w:name="_Toc70241818"/>
      <w:bookmarkStart w:id="110" w:name="_Toc70242207"/>
      <w:r>
        <w:rPr>
          <w:rFonts w:hint="eastAsia"/>
        </w:rPr>
        <w:t>調查意見</w:t>
      </w:r>
      <w:r w:rsidR="0001794D">
        <w:rPr>
          <w:rFonts w:hint="eastAsia"/>
        </w:rPr>
        <w:t>六</w:t>
      </w:r>
      <w:r>
        <w:rPr>
          <w:rFonts w:hint="eastAsia"/>
        </w:rPr>
        <w:t>，函</w:t>
      </w:r>
      <w:r w:rsidR="00F711B5">
        <w:rPr>
          <w:rFonts w:hint="eastAsia"/>
        </w:rPr>
        <w:t>請行政院金融監督管理委員會</w:t>
      </w:r>
      <w:r w:rsidR="00082AB2" w:rsidRPr="007B0037">
        <w:rPr>
          <w:rFonts w:hAnsi="標楷體" w:hint="eastAsia"/>
          <w:szCs w:val="24"/>
        </w:rPr>
        <w:t>參考</w:t>
      </w:r>
      <w:r>
        <w:rPr>
          <w:rFonts w:hint="eastAsia"/>
        </w:rPr>
        <w:t>。</w:t>
      </w:r>
      <w:bookmarkStart w:id="111" w:name="_Toc2400397"/>
      <w:bookmarkStart w:id="112" w:name="_Toc4316191"/>
      <w:bookmarkStart w:id="113" w:name="_Toc4473332"/>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rsidR="00510FBD" w:rsidRDefault="00510FBD">
      <w:pPr>
        <w:pStyle w:val="2"/>
        <w:ind w:left="1020" w:hanging="680"/>
      </w:pPr>
      <w:bookmarkStart w:id="114" w:name="_Toc69556901"/>
      <w:bookmarkStart w:id="115" w:name="_Toc69556950"/>
      <w:bookmarkStart w:id="116" w:name="_Toc69609824"/>
      <w:bookmarkStart w:id="117" w:name="_Toc70241822"/>
      <w:bookmarkStart w:id="118" w:name="_Toc70242211"/>
      <w:r>
        <w:rPr>
          <w:rFonts w:hint="eastAsia"/>
          <w:color w:val="000000"/>
        </w:rPr>
        <w:t>檢附派查函及相關附件，送請</w:t>
      </w:r>
      <w:r w:rsidR="00082AB2">
        <w:rPr>
          <w:rFonts w:hint="eastAsia"/>
          <w:color w:val="000000"/>
        </w:rPr>
        <w:t>財政</w:t>
      </w:r>
      <w:r>
        <w:rPr>
          <w:rFonts w:hint="eastAsia"/>
          <w:color w:val="000000"/>
        </w:rPr>
        <w:t>及</w:t>
      </w:r>
      <w:r w:rsidR="00082AB2">
        <w:rPr>
          <w:rFonts w:hint="eastAsia"/>
          <w:color w:val="000000"/>
        </w:rPr>
        <w:t>經濟</w:t>
      </w:r>
      <w:r>
        <w:rPr>
          <w:rFonts w:hint="eastAsia"/>
          <w:color w:val="000000"/>
        </w:rPr>
        <w:t>委員會處理。</w:t>
      </w:r>
      <w:bookmarkEnd w:id="111"/>
      <w:bookmarkEnd w:id="112"/>
      <w:bookmarkEnd w:id="113"/>
      <w:bookmarkEnd w:id="114"/>
      <w:bookmarkEnd w:id="115"/>
      <w:bookmarkEnd w:id="116"/>
      <w:bookmarkEnd w:id="117"/>
      <w:bookmarkEnd w:id="118"/>
    </w:p>
    <w:sectPr w:rsidR="00510FBD" w:rsidSect="00A3743E">
      <w:pgSz w:w="11907" w:h="16840" w:code="9"/>
      <w:pgMar w:top="1701" w:right="1418" w:bottom="1418" w:left="1418" w:header="851" w:footer="851" w:gutter="227"/>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7DFF" w:rsidRDefault="00097DFF">
      <w:r>
        <w:separator/>
      </w:r>
    </w:p>
  </w:endnote>
  <w:endnote w:type="continuationSeparator" w:id="0">
    <w:p w:rsidR="00097DFF" w:rsidRDefault="00097D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7DFF" w:rsidRDefault="00097DFF">
      <w:r>
        <w:separator/>
      </w:r>
    </w:p>
  </w:footnote>
  <w:footnote w:type="continuationSeparator" w:id="0">
    <w:p w:rsidR="00097DFF" w:rsidRDefault="00097D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52FC9"/>
    <w:multiLevelType w:val="hybridMultilevel"/>
    <w:tmpl w:val="BB008FAC"/>
    <w:lvl w:ilvl="0" w:tplc="D368CC8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81F43FE"/>
    <w:multiLevelType w:val="hybridMultilevel"/>
    <w:tmpl w:val="AF32AE84"/>
    <w:lvl w:ilvl="0" w:tplc="0944D7BA">
      <w:start w:val="1"/>
      <w:numFmt w:val="taiwaneseCountingThousand"/>
      <w:pStyle w:val="a"/>
      <w:lvlText w:val="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40E010C"/>
    <w:multiLevelType w:val="multilevel"/>
    <w:tmpl w:val="0380C790"/>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265"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2115"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3534"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4812"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3">
    <w:nsid w:val="19532EFC"/>
    <w:multiLevelType w:val="hybridMultilevel"/>
    <w:tmpl w:val="B6BCCA78"/>
    <w:lvl w:ilvl="0" w:tplc="92D0C972">
      <w:start w:val="1"/>
      <w:numFmt w:val="taiwaneseCountingThousand"/>
      <w:pStyle w:val="a0"/>
      <w:lvlText w:val="表%1、"/>
      <w:lvlJc w:val="left"/>
      <w:pPr>
        <w:tabs>
          <w:tab w:val="num" w:pos="2292"/>
        </w:tabs>
        <w:ind w:left="1547" w:hanging="695"/>
      </w:pPr>
      <w:rPr>
        <w:rFonts w:ascii="標楷體" w:eastAsia="標楷體" w:hint="eastAsia"/>
        <w:b w:val="0"/>
        <w:i w:val="0"/>
        <w:sz w:val="32"/>
      </w:rPr>
    </w:lvl>
    <w:lvl w:ilvl="1" w:tplc="04090019" w:tentative="1">
      <w:start w:val="1"/>
      <w:numFmt w:val="ideographTraditional"/>
      <w:lvlText w:val="%2、"/>
      <w:lvlJc w:val="left"/>
      <w:pPr>
        <w:tabs>
          <w:tab w:val="num" w:pos="-173"/>
        </w:tabs>
        <w:ind w:left="-173" w:hanging="480"/>
      </w:pPr>
    </w:lvl>
    <w:lvl w:ilvl="2" w:tplc="0409001B" w:tentative="1">
      <w:start w:val="1"/>
      <w:numFmt w:val="lowerRoman"/>
      <w:lvlText w:val="%3."/>
      <w:lvlJc w:val="right"/>
      <w:pPr>
        <w:tabs>
          <w:tab w:val="num" w:pos="307"/>
        </w:tabs>
        <w:ind w:left="307" w:hanging="480"/>
      </w:pPr>
    </w:lvl>
    <w:lvl w:ilvl="3" w:tplc="0409000F" w:tentative="1">
      <w:start w:val="1"/>
      <w:numFmt w:val="decimal"/>
      <w:lvlText w:val="%4."/>
      <w:lvlJc w:val="left"/>
      <w:pPr>
        <w:tabs>
          <w:tab w:val="num" w:pos="787"/>
        </w:tabs>
        <w:ind w:left="787" w:hanging="480"/>
      </w:pPr>
    </w:lvl>
    <w:lvl w:ilvl="4" w:tplc="04090019" w:tentative="1">
      <w:start w:val="1"/>
      <w:numFmt w:val="ideographTraditional"/>
      <w:lvlText w:val="%5、"/>
      <w:lvlJc w:val="left"/>
      <w:pPr>
        <w:tabs>
          <w:tab w:val="num" w:pos="1267"/>
        </w:tabs>
        <w:ind w:left="1267" w:hanging="480"/>
      </w:pPr>
    </w:lvl>
    <w:lvl w:ilvl="5" w:tplc="0409001B" w:tentative="1">
      <w:start w:val="1"/>
      <w:numFmt w:val="lowerRoman"/>
      <w:lvlText w:val="%6."/>
      <w:lvlJc w:val="right"/>
      <w:pPr>
        <w:tabs>
          <w:tab w:val="num" w:pos="1747"/>
        </w:tabs>
        <w:ind w:left="1747" w:hanging="480"/>
      </w:pPr>
    </w:lvl>
    <w:lvl w:ilvl="6" w:tplc="0409000F" w:tentative="1">
      <w:start w:val="1"/>
      <w:numFmt w:val="decimal"/>
      <w:lvlText w:val="%7."/>
      <w:lvlJc w:val="left"/>
      <w:pPr>
        <w:tabs>
          <w:tab w:val="num" w:pos="2227"/>
        </w:tabs>
        <w:ind w:left="2227" w:hanging="480"/>
      </w:pPr>
    </w:lvl>
    <w:lvl w:ilvl="7" w:tplc="04090019" w:tentative="1">
      <w:start w:val="1"/>
      <w:numFmt w:val="ideographTraditional"/>
      <w:lvlText w:val="%8、"/>
      <w:lvlJc w:val="left"/>
      <w:pPr>
        <w:tabs>
          <w:tab w:val="num" w:pos="2707"/>
        </w:tabs>
        <w:ind w:left="2707" w:hanging="480"/>
      </w:pPr>
    </w:lvl>
    <w:lvl w:ilvl="8" w:tplc="0409001B" w:tentative="1">
      <w:start w:val="1"/>
      <w:numFmt w:val="lowerRoman"/>
      <w:lvlText w:val="%9."/>
      <w:lvlJc w:val="right"/>
      <w:pPr>
        <w:tabs>
          <w:tab w:val="num" w:pos="3187"/>
        </w:tabs>
        <w:ind w:left="3187" w:hanging="480"/>
      </w:pPr>
    </w:lvl>
  </w:abstractNum>
  <w:num w:numId="1">
    <w:abstractNumId w:val="2"/>
  </w:num>
  <w:num w:numId="2">
    <w:abstractNumId w:val="3"/>
  </w:num>
  <w:num w:numId="3">
    <w:abstractNumId w:val="1"/>
  </w:num>
  <w:num w:numId="4">
    <w:abstractNumId w:val="0"/>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 w:numId="37">
    <w:abstractNumId w:val="2"/>
  </w:num>
  <w:num w:numId="38">
    <w:abstractNumId w:val="2"/>
  </w:num>
  <w:num w:numId="39">
    <w:abstractNumId w:val="2"/>
  </w:num>
  <w:num w:numId="40">
    <w:abstractNumId w:val="2"/>
  </w:num>
  <w:num w:numId="41">
    <w:abstractNumId w:val="2"/>
  </w:num>
  <w:num w:numId="42">
    <w:abstractNumId w:val="2"/>
  </w:num>
  <w:num w:numId="43">
    <w:abstractNumId w:val="2"/>
  </w:num>
  <w:num w:numId="44">
    <w:abstractNumId w:val="2"/>
  </w:num>
  <w:num w:numId="45">
    <w:abstractNumId w:val="2"/>
  </w:num>
  <w:num w:numId="46">
    <w:abstractNumId w:val="2"/>
  </w:num>
  <w:num w:numId="47">
    <w:abstractNumId w:val="2"/>
  </w:num>
  <w:num w:numId="48">
    <w:abstractNumId w:val="2"/>
  </w:num>
  <w:num w:numId="49">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attachedTemplate r:id="rId1"/>
  <w:defaultTabStop w:val="0"/>
  <w:drawingGridHorizontalSpacing w:val="170"/>
  <w:drawingGridVerticalSpacing w:val="457"/>
  <w:displayHorizontalDrawingGridEvery w:val="0"/>
  <w:characterSpacingControl w:val="compressPunctuation"/>
  <w:hdrShapeDefaults>
    <o:shapedefaults v:ext="edit" spidmax="70658"/>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510FBD"/>
    <w:rsid w:val="000100E4"/>
    <w:rsid w:val="00010C70"/>
    <w:rsid w:val="00012F6F"/>
    <w:rsid w:val="000140A1"/>
    <w:rsid w:val="000168F1"/>
    <w:rsid w:val="00017239"/>
    <w:rsid w:val="0001794D"/>
    <w:rsid w:val="000222B8"/>
    <w:rsid w:val="00044784"/>
    <w:rsid w:val="00044B68"/>
    <w:rsid w:val="0005276A"/>
    <w:rsid w:val="000544FF"/>
    <w:rsid w:val="00057F4A"/>
    <w:rsid w:val="00060A73"/>
    <w:rsid w:val="00060E18"/>
    <w:rsid w:val="000768C8"/>
    <w:rsid w:val="00082AB2"/>
    <w:rsid w:val="000846BD"/>
    <w:rsid w:val="00093297"/>
    <w:rsid w:val="00095AF8"/>
    <w:rsid w:val="00097DFF"/>
    <w:rsid w:val="000B6703"/>
    <w:rsid w:val="000C0F80"/>
    <w:rsid w:val="000C15C0"/>
    <w:rsid w:val="000D0195"/>
    <w:rsid w:val="000D521E"/>
    <w:rsid w:val="000E0A9E"/>
    <w:rsid w:val="000E2129"/>
    <w:rsid w:val="000E5C1A"/>
    <w:rsid w:val="000F5627"/>
    <w:rsid w:val="00104D42"/>
    <w:rsid w:val="00116A48"/>
    <w:rsid w:val="00120B3C"/>
    <w:rsid w:val="00125A57"/>
    <w:rsid w:val="00127007"/>
    <w:rsid w:val="00133D02"/>
    <w:rsid w:val="00134EC8"/>
    <w:rsid w:val="001367A9"/>
    <w:rsid w:val="001464E8"/>
    <w:rsid w:val="00147DD3"/>
    <w:rsid w:val="001505E0"/>
    <w:rsid w:val="00155F0F"/>
    <w:rsid w:val="00156B45"/>
    <w:rsid w:val="001573A7"/>
    <w:rsid w:val="00195C08"/>
    <w:rsid w:val="001A27F1"/>
    <w:rsid w:val="001B3D78"/>
    <w:rsid w:val="001B7046"/>
    <w:rsid w:val="001C0544"/>
    <w:rsid w:val="001C30D3"/>
    <w:rsid w:val="001C5971"/>
    <w:rsid w:val="001D405C"/>
    <w:rsid w:val="001D4F04"/>
    <w:rsid w:val="001D6BEE"/>
    <w:rsid w:val="001E737B"/>
    <w:rsid w:val="001F5C50"/>
    <w:rsid w:val="001F6638"/>
    <w:rsid w:val="001F780C"/>
    <w:rsid w:val="002028A1"/>
    <w:rsid w:val="00202F08"/>
    <w:rsid w:val="00204349"/>
    <w:rsid w:val="00204787"/>
    <w:rsid w:val="00207A61"/>
    <w:rsid w:val="002213AD"/>
    <w:rsid w:val="00226C56"/>
    <w:rsid w:val="002273FC"/>
    <w:rsid w:val="002329EA"/>
    <w:rsid w:val="00234AC7"/>
    <w:rsid w:val="0023560A"/>
    <w:rsid w:val="00251658"/>
    <w:rsid w:val="00254AAD"/>
    <w:rsid w:val="00261A9E"/>
    <w:rsid w:val="00264F48"/>
    <w:rsid w:val="00265A4B"/>
    <w:rsid w:val="00267927"/>
    <w:rsid w:val="0027217E"/>
    <w:rsid w:val="002800D5"/>
    <w:rsid w:val="002864F5"/>
    <w:rsid w:val="002920F3"/>
    <w:rsid w:val="00293035"/>
    <w:rsid w:val="00295648"/>
    <w:rsid w:val="002A05F4"/>
    <w:rsid w:val="002A0792"/>
    <w:rsid w:val="002A7EDB"/>
    <w:rsid w:val="002B2B11"/>
    <w:rsid w:val="002B4AEC"/>
    <w:rsid w:val="002B7146"/>
    <w:rsid w:val="002D00F7"/>
    <w:rsid w:val="002D0107"/>
    <w:rsid w:val="002D331D"/>
    <w:rsid w:val="002E3EC3"/>
    <w:rsid w:val="002E532C"/>
    <w:rsid w:val="002E6F99"/>
    <w:rsid w:val="002E733C"/>
    <w:rsid w:val="002F10B2"/>
    <w:rsid w:val="002F2497"/>
    <w:rsid w:val="002F283F"/>
    <w:rsid w:val="002F4139"/>
    <w:rsid w:val="00303B69"/>
    <w:rsid w:val="00307F6D"/>
    <w:rsid w:val="00311818"/>
    <w:rsid w:val="00312F60"/>
    <w:rsid w:val="003164E5"/>
    <w:rsid w:val="00322846"/>
    <w:rsid w:val="003309E2"/>
    <w:rsid w:val="00345030"/>
    <w:rsid w:val="00347842"/>
    <w:rsid w:val="0034796A"/>
    <w:rsid w:val="00360922"/>
    <w:rsid w:val="0036488B"/>
    <w:rsid w:val="00366305"/>
    <w:rsid w:val="00383825"/>
    <w:rsid w:val="00394077"/>
    <w:rsid w:val="00396114"/>
    <w:rsid w:val="003A066D"/>
    <w:rsid w:val="003A15D5"/>
    <w:rsid w:val="003A2307"/>
    <w:rsid w:val="003B7328"/>
    <w:rsid w:val="003C6839"/>
    <w:rsid w:val="003E01C7"/>
    <w:rsid w:val="003E1362"/>
    <w:rsid w:val="003E15FC"/>
    <w:rsid w:val="003E41E1"/>
    <w:rsid w:val="003E5A6B"/>
    <w:rsid w:val="003F0D82"/>
    <w:rsid w:val="003F3E94"/>
    <w:rsid w:val="003F6940"/>
    <w:rsid w:val="00404A50"/>
    <w:rsid w:val="00427D6B"/>
    <w:rsid w:val="00430AB5"/>
    <w:rsid w:val="00436487"/>
    <w:rsid w:val="00437B2B"/>
    <w:rsid w:val="0044636C"/>
    <w:rsid w:val="004468E1"/>
    <w:rsid w:val="00450D13"/>
    <w:rsid w:val="00452FB4"/>
    <w:rsid w:val="004672B3"/>
    <w:rsid w:val="00471734"/>
    <w:rsid w:val="0047649D"/>
    <w:rsid w:val="00477513"/>
    <w:rsid w:val="00477D5F"/>
    <w:rsid w:val="00483C3A"/>
    <w:rsid w:val="00483E7D"/>
    <w:rsid w:val="00496095"/>
    <w:rsid w:val="004A4F37"/>
    <w:rsid w:val="004A7F47"/>
    <w:rsid w:val="004B0934"/>
    <w:rsid w:val="004B5EC7"/>
    <w:rsid w:val="004D5ADD"/>
    <w:rsid w:val="004D6D78"/>
    <w:rsid w:val="004E0DC7"/>
    <w:rsid w:val="004E1178"/>
    <w:rsid w:val="004E42F1"/>
    <w:rsid w:val="004E7831"/>
    <w:rsid w:val="004F48DB"/>
    <w:rsid w:val="004F5296"/>
    <w:rsid w:val="005011BE"/>
    <w:rsid w:val="00501A72"/>
    <w:rsid w:val="00503C0B"/>
    <w:rsid w:val="00510FBD"/>
    <w:rsid w:val="00521DE3"/>
    <w:rsid w:val="005257AE"/>
    <w:rsid w:val="00526B6C"/>
    <w:rsid w:val="00532425"/>
    <w:rsid w:val="005433D2"/>
    <w:rsid w:val="00547EE9"/>
    <w:rsid w:val="00553098"/>
    <w:rsid w:val="00556178"/>
    <w:rsid w:val="00560F41"/>
    <w:rsid w:val="00563C3E"/>
    <w:rsid w:val="00572C40"/>
    <w:rsid w:val="00590B75"/>
    <w:rsid w:val="00594F71"/>
    <w:rsid w:val="005950A9"/>
    <w:rsid w:val="00596018"/>
    <w:rsid w:val="005B0BEB"/>
    <w:rsid w:val="005B39FD"/>
    <w:rsid w:val="005B63EB"/>
    <w:rsid w:val="005B7639"/>
    <w:rsid w:val="005C2D01"/>
    <w:rsid w:val="005E1B8C"/>
    <w:rsid w:val="005E56DC"/>
    <w:rsid w:val="005F0F8E"/>
    <w:rsid w:val="00617D0F"/>
    <w:rsid w:val="00624DA9"/>
    <w:rsid w:val="006250FE"/>
    <w:rsid w:val="00632C27"/>
    <w:rsid w:val="00640B40"/>
    <w:rsid w:val="00644650"/>
    <w:rsid w:val="00652232"/>
    <w:rsid w:val="0065488D"/>
    <w:rsid w:val="006651EE"/>
    <w:rsid w:val="006762A7"/>
    <w:rsid w:val="00682665"/>
    <w:rsid w:val="00684E48"/>
    <w:rsid w:val="00690682"/>
    <w:rsid w:val="00693D35"/>
    <w:rsid w:val="006955D9"/>
    <w:rsid w:val="006A37AC"/>
    <w:rsid w:val="006B063D"/>
    <w:rsid w:val="006B3AFC"/>
    <w:rsid w:val="006C46DC"/>
    <w:rsid w:val="006C552F"/>
    <w:rsid w:val="006C6B4F"/>
    <w:rsid w:val="006D0338"/>
    <w:rsid w:val="006D53E6"/>
    <w:rsid w:val="006E1606"/>
    <w:rsid w:val="006E331E"/>
    <w:rsid w:val="006E55A3"/>
    <w:rsid w:val="006F520C"/>
    <w:rsid w:val="00701201"/>
    <w:rsid w:val="00705F51"/>
    <w:rsid w:val="00717BDC"/>
    <w:rsid w:val="007228B3"/>
    <w:rsid w:val="00723370"/>
    <w:rsid w:val="007254C1"/>
    <w:rsid w:val="00734CFC"/>
    <w:rsid w:val="00741DF2"/>
    <w:rsid w:val="00750F64"/>
    <w:rsid w:val="00750F8E"/>
    <w:rsid w:val="00772C4D"/>
    <w:rsid w:val="00782E48"/>
    <w:rsid w:val="00783D6A"/>
    <w:rsid w:val="00793E5D"/>
    <w:rsid w:val="007959EE"/>
    <w:rsid w:val="00796E13"/>
    <w:rsid w:val="007A2FAB"/>
    <w:rsid w:val="007A4BA4"/>
    <w:rsid w:val="007B0037"/>
    <w:rsid w:val="007C359A"/>
    <w:rsid w:val="007C697A"/>
    <w:rsid w:val="007D02EA"/>
    <w:rsid w:val="007D4C35"/>
    <w:rsid w:val="007D6193"/>
    <w:rsid w:val="007E082E"/>
    <w:rsid w:val="007E0D73"/>
    <w:rsid w:val="007E254F"/>
    <w:rsid w:val="007E6F07"/>
    <w:rsid w:val="007E7D11"/>
    <w:rsid w:val="007F3076"/>
    <w:rsid w:val="00804884"/>
    <w:rsid w:val="00807B2A"/>
    <w:rsid w:val="00810993"/>
    <w:rsid w:val="00822031"/>
    <w:rsid w:val="00856CFE"/>
    <w:rsid w:val="008734FE"/>
    <w:rsid w:val="008800C6"/>
    <w:rsid w:val="0088186D"/>
    <w:rsid w:val="008849A7"/>
    <w:rsid w:val="008955FB"/>
    <w:rsid w:val="008A2667"/>
    <w:rsid w:val="008B2797"/>
    <w:rsid w:val="008C6DF0"/>
    <w:rsid w:val="008C7302"/>
    <w:rsid w:val="008D31A0"/>
    <w:rsid w:val="008D400E"/>
    <w:rsid w:val="008D65F0"/>
    <w:rsid w:val="008D7C1E"/>
    <w:rsid w:val="008E16D8"/>
    <w:rsid w:val="008E40D5"/>
    <w:rsid w:val="008E46BE"/>
    <w:rsid w:val="008F3A83"/>
    <w:rsid w:val="008F4814"/>
    <w:rsid w:val="008F693F"/>
    <w:rsid w:val="008F7F91"/>
    <w:rsid w:val="00901573"/>
    <w:rsid w:val="00903F99"/>
    <w:rsid w:val="0090578F"/>
    <w:rsid w:val="00911765"/>
    <w:rsid w:val="009133BD"/>
    <w:rsid w:val="00924190"/>
    <w:rsid w:val="0092493C"/>
    <w:rsid w:val="00924E13"/>
    <w:rsid w:val="00937027"/>
    <w:rsid w:val="00940465"/>
    <w:rsid w:val="0094195A"/>
    <w:rsid w:val="00944A5F"/>
    <w:rsid w:val="00945D6E"/>
    <w:rsid w:val="009463F9"/>
    <w:rsid w:val="00946B66"/>
    <w:rsid w:val="0094737F"/>
    <w:rsid w:val="009546A4"/>
    <w:rsid w:val="00954C71"/>
    <w:rsid w:val="00971291"/>
    <w:rsid w:val="0097222F"/>
    <w:rsid w:val="00977893"/>
    <w:rsid w:val="009809F9"/>
    <w:rsid w:val="009817A5"/>
    <w:rsid w:val="00994544"/>
    <w:rsid w:val="00995841"/>
    <w:rsid w:val="009959CC"/>
    <w:rsid w:val="00995C94"/>
    <w:rsid w:val="009A5314"/>
    <w:rsid w:val="009A6711"/>
    <w:rsid w:val="009A70CF"/>
    <w:rsid w:val="009B1B29"/>
    <w:rsid w:val="009B1E4D"/>
    <w:rsid w:val="009B2FBD"/>
    <w:rsid w:val="009B7902"/>
    <w:rsid w:val="009C310B"/>
    <w:rsid w:val="009C7C25"/>
    <w:rsid w:val="009D4BC8"/>
    <w:rsid w:val="009E14F4"/>
    <w:rsid w:val="009E7C9C"/>
    <w:rsid w:val="009F1F04"/>
    <w:rsid w:val="009F4641"/>
    <w:rsid w:val="00A042FA"/>
    <w:rsid w:val="00A054BB"/>
    <w:rsid w:val="00A11BA0"/>
    <w:rsid w:val="00A230E3"/>
    <w:rsid w:val="00A31542"/>
    <w:rsid w:val="00A318E2"/>
    <w:rsid w:val="00A35B2D"/>
    <w:rsid w:val="00A3743E"/>
    <w:rsid w:val="00A46B6B"/>
    <w:rsid w:val="00A46ED2"/>
    <w:rsid w:val="00A47BD7"/>
    <w:rsid w:val="00A526BB"/>
    <w:rsid w:val="00A55FEC"/>
    <w:rsid w:val="00A6773D"/>
    <w:rsid w:val="00A77F7A"/>
    <w:rsid w:val="00A8305A"/>
    <w:rsid w:val="00A86822"/>
    <w:rsid w:val="00A916F1"/>
    <w:rsid w:val="00AA0FF4"/>
    <w:rsid w:val="00AA78A3"/>
    <w:rsid w:val="00AB3654"/>
    <w:rsid w:val="00AB454A"/>
    <w:rsid w:val="00AC1A85"/>
    <w:rsid w:val="00AC37B2"/>
    <w:rsid w:val="00AC37B4"/>
    <w:rsid w:val="00AC5A17"/>
    <w:rsid w:val="00AD578C"/>
    <w:rsid w:val="00AE01F5"/>
    <w:rsid w:val="00AE1A9E"/>
    <w:rsid w:val="00AE2016"/>
    <w:rsid w:val="00AE2251"/>
    <w:rsid w:val="00AE4021"/>
    <w:rsid w:val="00AE6067"/>
    <w:rsid w:val="00AF0EFE"/>
    <w:rsid w:val="00AF212F"/>
    <w:rsid w:val="00AF3520"/>
    <w:rsid w:val="00AF6972"/>
    <w:rsid w:val="00B0121A"/>
    <w:rsid w:val="00B11493"/>
    <w:rsid w:val="00B132A1"/>
    <w:rsid w:val="00B13FF0"/>
    <w:rsid w:val="00B218D5"/>
    <w:rsid w:val="00B21B4D"/>
    <w:rsid w:val="00B23613"/>
    <w:rsid w:val="00B25141"/>
    <w:rsid w:val="00B45202"/>
    <w:rsid w:val="00B4764B"/>
    <w:rsid w:val="00B50BBC"/>
    <w:rsid w:val="00B55A9E"/>
    <w:rsid w:val="00B55B94"/>
    <w:rsid w:val="00B57735"/>
    <w:rsid w:val="00B60763"/>
    <w:rsid w:val="00B61D18"/>
    <w:rsid w:val="00B61D56"/>
    <w:rsid w:val="00B670FD"/>
    <w:rsid w:val="00B75A84"/>
    <w:rsid w:val="00B80FCF"/>
    <w:rsid w:val="00B8342A"/>
    <w:rsid w:val="00B85334"/>
    <w:rsid w:val="00B8721C"/>
    <w:rsid w:val="00B91127"/>
    <w:rsid w:val="00B93F21"/>
    <w:rsid w:val="00B94213"/>
    <w:rsid w:val="00B975F3"/>
    <w:rsid w:val="00BA06CC"/>
    <w:rsid w:val="00BB0159"/>
    <w:rsid w:val="00BC57D7"/>
    <w:rsid w:val="00BC5E01"/>
    <w:rsid w:val="00BC63F3"/>
    <w:rsid w:val="00BD4046"/>
    <w:rsid w:val="00BD44F8"/>
    <w:rsid w:val="00BD5912"/>
    <w:rsid w:val="00BD5E8D"/>
    <w:rsid w:val="00BE108F"/>
    <w:rsid w:val="00BE20BE"/>
    <w:rsid w:val="00BE4532"/>
    <w:rsid w:val="00BF30CB"/>
    <w:rsid w:val="00BF4FCB"/>
    <w:rsid w:val="00C039D1"/>
    <w:rsid w:val="00C03C60"/>
    <w:rsid w:val="00C04098"/>
    <w:rsid w:val="00C04985"/>
    <w:rsid w:val="00C10172"/>
    <w:rsid w:val="00C10EF1"/>
    <w:rsid w:val="00C112BD"/>
    <w:rsid w:val="00C112F4"/>
    <w:rsid w:val="00C12FBF"/>
    <w:rsid w:val="00C17AF9"/>
    <w:rsid w:val="00C20DE5"/>
    <w:rsid w:val="00C270C6"/>
    <w:rsid w:val="00C27972"/>
    <w:rsid w:val="00C33451"/>
    <w:rsid w:val="00C365F3"/>
    <w:rsid w:val="00C415F6"/>
    <w:rsid w:val="00C46EDB"/>
    <w:rsid w:val="00C61A27"/>
    <w:rsid w:val="00C7093E"/>
    <w:rsid w:val="00C7716E"/>
    <w:rsid w:val="00C82218"/>
    <w:rsid w:val="00C85980"/>
    <w:rsid w:val="00C868F1"/>
    <w:rsid w:val="00C94A1A"/>
    <w:rsid w:val="00C94E3C"/>
    <w:rsid w:val="00CA1612"/>
    <w:rsid w:val="00CA4166"/>
    <w:rsid w:val="00CB4274"/>
    <w:rsid w:val="00CB4F28"/>
    <w:rsid w:val="00CC7510"/>
    <w:rsid w:val="00CD410D"/>
    <w:rsid w:val="00CD5D2E"/>
    <w:rsid w:val="00CD7DF6"/>
    <w:rsid w:val="00CE14B1"/>
    <w:rsid w:val="00D0027E"/>
    <w:rsid w:val="00D00A96"/>
    <w:rsid w:val="00D03BA1"/>
    <w:rsid w:val="00D15893"/>
    <w:rsid w:val="00D1659C"/>
    <w:rsid w:val="00D31AA1"/>
    <w:rsid w:val="00D347A2"/>
    <w:rsid w:val="00D43439"/>
    <w:rsid w:val="00D504A4"/>
    <w:rsid w:val="00D53786"/>
    <w:rsid w:val="00D60194"/>
    <w:rsid w:val="00D63484"/>
    <w:rsid w:val="00D6384A"/>
    <w:rsid w:val="00D66813"/>
    <w:rsid w:val="00D67567"/>
    <w:rsid w:val="00D75643"/>
    <w:rsid w:val="00D8218E"/>
    <w:rsid w:val="00D9095C"/>
    <w:rsid w:val="00DA3D40"/>
    <w:rsid w:val="00DA43C5"/>
    <w:rsid w:val="00DA46B7"/>
    <w:rsid w:val="00DB30C6"/>
    <w:rsid w:val="00DB3B1A"/>
    <w:rsid w:val="00DB740F"/>
    <w:rsid w:val="00DC2D80"/>
    <w:rsid w:val="00DE6314"/>
    <w:rsid w:val="00DF0E1D"/>
    <w:rsid w:val="00DF0FC0"/>
    <w:rsid w:val="00E155F8"/>
    <w:rsid w:val="00E15FCD"/>
    <w:rsid w:val="00E173CC"/>
    <w:rsid w:val="00E205F7"/>
    <w:rsid w:val="00E20AE2"/>
    <w:rsid w:val="00E31A49"/>
    <w:rsid w:val="00E32E22"/>
    <w:rsid w:val="00E40E91"/>
    <w:rsid w:val="00E43873"/>
    <w:rsid w:val="00E63E44"/>
    <w:rsid w:val="00E72A93"/>
    <w:rsid w:val="00E74F7C"/>
    <w:rsid w:val="00E766E4"/>
    <w:rsid w:val="00E81BF6"/>
    <w:rsid w:val="00E957EB"/>
    <w:rsid w:val="00EB496D"/>
    <w:rsid w:val="00EB5EEE"/>
    <w:rsid w:val="00EC2BE0"/>
    <w:rsid w:val="00EC3892"/>
    <w:rsid w:val="00ED14D2"/>
    <w:rsid w:val="00ED1BD6"/>
    <w:rsid w:val="00EE0D39"/>
    <w:rsid w:val="00EE3738"/>
    <w:rsid w:val="00EF1FA3"/>
    <w:rsid w:val="00F0654F"/>
    <w:rsid w:val="00F14016"/>
    <w:rsid w:val="00F2363D"/>
    <w:rsid w:val="00F317FD"/>
    <w:rsid w:val="00F35009"/>
    <w:rsid w:val="00F4229C"/>
    <w:rsid w:val="00F42A35"/>
    <w:rsid w:val="00F43EB2"/>
    <w:rsid w:val="00F45864"/>
    <w:rsid w:val="00F51F75"/>
    <w:rsid w:val="00F54D22"/>
    <w:rsid w:val="00F5654E"/>
    <w:rsid w:val="00F5757E"/>
    <w:rsid w:val="00F6057A"/>
    <w:rsid w:val="00F65AC6"/>
    <w:rsid w:val="00F711B5"/>
    <w:rsid w:val="00F72C0E"/>
    <w:rsid w:val="00F72E14"/>
    <w:rsid w:val="00F74E3C"/>
    <w:rsid w:val="00F76B60"/>
    <w:rsid w:val="00F77EED"/>
    <w:rsid w:val="00F811AC"/>
    <w:rsid w:val="00F8493D"/>
    <w:rsid w:val="00F92F21"/>
    <w:rsid w:val="00FA6C05"/>
    <w:rsid w:val="00FB2766"/>
    <w:rsid w:val="00FC129A"/>
    <w:rsid w:val="00FC13A4"/>
    <w:rsid w:val="00FC142F"/>
    <w:rsid w:val="00FC6ABF"/>
    <w:rsid w:val="00FE1611"/>
    <w:rsid w:val="00FE16C7"/>
    <w:rsid w:val="00FE79B2"/>
    <w:rsid w:val="00FF5DE2"/>
    <w:rsid w:val="00FF669E"/>
    <w:rsid w:val="00FF715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505E0"/>
    <w:pPr>
      <w:widowControl w:val="0"/>
    </w:pPr>
    <w:rPr>
      <w:rFonts w:eastAsia="標楷體"/>
      <w:kern w:val="2"/>
      <w:sz w:val="32"/>
    </w:rPr>
  </w:style>
  <w:style w:type="paragraph" w:styleId="1">
    <w:name w:val="heading 1"/>
    <w:basedOn w:val="a1"/>
    <w:qFormat/>
    <w:rsid w:val="001505E0"/>
    <w:pPr>
      <w:numPr>
        <w:numId w:val="1"/>
      </w:numPr>
      <w:kinsoku w:val="0"/>
      <w:jc w:val="both"/>
      <w:outlineLvl w:val="0"/>
    </w:pPr>
    <w:rPr>
      <w:rFonts w:ascii="標楷體" w:hAnsi="Arial"/>
      <w:bCs/>
      <w:kern w:val="0"/>
      <w:szCs w:val="52"/>
    </w:rPr>
  </w:style>
  <w:style w:type="paragraph" w:styleId="2">
    <w:name w:val="heading 2"/>
    <w:basedOn w:val="a1"/>
    <w:link w:val="20"/>
    <w:qFormat/>
    <w:rsid w:val="001505E0"/>
    <w:pPr>
      <w:numPr>
        <w:ilvl w:val="1"/>
        <w:numId w:val="1"/>
      </w:numPr>
      <w:kinsoku w:val="0"/>
      <w:jc w:val="both"/>
      <w:outlineLvl w:val="1"/>
    </w:pPr>
    <w:rPr>
      <w:rFonts w:ascii="標楷體" w:hAnsi="Arial"/>
      <w:bCs/>
      <w:kern w:val="0"/>
      <w:szCs w:val="48"/>
    </w:rPr>
  </w:style>
  <w:style w:type="paragraph" w:styleId="3">
    <w:name w:val="heading 3"/>
    <w:basedOn w:val="a1"/>
    <w:qFormat/>
    <w:rsid w:val="001505E0"/>
    <w:pPr>
      <w:numPr>
        <w:ilvl w:val="2"/>
        <w:numId w:val="1"/>
      </w:numPr>
      <w:kinsoku w:val="0"/>
      <w:jc w:val="both"/>
      <w:outlineLvl w:val="2"/>
    </w:pPr>
    <w:rPr>
      <w:rFonts w:ascii="標楷體" w:hAnsi="Arial"/>
      <w:bCs/>
      <w:kern w:val="0"/>
      <w:szCs w:val="36"/>
    </w:rPr>
  </w:style>
  <w:style w:type="paragraph" w:styleId="4">
    <w:name w:val="heading 4"/>
    <w:basedOn w:val="a1"/>
    <w:qFormat/>
    <w:rsid w:val="001505E0"/>
    <w:pPr>
      <w:numPr>
        <w:ilvl w:val="3"/>
        <w:numId w:val="1"/>
      </w:numPr>
      <w:jc w:val="both"/>
      <w:outlineLvl w:val="3"/>
    </w:pPr>
    <w:rPr>
      <w:rFonts w:ascii="標楷體" w:hAnsi="Arial"/>
      <w:szCs w:val="36"/>
    </w:rPr>
  </w:style>
  <w:style w:type="paragraph" w:styleId="5">
    <w:name w:val="heading 5"/>
    <w:basedOn w:val="a1"/>
    <w:qFormat/>
    <w:rsid w:val="001505E0"/>
    <w:pPr>
      <w:numPr>
        <w:ilvl w:val="4"/>
        <w:numId w:val="1"/>
      </w:numPr>
      <w:kinsoku w:val="0"/>
      <w:jc w:val="both"/>
      <w:outlineLvl w:val="4"/>
    </w:pPr>
    <w:rPr>
      <w:rFonts w:ascii="標楷體" w:hAnsi="Arial"/>
      <w:bCs/>
      <w:szCs w:val="36"/>
    </w:rPr>
  </w:style>
  <w:style w:type="paragraph" w:styleId="6">
    <w:name w:val="heading 6"/>
    <w:basedOn w:val="a1"/>
    <w:qFormat/>
    <w:rsid w:val="001505E0"/>
    <w:pPr>
      <w:numPr>
        <w:ilvl w:val="5"/>
        <w:numId w:val="1"/>
      </w:numPr>
      <w:tabs>
        <w:tab w:val="left" w:pos="2094"/>
      </w:tabs>
      <w:kinsoku w:val="0"/>
      <w:jc w:val="both"/>
      <w:outlineLvl w:val="5"/>
    </w:pPr>
    <w:rPr>
      <w:rFonts w:ascii="標楷體" w:hAnsi="Arial"/>
      <w:szCs w:val="36"/>
    </w:rPr>
  </w:style>
  <w:style w:type="paragraph" w:styleId="7">
    <w:name w:val="heading 7"/>
    <w:basedOn w:val="a1"/>
    <w:qFormat/>
    <w:rsid w:val="001505E0"/>
    <w:pPr>
      <w:numPr>
        <w:ilvl w:val="6"/>
        <w:numId w:val="1"/>
      </w:numPr>
      <w:kinsoku w:val="0"/>
      <w:jc w:val="both"/>
      <w:outlineLvl w:val="6"/>
    </w:pPr>
    <w:rPr>
      <w:rFonts w:ascii="標楷體" w:hAnsi="Arial"/>
      <w:bCs/>
      <w:szCs w:val="36"/>
    </w:rPr>
  </w:style>
  <w:style w:type="paragraph" w:styleId="8">
    <w:name w:val="heading 8"/>
    <w:basedOn w:val="a1"/>
    <w:qFormat/>
    <w:rsid w:val="001505E0"/>
    <w:pPr>
      <w:numPr>
        <w:ilvl w:val="7"/>
        <w:numId w:val="1"/>
      </w:numPr>
      <w:kinsoku w:val="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1505E0"/>
    <w:pPr>
      <w:spacing w:before="720" w:after="720"/>
      <w:ind w:left="7371"/>
    </w:pPr>
    <w:rPr>
      <w:rFonts w:ascii="標楷體"/>
      <w:b/>
      <w:snapToGrid w:val="0"/>
      <w:spacing w:val="10"/>
      <w:sz w:val="36"/>
    </w:rPr>
  </w:style>
  <w:style w:type="paragraph" w:styleId="a6">
    <w:name w:val="endnote text"/>
    <w:basedOn w:val="a1"/>
    <w:semiHidden/>
    <w:rsid w:val="001505E0"/>
    <w:pPr>
      <w:spacing w:before="240"/>
      <w:ind w:left="1021" w:hanging="1021"/>
      <w:jc w:val="both"/>
    </w:pPr>
    <w:rPr>
      <w:rFonts w:ascii="標楷體"/>
      <w:snapToGrid w:val="0"/>
      <w:spacing w:val="10"/>
    </w:rPr>
  </w:style>
  <w:style w:type="paragraph" w:styleId="50">
    <w:name w:val="toc 5"/>
    <w:basedOn w:val="a1"/>
    <w:next w:val="a1"/>
    <w:autoRedefine/>
    <w:semiHidden/>
    <w:rsid w:val="001505E0"/>
    <w:pPr>
      <w:ind w:leftChars="400" w:left="600" w:rightChars="200" w:right="200" w:hangingChars="200" w:hanging="200"/>
    </w:pPr>
    <w:rPr>
      <w:rFonts w:ascii="標楷體"/>
    </w:rPr>
  </w:style>
  <w:style w:type="character" w:styleId="a7">
    <w:name w:val="page number"/>
    <w:basedOn w:val="a2"/>
    <w:semiHidden/>
    <w:rsid w:val="001505E0"/>
    <w:rPr>
      <w:rFonts w:ascii="標楷體" w:eastAsia="標楷體"/>
      <w:sz w:val="20"/>
    </w:rPr>
  </w:style>
  <w:style w:type="paragraph" w:styleId="60">
    <w:name w:val="toc 6"/>
    <w:basedOn w:val="a1"/>
    <w:next w:val="a1"/>
    <w:autoRedefine/>
    <w:semiHidden/>
    <w:rsid w:val="001505E0"/>
    <w:pPr>
      <w:ind w:leftChars="500" w:left="500"/>
    </w:pPr>
    <w:rPr>
      <w:rFonts w:ascii="標楷體"/>
    </w:rPr>
  </w:style>
  <w:style w:type="paragraph" w:customStyle="1" w:styleId="10">
    <w:name w:val="段落樣式1"/>
    <w:basedOn w:val="a1"/>
    <w:rsid w:val="001505E0"/>
    <w:pPr>
      <w:tabs>
        <w:tab w:val="left" w:pos="567"/>
      </w:tabs>
      <w:kinsoku w:val="0"/>
      <w:ind w:leftChars="200" w:left="200" w:firstLineChars="200" w:firstLine="200"/>
      <w:jc w:val="both"/>
    </w:pPr>
    <w:rPr>
      <w:rFonts w:ascii="標楷體"/>
      <w:kern w:val="0"/>
    </w:rPr>
  </w:style>
  <w:style w:type="paragraph" w:customStyle="1" w:styleId="21">
    <w:name w:val="段落樣式2"/>
    <w:basedOn w:val="a1"/>
    <w:rsid w:val="001505E0"/>
    <w:pPr>
      <w:tabs>
        <w:tab w:val="left" w:pos="567"/>
      </w:tabs>
      <w:ind w:leftChars="300" w:left="300" w:firstLineChars="200" w:firstLine="200"/>
      <w:jc w:val="both"/>
    </w:pPr>
    <w:rPr>
      <w:rFonts w:ascii="標楷體"/>
      <w:kern w:val="0"/>
    </w:rPr>
  </w:style>
  <w:style w:type="paragraph" w:styleId="11">
    <w:name w:val="toc 1"/>
    <w:basedOn w:val="a1"/>
    <w:next w:val="a1"/>
    <w:autoRedefine/>
    <w:semiHidden/>
    <w:rsid w:val="001505E0"/>
    <w:pPr>
      <w:kinsoku w:val="0"/>
      <w:ind w:left="2443" w:rightChars="200" w:right="698" w:hangingChars="700" w:hanging="2443"/>
      <w:jc w:val="both"/>
    </w:pPr>
    <w:rPr>
      <w:rFonts w:ascii="標楷體"/>
      <w:noProof/>
      <w:szCs w:val="32"/>
    </w:rPr>
  </w:style>
  <w:style w:type="paragraph" w:styleId="22">
    <w:name w:val="toc 2"/>
    <w:basedOn w:val="a1"/>
    <w:next w:val="a1"/>
    <w:autoRedefine/>
    <w:semiHidden/>
    <w:rsid w:val="001505E0"/>
    <w:pPr>
      <w:kinsoku w:val="0"/>
      <w:ind w:leftChars="100" w:left="300" w:rightChars="200" w:right="200" w:hangingChars="200" w:hanging="200"/>
    </w:pPr>
    <w:rPr>
      <w:rFonts w:ascii="標楷體"/>
      <w:noProof/>
    </w:rPr>
  </w:style>
  <w:style w:type="paragraph" w:styleId="30">
    <w:name w:val="toc 3"/>
    <w:basedOn w:val="a1"/>
    <w:next w:val="a1"/>
    <w:autoRedefine/>
    <w:semiHidden/>
    <w:rsid w:val="001505E0"/>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1505E0"/>
    <w:pPr>
      <w:kinsoku w:val="0"/>
      <w:ind w:leftChars="300" w:left="500" w:rightChars="200" w:right="200" w:hangingChars="200" w:hanging="200"/>
      <w:jc w:val="both"/>
    </w:pPr>
    <w:rPr>
      <w:rFonts w:ascii="標楷體"/>
    </w:rPr>
  </w:style>
  <w:style w:type="paragraph" w:styleId="70">
    <w:name w:val="toc 7"/>
    <w:basedOn w:val="a1"/>
    <w:next w:val="a1"/>
    <w:autoRedefine/>
    <w:semiHidden/>
    <w:rsid w:val="001505E0"/>
    <w:pPr>
      <w:ind w:leftChars="600" w:left="800" w:hangingChars="200" w:hanging="200"/>
    </w:pPr>
    <w:rPr>
      <w:rFonts w:ascii="標楷體"/>
    </w:rPr>
  </w:style>
  <w:style w:type="paragraph" w:styleId="80">
    <w:name w:val="toc 8"/>
    <w:basedOn w:val="a1"/>
    <w:next w:val="a1"/>
    <w:autoRedefine/>
    <w:semiHidden/>
    <w:rsid w:val="001505E0"/>
    <w:pPr>
      <w:ind w:leftChars="700" w:left="900" w:hangingChars="200" w:hanging="200"/>
    </w:pPr>
    <w:rPr>
      <w:rFonts w:ascii="標楷體"/>
    </w:rPr>
  </w:style>
  <w:style w:type="paragraph" w:styleId="9">
    <w:name w:val="toc 9"/>
    <w:basedOn w:val="a1"/>
    <w:next w:val="a1"/>
    <w:autoRedefine/>
    <w:semiHidden/>
    <w:rsid w:val="001505E0"/>
    <w:pPr>
      <w:ind w:leftChars="1600" w:left="3840"/>
    </w:pPr>
  </w:style>
  <w:style w:type="paragraph" w:styleId="a8">
    <w:name w:val="header"/>
    <w:basedOn w:val="a1"/>
    <w:link w:val="a9"/>
    <w:uiPriority w:val="99"/>
    <w:semiHidden/>
    <w:rsid w:val="001505E0"/>
    <w:pPr>
      <w:tabs>
        <w:tab w:val="center" w:pos="4153"/>
        <w:tab w:val="right" w:pos="8306"/>
      </w:tabs>
      <w:snapToGrid w:val="0"/>
    </w:pPr>
    <w:rPr>
      <w:sz w:val="20"/>
    </w:rPr>
  </w:style>
  <w:style w:type="paragraph" w:customStyle="1" w:styleId="31">
    <w:name w:val="段落樣式3"/>
    <w:basedOn w:val="21"/>
    <w:rsid w:val="001505E0"/>
    <w:pPr>
      <w:ind w:leftChars="400" w:left="400"/>
    </w:pPr>
  </w:style>
  <w:style w:type="character" w:styleId="aa">
    <w:name w:val="Hyperlink"/>
    <w:basedOn w:val="a2"/>
    <w:semiHidden/>
    <w:rsid w:val="001505E0"/>
    <w:rPr>
      <w:color w:val="0000FF"/>
      <w:u w:val="single"/>
    </w:rPr>
  </w:style>
  <w:style w:type="paragraph" w:customStyle="1" w:styleId="ab">
    <w:name w:val="簽名日期"/>
    <w:basedOn w:val="a1"/>
    <w:rsid w:val="001505E0"/>
    <w:pPr>
      <w:kinsoku w:val="0"/>
      <w:jc w:val="distribute"/>
    </w:pPr>
    <w:rPr>
      <w:kern w:val="0"/>
    </w:rPr>
  </w:style>
  <w:style w:type="paragraph" w:customStyle="1" w:styleId="0">
    <w:name w:val="段落樣式0"/>
    <w:basedOn w:val="21"/>
    <w:rsid w:val="001505E0"/>
    <w:pPr>
      <w:ind w:leftChars="200" w:left="200" w:firstLineChars="0" w:firstLine="0"/>
    </w:pPr>
  </w:style>
  <w:style w:type="paragraph" w:customStyle="1" w:styleId="ac">
    <w:name w:val="附件"/>
    <w:basedOn w:val="a6"/>
    <w:rsid w:val="001505E0"/>
    <w:pPr>
      <w:kinsoku w:val="0"/>
      <w:spacing w:before="0"/>
      <w:ind w:left="1047" w:hangingChars="300" w:hanging="1047"/>
    </w:pPr>
    <w:rPr>
      <w:snapToGrid/>
      <w:spacing w:val="0"/>
      <w:kern w:val="0"/>
    </w:rPr>
  </w:style>
  <w:style w:type="paragraph" w:customStyle="1" w:styleId="41">
    <w:name w:val="段落樣式4"/>
    <w:basedOn w:val="31"/>
    <w:rsid w:val="001505E0"/>
    <w:pPr>
      <w:ind w:leftChars="500" w:left="500"/>
    </w:pPr>
  </w:style>
  <w:style w:type="paragraph" w:customStyle="1" w:styleId="51">
    <w:name w:val="段落樣式5"/>
    <w:basedOn w:val="41"/>
    <w:rsid w:val="001505E0"/>
    <w:pPr>
      <w:ind w:leftChars="600" w:left="600"/>
    </w:pPr>
  </w:style>
  <w:style w:type="paragraph" w:customStyle="1" w:styleId="61">
    <w:name w:val="段落樣式6"/>
    <w:basedOn w:val="51"/>
    <w:rsid w:val="001505E0"/>
    <w:pPr>
      <w:ind w:leftChars="700" w:left="700"/>
    </w:pPr>
  </w:style>
  <w:style w:type="paragraph" w:customStyle="1" w:styleId="71">
    <w:name w:val="段落樣式7"/>
    <w:basedOn w:val="61"/>
    <w:rsid w:val="001505E0"/>
  </w:style>
  <w:style w:type="paragraph" w:customStyle="1" w:styleId="81">
    <w:name w:val="段落樣式8"/>
    <w:basedOn w:val="71"/>
    <w:rsid w:val="001505E0"/>
    <w:pPr>
      <w:ind w:leftChars="800" w:left="800"/>
    </w:pPr>
  </w:style>
  <w:style w:type="paragraph" w:customStyle="1" w:styleId="a0">
    <w:name w:val="表樣式"/>
    <w:basedOn w:val="a1"/>
    <w:next w:val="a1"/>
    <w:rsid w:val="001505E0"/>
    <w:pPr>
      <w:numPr>
        <w:numId w:val="2"/>
      </w:numPr>
      <w:jc w:val="both"/>
    </w:pPr>
    <w:rPr>
      <w:rFonts w:ascii="標楷體"/>
      <w:kern w:val="0"/>
    </w:rPr>
  </w:style>
  <w:style w:type="paragraph" w:styleId="ad">
    <w:name w:val="Body Text Indent"/>
    <w:basedOn w:val="a1"/>
    <w:semiHidden/>
    <w:rsid w:val="001505E0"/>
    <w:pPr>
      <w:ind w:left="698" w:hangingChars="200" w:hanging="698"/>
    </w:pPr>
  </w:style>
  <w:style w:type="paragraph" w:customStyle="1" w:styleId="ae">
    <w:name w:val="調查報告"/>
    <w:basedOn w:val="a6"/>
    <w:rsid w:val="001505E0"/>
    <w:pPr>
      <w:kinsoku w:val="0"/>
      <w:spacing w:before="0"/>
      <w:ind w:left="1701" w:firstLine="0"/>
    </w:pPr>
    <w:rPr>
      <w:b/>
      <w:snapToGrid/>
      <w:spacing w:val="200"/>
      <w:kern w:val="0"/>
      <w:sz w:val="36"/>
    </w:rPr>
  </w:style>
  <w:style w:type="paragraph" w:styleId="af">
    <w:name w:val="Balloon Text"/>
    <w:basedOn w:val="a1"/>
    <w:link w:val="af0"/>
    <w:uiPriority w:val="99"/>
    <w:semiHidden/>
    <w:unhideWhenUsed/>
    <w:rsid w:val="00AF6972"/>
    <w:rPr>
      <w:rFonts w:ascii="Cambria" w:eastAsia="新細明體" w:hAnsi="Cambria"/>
      <w:sz w:val="18"/>
      <w:szCs w:val="18"/>
    </w:rPr>
  </w:style>
  <w:style w:type="paragraph" w:customStyle="1" w:styleId="a">
    <w:name w:val="圖樣式"/>
    <w:basedOn w:val="a1"/>
    <w:next w:val="a1"/>
    <w:rsid w:val="001505E0"/>
    <w:pPr>
      <w:numPr>
        <w:numId w:val="3"/>
      </w:numPr>
      <w:jc w:val="both"/>
    </w:pPr>
    <w:rPr>
      <w:rFonts w:ascii="標楷體"/>
    </w:rPr>
  </w:style>
  <w:style w:type="paragraph" w:styleId="af1">
    <w:name w:val="footer"/>
    <w:basedOn w:val="a1"/>
    <w:link w:val="af2"/>
    <w:rsid w:val="001505E0"/>
    <w:pPr>
      <w:tabs>
        <w:tab w:val="center" w:pos="4153"/>
        <w:tab w:val="right" w:pos="8306"/>
      </w:tabs>
      <w:snapToGrid w:val="0"/>
    </w:pPr>
    <w:rPr>
      <w:sz w:val="20"/>
    </w:rPr>
  </w:style>
  <w:style w:type="paragraph" w:styleId="af3">
    <w:name w:val="table of figures"/>
    <w:basedOn w:val="a1"/>
    <w:next w:val="a1"/>
    <w:semiHidden/>
    <w:rsid w:val="001505E0"/>
    <w:pPr>
      <w:ind w:left="400" w:hangingChars="400" w:hanging="400"/>
    </w:pPr>
  </w:style>
  <w:style w:type="character" w:customStyle="1" w:styleId="af0">
    <w:name w:val="註解方塊文字 字元"/>
    <w:basedOn w:val="a2"/>
    <w:link w:val="af"/>
    <w:uiPriority w:val="99"/>
    <w:semiHidden/>
    <w:rsid w:val="00AF6972"/>
    <w:rPr>
      <w:rFonts w:ascii="Cambria" w:eastAsia="新細明體" w:hAnsi="Cambria" w:cs="Times New Roman"/>
      <w:kern w:val="2"/>
      <w:sz w:val="18"/>
      <w:szCs w:val="18"/>
    </w:rPr>
  </w:style>
  <w:style w:type="character" w:customStyle="1" w:styleId="20">
    <w:name w:val="標題 2 字元"/>
    <w:basedOn w:val="a2"/>
    <w:link w:val="2"/>
    <w:rsid w:val="00FC13A4"/>
    <w:rPr>
      <w:rFonts w:ascii="標楷體" w:eastAsia="標楷體" w:hAnsi="Arial"/>
      <w:bCs/>
      <w:sz w:val="32"/>
      <w:szCs w:val="48"/>
    </w:rPr>
  </w:style>
  <w:style w:type="table" w:styleId="af4">
    <w:name w:val="Table Grid"/>
    <w:basedOn w:val="a3"/>
    <w:uiPriority w:val="59"/>
    <w:rsid w:val="00B6076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5">
    <w:name w:val="Strong"/>
    <w:basedOn w:val="a2"/>
    <w:qFormat/>
    <w:rsid w:val="00477D5F"/>
    <w:rPr>
      <w:rFonts w:ascii="Times New Roman" w:hAnsi="Times New Roman" w:cs="Times New Roman"/>
      <w:b/>
      <w:bCs/>
    </w:rPr>
  </w:style>
  <w:style w:type="character" w:customStyle="1" w:styleId="af2">
    <w:name w:val="頁尾 字元"/>
    <w:basedOn w:val="a2"/>
    <w:link w:val="af1"/>
    <w:rsid w:val="002E6F99"/>
    <w:rPr>
      <w:rFonts w:eastAsia="標楷體"/>
      <w:kern w:val="2"/>
    </w:rPr>
  </w:style>
  <w:style w:type="paragraph" w:styleId="af6">
    <w:name w:val="footnote text"/>
    <w:basedOn w:val="a1"/>
    <w:link w:val="af7"/>
    <w:uiPriority w:val="99"/>
    <w:semiHidden/>
    <w:unhideWhenUsed/>
    <w:rsid w:val="007C359A"/>
    <w:pPr>
      <w:snapToGrid w:val="0"/>
    </w:pPr>
    <w:rPr>
      <w:sz w:val="20"/>
    </w:rPr>
  </w:style>
  <w:style w:type="character" w:customStyle="1" w:styleId="af7">
    <w:name w:val="註腳文字 字元"/>
    <w:basedOn w:val="a2"/>
    <w:link w:val="af6"/>
    <w:uiPriority w:val="99"/>
    <w:semiHidden/>
    <w:rsid w:val="007C359A"/>
    <w:rPr>
      <w:rFonts w:eastAsia="標楷體"/>
      <w:kern w:val="2"/>
    </w:rPr>
  </w:style>
  <w:style w:type="character" w:styleId="af8">
    <w:name w:val="footnote reference"/>
    <w:basedOn w:val="a2"/>
    <w:uiPriority w:val="99"/>
    <w:semiHidden/>
    <w:unhideWhenUsed/>
    <w:rsid w:val="007C359A"/>
    <w:rPr>
      <w:vertAlign w:val="superscript"/>
    </w:rPr>
  </w:style>
  <w:style w:type="paragraph" w:styleId="HTML">
    <w:name w:val="HTML Preformatted"/>
    <w:basedOn w:val="a1"/>
    <w:link w:val="HTML0"/>
    <w:uiPriority w:val="99"/>
    <w:unhideWhenUsed/>
    <w:rsid w:val="005950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000000"/>
      <w:kern w:val="0"/>
      <w:sz w:val="24"/>
      <w:szCs w:val="24"/>
    </w:rPr>
  </w:style>
  <w:style w:type="character" w:customStyle="1" w:styleId="HTML0">
    <w:name w:val="HTML 預設格式 字元"/>
    <w:basedOn w:val="a2"/>
    <w:link w:val="HTML"/>
    <w:uiPriority w:val="99"/>
    <w:rsid w:val="005950A9"/>
    <w:rPr>
      <w:rFonts w:ascii="細明體" w:eastAsia="細明體" w:hAnsi="細明體" w:cs="細明體"/>
      <w:color w:val="000000"/>
      <w:sz w:val="24"/>
      <w:szCs w:val="24"/>
    </w:rPr>
  </w:style>
  <w:style w:type="character" w:customStyle="1" w:styleId="a9">
    <w:name w:val="頁首 字元"/>
    <w:basedOn w:val="a2"/>
    <w:link w:val="a8"/>
    <w:uiPriority w:val="99"/>
    <w:semiHidden/>
    <w:rsid w:val="00B0121A"/>
    <w:rPr>
      <w:rFonts w:eastAsia="標楷體"/>
      <w:kern w:val="2"/>
    </w:rPr>
  </w:style>
</w:styles>
</file>

<file path=word/webSettings.xml><?xml version="1.0" encoding="utf-8"?>
<w:webSettings xmlns:r="http://schemas.openxmlformats.org/officeDocument/2006/relationships" xmlns:w="http://schemas.openxmlformats.org/wordprocessingml/2006/main">
  <w:divs>
    <w:div w:id="1507355484">
      <w:bodyDiv w:val="1"/>
      <w:marLeft w:val="0"/>
      <w:marRight w:val="0"/>
      <w:marTop w:val="0"/>
      <w:marBottom w:val="0"/>
      <w:divBdr>
        <w:top w:val="none" w:sz="0" w:space="0" w:color="auto"/>
        <w:left w:val="none" w:sz="0" w:space="0" w:color="auto"/>
        <w:bottom w:val="none" w:sz="0" w:space="0" w:color="auto"/>
        <w:right w:val="none" w:sz="0" w:space="0" w:color="auto"/>
      </w:divBdr>
    </w:div>
    <w:div w:id="208024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847\Application%20Data\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1EE665E-3C7A-4E37-AD6B-103675C19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11</Pages>
  <Words>795</Words>
  <Characters>4534</Characters>
  <Application>Microsoft Office Word</Application>
  <DocSecurity>0</DocSecurity>
  <Lines>37</Lines>
  <Paragraphs>10</Paragraphs>
  <ScaleCrop>false</ScaleCrop>
  <Company>cy</Company>
  <LinksUpToDate>false</LinksUpToDate>
  <CharactersWithSpaces>5319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t847</dc:creator>
  <cp:lastModifiedBy>Administrator</cp:lastModifiedBy>
  <cp:revision>2</cp:revision>
  <cp:lastPrinted>2010-09-23T06:39:00Z</cp:lastPrinted>
  <dcterms:created xsi:type="dcterms:W3CDTF">2010-09-23T07:09:00Z</dcterms:created>
  <dcterms:modified xsi:type="dcterms:W3CDTF">2010-09-23T07:09:00Z</dcterms:modified>
</cp:coreProperties>
</file>